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Spec="bottom"/>
        <w:tblOverlap w:val="never"/>
        <w:tblW w:w="0" w:type="auto"/>
        <w:tblLook w:val="04A0" w:firstRow="1" w:lastRow="0" w:firstColumn="1" w:lastColumn="0" w:noHBand="0" w:noVBand="1"/>
      </w:tblPr>
      <w:tblGrid>
        <w:gridCol w:w="9242"/>
      </w:tblGrid>
      <w:tr w:rsidR="00C61948" w:rsidRPr="00C61948" w:rsidTr="00522CCF">
        <w:trPr>
          <w:trHeight w:val="360"/>
        </w:trPr>
        <w:tc>
          <w:tcPr>
            <w:tcW w:w="9242" w:type="dxa"/>
          </w:tcPr>
          <w:bookmarkStart w:id="0" w:name="_GoBack"/>
          <w:p w:rsidR="00C61948" w:rsidRPr="00C61948" w:rsidRDefault="00C61948" w:rsidP="00C61948">
            <w:pPr>
              <w:pStyle w:val="NoSpacing"/>
              <w:jc w:val="center"/>
              <w:rPr>
                <w:color w:val="000000" w:themeColor="text1"/>
                <w:sz w:val="32"/>
                <w:szCs w:val="32"/>
                <w:lang w:val="fr-CH"/>
              </w:rPr>
            </w:pPr>
            <w:r>
              <w:rPr>
                <w:noProof/>
                <w:color w:val="EEECE1" w:themeColor="background2"/>
                <w:sz w:val="32"/>
                <w:szCs w:val="32"/>
                <w:lang w:val="en-GB" w:eastAsia="en-GB"/>
              </w:rPr>
              <mc:AlternateContent>
                <mc:Choice Requires="wpg">
                  <w:drawing>
                    <wp:anchor distT="0" distB="0" distL="114300" distR="114300" simplePos="0" relativeHeight="251659264" behindDoc="1" locked="0" layoutInCell="0" allowOverlap="1" wp14:anchorId="3144A88F" wp14:editId="32033856">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bookmarkEnd w:id="0"/>
            <w:r w:rsidRPr="00C61948">
              <w:rPr>
                <w:color w:val="000000" w:themeColor="text1"/>
                <w:sz w:val="32"/>
                <w:szCs w:val="32"/>
                <w:lang w:val="fr-CH"/>
              </w:rPr>
              <w:t xml:space="preserve"> </w:t>
            </w:r>
          </w:p>
        </w:tc>
      </w:tr>
    </w:tbl>
    <w:p w:rsidR="00C61948" w:rsidRDefault="00522CCF">
      <w:pPr>
        <w:rPr>
          <w:rFonts w:asciiTheme="majorHAnsi" w:eastAsiaTheme="majorEastAsia" w:hAnsiTheme="majorHAnsi" w:cstheme="majorBidi"/>
          <w:b/>
          <w:bCs/>
          <w:color w:val="0070C0"/>
          <w:sz w:val="26"/>
          <w:szCs w:val="26"/>
        </w:rPr>
      </w:pPr>
      <w:r w:rsidRPr="00522CCF">
        <w:rPr>
          <w:noProof/>
          <w:color w:val="000000" w:themeColor="text1"/>
          <w:sz w:val="32"/>
          <w:szCs w:val="32"/>
          <w:lang w:eastAsia="en-GB"/>
        </w:rPr>
        <mc:AlternateContent>
          <mc:Choice Requires="wps">
            <w:drawing>
              <wp:anchor distT="0" distB="0" distL="114300" distR="114300" simplePos="0" relativeHeight="251663360" behindDoc="0" locked="0" layoutInCell="1" allowOverlap="1" wp14:anchorId="48770C39" wp14:editId="1A1CC5A5">
                <wp:simplePos x="0" y="0"/>
                <wp:positionH relativeFrom="column">
                  <wp:posOffset>3909695</wp:posOffset>
                </wp:positionH>
                <wp:positionV relativeFrom="paragraph">
                  <wp:posOffset>-398574</wp:posOffset>
                </wp:positionV>
                <wp:extent cx="2374265" cy="1403985"/>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22CCF" w:rsidRDefault="00522CCF" w:rsidP="00522CCF">
                            <w:pPr>
                              <w:tabs>
                                <w:tab w:val="left" w:pos="4962"/>
                              </w:tabs>
                              <w:spacing w:after="0"/>
                              <w:rPr>
                                <w:b/>
                                <w:sz w:val="20"/>
                                <w:szCs w:val="20"/>
                              </w:rPr>
                            </w:pPr>
                            <w:r>
                              <w:rPr>
                                <w:sz w:val="20"/>
                                <w:szCs w:val="20"/>
                                <w:u w:val="single"/>
                              </w:rPr>
                              <w:t>In</w:t>
                            </w:r>
                            <w:r w:rsidRPr="009417A4">
                              <w:rPr>
                                <w:sz w:val="20"/>
                                <w:szCs w:val="20"/>
                                <w:u w:val="single"/>
                              </w:rPr>
                              <w:t>formal document</w:t>
                            </w:r>
                            <w:r w:rsidRPr="009417A4">
                              <w:rPr>
                                <w:sz w:val="20"/>
                                <w:szCs w:val="20"/>
                              </w:rPr>
                              <w:t xml:space="preserve"> </w:t>
                            </w:r>
                            <w:r w:rsidRPr="009417A4">
                              <w:rPr>
                                <w:b/>
                                <w:sz w:val="20"/>
                                <w:szCs w:val="20"/>
                              </w:rPr>
                              <w:t>GRPE-65-0</w:t>
                            </w:r>
                            <w:r>
                              <w:rPr>
                                <w:b/>
                                <w:sz w:val="20"/>
                                <w:szCs w:val="20"/>
                              </w:rPr>
                              <w:t>5</w:t>
                            </w:r>
                          </w:p>
                          <w:p w:rsidR="00522CCF" w:rsidRDefault="00522CCF" w:rsidP="00522CCF">
                            <w:pPr>
                              <w:tabs>
                                <w:tab w:val="left" w:pos="4962"/>
                              </w:tabs>
                              <w:spacing w:after="0"/>
                              <w:rPr>
                                <w:sz w:val="20"/>
                                <w:szCs w:val="20"/>
                              </w:rPr>
                            </w:pPr>
                            <w:r w:rsidRPr="009417A4">
                              <w:rPr>
                                <w:sz w:val="20"/>
                                <w:szCs w:val="20"/>
                              </w:rPr>
                              <w:t>(65</w:t>
                            </w:r>
                            <w:r w:rsidRPr="009417A4">
                              <w:rPr>
                                <w:sz w:val="20"/>
                                <w:szCs w:val="20"/>
                                <w:vertAlign w:val="superscript"/>
                              </w:rPr>
                              <w:t>th</w:t>
                            </w:r>
                            <w:r w:rsidRPr="009417A4">
                              <w:rPr>
                                <w:sz w:val="20"/>
                                <w:szCs w:val="20"/>
                              </w:rPr>
                              <w:t xml:space="preserve"> GRPE, 15-18 January 2013, agenda item</w:t>
                            </w:r>
                            <w:r>
                              <w:rPr>
                                <w:sz w:val="20"/>
                                <w:szCs w:val="20"/>
                              </w:rPr>
                              <w:t xml:space="preserve"> 17</w:t>
                            </w:r>
                            <w:r w:rsidRPr="009417A4">
                              <w:rPr>
                                <w:sz w:val="20"/>
                                <w:szCs w:val="20"/>
                              </w:rPr>
                              <w:t>)</w:t>
                            </w:r>
                          </w:p>
                          <w:p w:rsidR="00DC0044" w:rsidRDefault="00DC0044" w:rsidP="00522CCF">
                            <w:pPr>
                              <w:tabs>
                                <w:tab w:val="left" w:pos="4962"/>
                              </w:tabs>
                              <w:spacing w:after="0"/>
                              <w:rPr>
                                <w:sz w:val="20"/>
                                <w:szCs w:val="20"/>
                              </w:rPr>
                            </w:pPr>
                          </w:p>
                          <w:p w:rsidR="00DC0044" w:rsidRDefault="00DC0044" w:rsidP="00522CCF">
                            <w:pPr>
                              <w:tabs>
                                <w:tab w:val="left" w:pos="4962"/>
                              </w:tabs>
                              <w:spacing w:after="0"/>
                            </w:pPr>
                            <w:r>
                              <w:rPr>
                                <w:sz w:val="20"/>
                                <w:szCs w:val="20"/>
                              </w:rPr>
                              <w:t>Submitted by the secretariat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85pt;margin-top:-31.4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">
                <v:textbox style="mso-fit-shape-to-text:t">
                  <w:txbxContent>
                    <w:p w:rsidR="00522CCF" w:rsidRDefault="00522CCF" w:rsidP="00522CCF">
                      <w:pPr>
                        <w:tabs>
                          <w:tab w:val="left" w:pos="4962"/>
                        </w:tabs>
                        <w:spacing w:after="0"/>
                        <w:rPr>
                          <w:b/>
                          <w:sz w:val="20"/>
                          <w:szCs w:val="20"/>
                        </w:rPr>
                      </w:pPr>
                      <w:r>
                        <w:rPr>
                          <w:sz w:val="20"/>
                          <w:szCs w:val="20"/>
                          <w:u w:val="single"/>
                        </w:rPr>
                        <w:t>In</w:t>
                      </w:r>
                      <w:r w:rsidRPr="009417A4">
                        <w:rPr>
                          <w:sz w:val="20"/>
                          <w:szCs w:val="20"/>
                          <w:u w:val="single"/>
                        </w:rPr>
                        <w:t>formal document</w:t>
                      </w:r>
                      <w:r w:rsidRPr="009417A4">
                        <w:rPr>
                          <w:sz w:val="20"/>
                          <w:szCs w:val="20"/>
                        </w:rPr>
                        <w:t xml:space="preserve"> </w:t>
                      </w:r>
                      <w:r w:rsidRPr="009417A4">
                        <w:rPr>
                          <w:b/>
                          <w:sz w:val="20"/>
                          <w:szCs w:val="20"/>
                        </w:rPr>
                        <w:t>GRPE-65-0</w:t>
                      </w:r>
                      <w:r>
                        <w:rPr>
                          <w:b/>
                          <w:sz w:val="20"/>
                          <w:szCs w:val="20"/>
                        </w:rPr>
                        <w:t>5</w:t>
                      </w:r>
                    </w:p>
                    <w:p w:rsidR="00522CCF" w:rsidRDefault="00522CCF" w:rsidP="00522CCF">
                      <w:pPr>
                        <w:tabs>
                          <w:tab w:val="left" w:pos="4962"/>
                        </w:tabs>
                        <w:spacing w:after="0"/>
                        <w:rPr>
                          <w:sz w:val="20"/>
                          <w:szCs w:val="20"/>
                        </w:rPr>
                      </w:pPr>
                      <w:r w:rsidRPr="009417A4">
                        <w:rPr>
                          <w:sz w:val="20"/>
                          <w:szCs w:val="20"/>
                        </w:rPr>
                        <w:t>(65</w:t>
                      </w:r>
                      <w:r w:rsidRPr="009417A4">
                        <w:rPr>
                          <w:sz w:val="20"/>
                          <w:szCs w:val="20"/>
                          <w:vertAlign w:val="superscript"/>
                        </w:rPr>
                        <w:t>th</w:t>
                      </w:r>
                      <w:r w:rsidRPr="009417A4">
                        <w:rPr>
                          <w:sz w:val="20"/>
                          <w:szCs w:val="20"/>
                        </w:rPr>
                        <w:t xml:space="preserve"> GRPE, 15-18 January 2013, agenda item</w:t>
                      </w:r>
                      <w:r>
                        <w:rPr>
                          <w:sz w:val="20"/>
                          <w:szCs w:val="20"/>
                        </w:rPr>
                        <w:t xml:space="preserve"> 17</w:t>
                      </w:r>
                      <w:r w:rsidRPr="009417A4">
                        <w:rPr>
                          <w:sz w:val="20"/>
                          <w:szCs w:val="20"/>
                        </w:rPr>
                        <w:t>)</w:t>
                      </w:r>
                    </w:p>
                    <w:p w:rsidR="00DC0044" w:rsidRDefault="00DC0044" w:rsidP="00522CCF">
                      <w:pPr>
                        <w:tabs>
                          <w:tab w:val="left" w:pos="4962"/>
                        </w:tabs>
                        <w:spacing w:after="0"/>
                        <w:rPr>
                          <w:sz w:val="20"/>
                          <w:szCs w:val="20"/>
                        </w:rPr>
                      </w:pPr>
                    </w:p>
                    <w:p w:rsidR="00DC0044" w:rsidRDefault="00DC0044" w:rsidP="00522CCF">
                      <w:pPr>
                        <w:tabs>
                          <w:tab w:val="left" w:pos="4962"/>
                        </w:tabs>
                        <w:spacing w:after="0"/>
                      </w:pPr>
                      <w:r>
                        <w:rPr>
                          <w:sz w:val="20"/>
                          <w:szCs w:val="20"/>
                        </w:rPr>
                        <w:t>Submitted by the secretariat</w:t>
                      </w:r>
                    </w:p>
                  </w:txbxContent>
                </v:textbox>
              </v:shape>
            </w:pict>
          </mc:Fallback>
        </mc:AlternateContent>
      </w:r>
      <w:r w:rsidR="00BA70DF" w:rsidRPr="00BA70DF">
        <w:rPr>
          <w:noProof/>
          <w:lang w:eastAsia="en-GB"/>
        </w:rPr>
        <w:drawing>
          <wp:anchor distT="0" distB="0" distL="114300" distR="114300" simplePos="0" relativeHeight="251661312" behindDoc="1" locked="0" layoutInCell="1" allowOverlap="1" wp14:anchorId="7898E243" wp14:editId="1C2D278B">
            <wp:simplePos x="0" y="0"/>
            <wp:positionH relativeFrom="column">
              <wp:posOffset>-266699</wp:posOffset>
            </wp:positionH>
            <wp:positionV relativeFrom="paragraph">
              <wp:posOffset>2388235</wp:posOffset>
            </wp:positionV>
            <wp:extent cx="6229350" cy="3655085"/>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35603" cy="3658754"/>
                    </a:xfrm>
                    <a:prstGeom prst="rect">
                      <a:avLst/>
                    </a:prstGeom>
                  </pic:spPr>
                </pic:pic>
              </a:graphicData>
            </a:graphic>
            <wp14:sizeRelH relativeFrom="page">
              <wp14:pctWidth>0</wp14:pctWidth>
            </wp14:sizeRelH>
            <wp14:sizeRelV relativeFrom="page">
              <wp14:pctHeight>0</wp14:pctHeight>
            </wp14:sizeRelV>
          </wp:anchor>
        </w:drawing>
      </w:r>
      <w:r w:rsidR="00C61948">
        <w:rPr>
          <w:noProof/>
          <w:color w:val="EEECE1" w:themeColor="background2"/>
          <w:sz w:val="32"/>
          <w:szCs w:val="32"/>
          <w:lang w:eastAsia="en-GB"/>
        </w:rPr>
        <mc:AlternateContent>
          <mc:Choice Requires="wps">
            <w:drawing>
              <wp:anchor distT="0" distB="0" distL="114300" distR="114300" simplePos="0" relativeHeight="251660288" behindDoc="0" locked="0" layoutInCell="0" allowOverlap="1" wp14:anchorId="0B52B513" wp14:editId="7EF94881">
                <wp:simplePos x="0" y="0"/>
                <wp:positionH relativeFrom="page">
                  <wp:posOffset>390418</wp:posOffset>
                </wp:positionH>
                <wp:positionV relativeFrom="page">
                  <wp:posOffset>4561726</wp:posOffset>
                </wp:positionV>
                <wp:extent cx="6995160" cy="939165"/>
                <wp:effectExtent l="0" t="0" r="0" b="0"/>
                <wp:wrapNone/>
                <wp:docPr id="1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206"/>
                              <w:gridCol w:w="8825"/>
                            </w:tblGrid>
                            <w:tr w:rsidR="00DC0044">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522CCF" w:rsidRDefault="00522CCF" w:rsidP="001F4CEB">
                                      <w:pPr>
                                        <w:pStyle w:val="NoSpacing"/>
                                        <w:rPr>
                                          <w:smallCaps/>
                                          <w:sz w:val="40"/>
                                          <w:szCs w:val="40"/>
                                        </w:rPr>
                                      </w:pPr>
                                      <w:r>
                                        <w:rPr>
                                          <w:smallCaps/>
                                          <w:sz w:val="40"/>
                                          <w:szCs w:val="40"/>
                                          <w:lang w:val="en-GB"/>
                                        </w:rPr>
                                        <w:t>UNECE</w:t>
                                      </w:r>
                                    </w:p>
                                  </w:tc>
                                </w:sdtContent>
                              </w:sdt>
                              <w:sdt>
                                <w:sdtPr>
                                  <w:rPr>
                                    <w:smallCaps/>
                                    <w:color w:val="FFFFFF" w:themeColor="background1"/>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522CCF" w:rsidRPr="00C61948" w:rsidRDefault="00522CCF" w:rsidP="00C61948">
                                      <w:pPr>
                                        <w:pStyle w:val="NoSpacing"/>
                                        <w:rPr>
                                          <w:smallCaps/>
                                          <w:color w:val="FFFFFF" w:themeColor="background1"/>
                                          <w:sz w:val="48"/>
                                          <w:szCs w:val="48"/>
                                          <w:lang w:val="en-GB"/>
                                        </w:rPr>
                                      </w:pPr>
                                      <w:r>
                                        <w:rPr>
                                          <w:smallCaps/>
                                          <w:color w:val="FFFFFF" w:themeColor="background1"/>
                                          <w:sz w:val="48"/>
                                          <w:szCs w:val="48"/>
                                          <w:lang w:val="en-GB"/>
                                        </w:rPr>
                                        <w:t>Diesel Engines Exhausts: myths and realities</w:t>
                                      </w:r>
                                    </w:p>
                                  </w:tc>
                                </w:sdtContent>
                              </w:sdt>
                            </w:tr>
                          </w:tbl>
                          <w:p w:rsidR="00522CCF" w:rsidRPr="00C61948" w:rsidRDefault="00522CCF">
                            <w:pPr>
                              <w:pStyle w:val="NoSpacing"/>
                              <w:spacing w:line="14" w:lineRule="exact"/>
                              <w:rPr>
                                <w:lang w:val="en-GB"/>
                              </w:rPr>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7" style="position:absolute;margin-left:30.75pt;margin-top:359.2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206"/>
                        <w:gridCol w:w="8825"/>
                      </w:tblGrid>
                      <w:tr w:rsidR="00DC0044">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522CCF" w:rsidRDefault="00522CCF" w:rsidP="001F4CEB">
                                <w:pPr>
                                  <w:pStyle w:val="NoSpacing"/>
                                  <w:rPr>
                                    <w:smallCaps/>
                                    <w:sz w:val="40"/>
                                    <w:szCs w:val="40"/>
                                  </w:rPr>
                                </w:pPr>
                                <w:r>
                                  <w:rPr>
                                    <w:smallCaps/>
                                    <w:sz w:val="40"/>
                                    <w:szCs w:val="40"/>
                                    <w:lang w:val="en-GB"/>
                                  </w:rPr>
                                  <w:t>UNECE</w:t>
                                </w:r>
                              </w:p>
                            </w:tc>
                          </w:sdtContent>
                        </w:sdt>
                        <w:sdt>
                          <w:sdtPr>
                            <w:rPr>
                              <w:smallCaps/>
                              <w:color w:val="FFFFFF" w:themeColor="background1"/>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522CCF" w:rsidRPr="00C61948" w:rsidRDefault="00522CCF" w:rsidP="00C61948">
                                <w:pPr>
                                  <w:pStyle w:val="NoSpacing"/>
                                  <w:rPr>
                                    <w:smallCaps/>
                                    <w:color w:val="FFFFFF" w:themeColor="background1"/>
                                    <w:sz w:val="48"/>
                                    <w:szCs w:val="48"/>
                                    <w:lang w:val="en-GB"/>
                                  </w:rPr>
                                </w:pPr>
                                <w:r>
                                  <w:rPr>
                                    <w:smallCaps/>
                                    <w:color w:val="FFFFFF" w:themeColor="background1"/>
                                    <w:sz w:val="48"/>
                                    <w:szCs w:val="48"/>
                                    <w:lang w:val="en-GB"/>
                                  </w:rPr>
                                  <w:t>Diesel Engines Exhausts: myths and realities</w:t>
                                </w:r>
                              </w:p>
                            </w:tc>
                          </w:sdtContent>
                        </w:sdt>
                      </w:tr>
                    </w:tbl>
                    <w:p w:rsidR="00522CCF" w:rsidRPr="00C61948" w:rsidRDefault="00522CCF">
                      <w:pPr>
                        <w:pStyle w:val="NoSpacing"/>
                        <w:spacing w:line="14" w:lineRule="exact"/>
                        <w:rPr>
                          <w:lang w:val="en-GB"/>
                        </w:rPr>
                      </w:pPr>
                    </w:p>
                  </w:txbxContent>
                </v:textbox>
                <w10:wrap anchorx="page" anchory="page"/>
              </v:rect>
            </w:pict>
          </mc:Fallback>
        </mc:AlternateContent>
      </w:r>
      <w:r w:rsidR="00C61948" w:rsidRPr="00C61948">
        <w:rPr>
          <w:rFonts w:asciiTheme="majorHAnsi" w:eastAsiaTheme="majorEastAsia" w:hAnsiTheme="majorHAnsi" w:cstheme="majorBidi"/>
          <w:b/>
          <w:bCs/>
          <w:color w:val="0070C0"/>
          <w:sz w:val="26"/>
          <w:szCs w:val="26"/>
          <w:lang w:val="fr-CH"/>
        </w:rPr>
        <w:br w:type="page"/>
      </w:r>
    </w:p>
    <w:sdt>
      <w:sdtPr>
        <w:rPr>
          <w:rFonts w:asciiTheme="minorHAnsi" w:eastAsiaTheme="minorHAnsi" w:hAnsiTheme="minorHAnsi" w:cstheme="minorBidi"/>
          <w:b w:val="0"/>
          <w:bCs w:val="0"/>
          <w:color w:val="auto"/>
          <w:sz w:val="22"/>
          <w:szCs w:val="22"/>
          <w:lang w:val="en-GB" w:eastAsia="en-US"/>
        </w:rPr>
        <w:id w:val="-164941829"/>
        <w:docPartObj>
          <w:docPartGallery w:val="Table of Contents"/>
          <w:docPartUnique/>
        </w:docPartObj>
      </w:sdtPr>
      <w:sdtEndPr>
        <w:rPr>
          <w:noProof/>
        </w:rPr>
      </w:sdtEndPr>
      <w:sdtContent>
        <w:p w:rsidR="00C61948" w:rsidRDefault="00C61948">
          <w:pPr>
            <w:pStyle w:val="TOCHeading"/>
          </w:pPr>
          <w:r>
            <w:t>Table of Contents</w:t>
          </w:r>
        </w:p>
        <w:p w:rsidR="00522CCF" w:rsidRDefault="00C61948">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43595871" w:history="1">
            <w:r w:rsidR="00522CCF" w:rsidRPr="00E91F1C">
              <w:rPr>
                <w:rStyle w:val="Hyperlink"/>
                <w:noProof/>
              </w:rPr>
              <w:t>I. Introduction</w:t>
            </w:r>
            <w:r w:rsidR="00522CCF">
              <w:rPr>
                <w:noProof/>
                <w:webHidden/>
              </w:rPr>
              <w:tab/>
            </w:r>
            <w:r w:rsidR="00522CCF">
              <w:rPr>
                <w:noProof/>
                <w:webHidden/>
              </w:rPr>
              <w:fldChar w:fldCharType="begin"/>
            </w:r>
            <w:r w:rsidR="00522CCF">
              <w:rPr>
                <w:noProof/>
                <w:webHidden/>
              </w:rPr>
              <w:instrText xml:space="preserve"> PAGEREF _Toc343595871 \h </w:instrText>
            </w:r>
            <w:r w:rsidR="00522CCF">
              <w:rPr>
                <w:noProof/>
                <w:webHidden/>
              </w:rPr>
            </w:r>
            <w:r w:rsidR="00522CCF">
              <w:rPr>
                <w:noProof/>
                <w:webHidden/>
              </w:rPr>
              <w:fldChar w:fldCharType="separate"/>
            </w:r>
            <w:r w:rsidR="00522CCF">
              <w:rPr>
                <w:noProof/>
                <w:webHidden/>
              </w:rPr>
              <w:t>2</w:t>
            </w:r>
            <w:r w:rsidR="00522CCF">
              <w:rPr>
                <w:noProof/>
                <w:webHidden/>
              </w:rPr>
              <w:fldChar w:fldCharType="end"/>
            </w:r>
          </w:hyperlink>
        </w:p>
        <w:p w:rsidR="00522CCF" w:rsidRDefault="00DC0044">
          <w:pPr>
            <w:pStyle w:val="TOC1"/>
            <w:tabs>
              <w:tab w:val="left" w:pos="440"/>
              <w:tab w:val="right" w:leader="dot" w:pos="9016"/>
            </w:tabs>
            <w:rPr>
              <w:rFonts w:eastAsiaTheme="minorEastAsia"/>
              <w:noProof/>
              <w:lang w:eastAsia="en-GB"/>
            </w:rPr>
          </w:pPr>
          <w:hyperlink w:anchor="_Toc343595872" w:history="1">
            <w:r w:rsidR="00522CCF" w:rsidRPr="00E91F1C">
              <w:rPr>
                <w:rStyle w:val="Hyperlink"/>
                <w:noProof/>
              </w:rPr>
              <w:t>II.</w:t>
            </w:r>
            <w:r w:rsidR="00522CCF">
              <w:rPr>
                <w:rFonts w:eastAsiaTheme="minorEastAsia"/>
                <w:noProof/>
                <w:lang w:eastAsia="en-GB"/>
              </w:rPr>
              <w:tab/>
            </w:r>
            <w:r w:rsidR="00522CCF" w:rsidRPr="00E91F1C">
              <w:rPr>
                <w:rStyle w:val="Hyperlink"/>
                <w:noProof/>
              </w:rPr>
              <w:t>Main air pollutants and their effects on human health and the environment</w:t>
            </w:r>
            <w:r w:rsidR="00522CCF">
              <w:rPr>
                <w:noProof/>
                <w:webHidden/>
              </w:rPr>
              <w:tab/>
            </w:r>
            <w:r w:rsidR="00522CCF">
              <w:rPr>
                <w:noProof/>
                <w:webHidden/>
              </w:rPr>
              <w:fldChar w:fldCharType="begin"/>
            </w:r>
            <w:r w:rsidR="00522CCF">
              <w:rPr>
                <w:noProof/>
                <w:webHidden/>
              </w:rPr>
              <w:instrText xml:space="preserve"> PAGEREF _Toc343595872 \h </w:instrText>
            </w:r>
            <w:r w:rsidR="00522CCF">
              <w:rPr>
                <w:noProof/>
                <w:webHidden/>
              </w:rPr>
            </w:r>
            <w:r w:rsidR="00522CCF">
              <w:rPr>
                <w:noProof/>
                <w:webHidden/>
              </w:rPr>
              <w:fldChar w:fldCharType="separate"/>
            </w:r>
            <w:r w:rsidR="00522CCF">
              <w:rPr>
                <w:noProof/>
                <w:webHidden/>
              </w:rPr>
              <w:t>3</w:t>
            </w:r>
            <w:r w:rsidR="00522CCF">
              <w:rPr>
                <w:noProof/>
                <w:webHidden/>
              </w:rPr>
              <w:fldChar w:fldCharType="end"/>
            </w:r>
          </w:hyperlink>
        </w:p>
        <w:p w:rsidR="00522CCF" w:rsidRDefault="00DC0044">
          <w:pPr>
            <w:pStyle w:val="TOC1"/>
            <w:tabs>
              <w:tab w:val="left" w:pos="660"/>
              <w:tab w:val="right" w:leader="dot" w:pos="9016"/>
            </w:tabs>
            <w:rPr>
              <w:rFonts w:eastAsiaTheme="minorEastAsia"/>
              <w:noProof/>
              <w:lang w:eastAsia="en-GB"/>
            </w:rPr>
          </w:pPr>
          <w:hyperlink w:anchor="_Toc343595873" w:history="1">
            <w:r w:rsidR="00522CCF" w:rsidRPr="00E91F1C">
              <w:rPr>
                <w:rStyle w:val="Hyperlink"/>
                <w:noProof/>
              </w:rPr>
              <w:t>III.</w:t>
            </w:r>
            <w:r w:rsidR="00522CCF">
              <w:rPr>
                <w:rFonts w:eastAsiaTheme="minorEastAsia"/>
                <w:noProof/>
                <w:lang w:eastAsia="en-GB"/>
              </w:rPr>
              <w:tab/>
            </w:r>
            <w:r w:rsidR="00522CCF" w:rsidRPr="00E91F1C">
              <w:rPr>
                <w:rStyle w:val="Hyperlink"/>
                <w:noProof/>
              </w:rPr>
              <w:t>Analysis of emissions and emissions’ concentration.</w:t>
            </w:r>
            <w:r w:rsidR="00522CCF">
              <w:rPr>
                <w:noProof/>
                <w:webHidden/>
              </w:rPr>
              <w:tab/>
            </w:r>
            <w:r w:rsidR="00522CCF">
              <w:rPr>
                <w:noProof/>
                <w:webHidden/>
              </w:rPr>
              <w:fldChar w:fldCharType="begin"/>
            </w:r>
            <w:r w:rsidR="00522CCF">
              <w:rPr>
                <w:noProof/>
                <w:webHidden/>
              </w:rPr>
              <w:instrText xml:space="preserve"> PAGEREF _Toc343595873 \h </w:instrText>
            </w:r>
            <w:r w:rsidR="00522CCF">
              <w:rPr>
                <w:noProof/>
                <w:webHidden/>
              </w:rPr>
            </w:r>
            <w:r w:rsidR="00522CCF">
              <w:rPr>
                <w:noProof/>
                <w:webHidden/>
              </w:rPr>
              <w:fldChar w:fldCharType="separate"/>
            </w:r>
            <w:r w:rsidR="00522CCF">
              <w:rPr>
                <w:noProof/>
                <w:webHidden/>
              </w:rPr>
              <w:t>4</w:t>
            </w:r>
            <w:r w:rsidR="00522CCF">
              <w:rPr>
                <w:noProof/>
                <w:webHidden/>
              </w:rPr>
              <w:fldChar w:fldCharType="end"/>
            </w:r>
          </w:hyperlink>
        </w:p>
        <w:p w:rsidR="00522CCF" w:rsidRDefault="00DC0044">
          <w:pPr>
            <w:pStyle w:val="TOC1"/>
            <w:tabs>
              <w:tab w:val="left" w:pos="660"/>
              <w:tab w:val="right" w:leader="dot" w:pos="9016"/>
            </w:tabs>
            <w:rPr>
              <w:rFonts w:eastAsiaTheme="minorEastAsia"/>
              <w:noProof/>
              <w:lang w:eastAsia="en-GB"/>
            </w:rPr>
          </w:pPr>
          <w:hyperlink w:anchor="_Toc343595874" w:history="1">
            <w:r w:rsidR="00522CCF" w:rsidRPr="00E91F1C">
              <w:rPr>
                <w:rStyle w:val="Hyperlink"/>
                <w:noProof/>
              </w:rPr>
              <w:t>IV.</w:t>
            </w:r>
            <w:r w:rsidR="00522CCF">
              <w:rPr>
                <w:rFonts w:eastAsiaTheme="minorEastAsia"/>
                <w:noProof/>
                <w:lang w:eastAsia="en-GB"/>
              </w:rPr>
              <w:tab/>
            </w:r>
            <w:r w:rsidR="00522CCF" w:rsidRPr="00E91F1C">
              <w:rPr>
                <w:rStyle w:val="Hyperlink"/>
                <w:noProof/>
              </w:rPr>
              <w:t>Policy approach to emissions at national and regional level.</w:t>
            </w:r>
            <w:r w:rsidR="00522CCF">
              <w:rPr>
                <w:noProof/>
                <w:webHidden/>
              </w:rPr>
              <w:tab/>
            </w:r>
            <w:r w:rsidR="00522CCF">
              <w:rPr>
                <w:noProof/>
                <w:webHidden/>
              </w:rPr>
              <w:fldChar w:fldCharType="begin"/>
            </w:r>
            <w:r w:rsidR="00522CCF">
              <w:rPr>
                <w:noProof/>
                <w:webHidden/>
              </w:rPr>
              <w:instrText xml:space="preserve"> PAGEREF _Toc343595874 \h </w:instrText>
            </w:r>
            <w:r w:rsidR="00522CCF">
              <w:rPr>
                <w:noProof/>
                <w:webHidden/>
              </w:rPr>
            </w:r>
            <w:r w:rsidR="00522CCF">
              <w:rPr>
                <w:noProof/>
                <w:webHidden/>
              </w:rPr>
              <w:fldChar w:fldCharType="separate"/>
            </w:r>
            <w:r w:rsidR="00522CCF">
              <w:rPr>
                <w:noProof/>
                <w:webHidden/>
              </w:rPr>
              <w:t>5</w:t>
            </w:r>
            <w:r w:rsidR="00522CCF">
              <w:rPr>
                <w:noProof/>
                <w:webHidden/>
              </w:rPr>
              <w:fldChar w:fldCharType="end"/>
            </w:r>
          </w:hyperlink>
        </w:p>
        <w:p w:rsidR="00522CCF" w:rsidRDefault="00DC0044">
          <w:pPr>
            <w:pStyle w:val="TOC1"/>
            <w:tabs>
              <w:tab w:val="left" w:pos="440"/>
              <w:tab w:val="right" w:leader="dot" w:pos="9016"/>
            </w:tabs>
            <w:rPr>
              <w:rFonts w:eastAsiaTheme="minorEastAsia"/>
              <w:noProof/>
              <w:lang w:eastAsia="en-GB"/>
            </w:rPr>
          </w:pPr>
          <w:hyperlink w:anchor="_Toc343595875" w:history="1">
            <w:r w:rsidR="00522CCF" w:rsidRPr="00E91F1C">
              <w:rPr>
                <w:rStyle w:val="Hyperlink"/>
                <w:noProof/>
                <w:lang w:val="en-US"/>
              </w:rPr>
              <w:t>V.</w:t>
            </w:r>
            <w:r w:rsidR="00522CCF">
              <w:rPr>
                <w:rFonts w:eastAsiaTheme="minorEastAsia"/>
                <w:noProof/>
                <w:lang w:eastAsia="en-GB"/>
              </w:rPr>
              <w:tab/>
            </w:r>
            <w:r w:rsidR="00522CCF" w:rsidRPr="00E91F1C">
              <w:rPr>
                <w:rStyle w:val="Hyperlink"/>
                <w:noProof/>
                <w:lang w:val="en-US"/>
              </w:rPr>
              <w:t>Emissions of the main air pollutants</w:t>
            </w:r>
            <w:r w:rsidR="00522CCF">
              <w:rPr>
                <w:noProof/>
                <w:webHidden/>
              </w:rPr>
              <w:tab/>
            </w:r>
            <w:r w:rsidR="00522CCF">
              <w:rPr>
                <w:noProof/>
                <w:webHidden/>
              </w:rPr>
              <w:fldChar w:fldCharType="begin"/>
            </w:r>
            <w:r w:rsidR="00522CCF">
              <w:rPr>
                <w:noProof/>
                <w:webHidden/>
              </w:rPr>
              <w:instrText xml:space="preserve"> PAGEREF _Toc343595875 \h </w:instrText>
            </w:r>
            <w:r w:rsidR="00522CCF">
              <w:rPr>
                <w:noProof/>
                <w:webHidden/>
              </w:rPr>
            </w:r>
            <w:r w:rsidR="00522CCF">
              <w:rPr>
                <w:noProof/>
                <w:webHidden/>
              </w:rPr>
              <w:fldChar w:fldCharType="separate"/>
            </w:r>
            <w:r w:rsidR="00522CCF">
              <w:rPr>
                <w:noProof/>
                <w:webHidden/>
              </w:rPr>
              <w:t>7</w:t>
            </w:r>
            <w:r w:rsidR="00522CCF">
              <w:rPr>
                <w:noProof/>
                <w:webHidden/>
              </w:rPr>
              <w:fldChar w:fldCharType="end"/>
            </w:r>
          </w:hyperlink>
        </w:p>
        <w:p w:rsidR="00522CCF" w:rsidRDefault="00DC0044">
          <w:pPr>
            <w:pStyle w:val="TOC2"/>
            <w:tabs>
              <w:tab w:val="left" w:pos="880"/>
              <w:tab w:val="right" w:leader="dot" w:pos="9016"/>
            </w:tabs>
            <w:rPr>
              <w:rFonts w:eastAsiaTheme="minorEastAsia"/>
              <w:noProof/>
              <w:lang w:eastAsia="en-GB"/>
            </w:rPr>
          </w:pPr>
          <w:hyperlink w:anchor="_Toc343595876" w:history="1">
            <w:r w:rsidR="00522CCF" w:rsidRPr="00E91F1C">
              <w:rPr>
                <w:rStyle w:val="Hyperlink"/>
                <w:noProof/>
                <w:lang w:val="en-US"/>
              </w:rPr>
              <w:t>V.I</w:t>
            </w:r>
            <w:r w:rsidR="00522CCF">
              <w:rPr>
                <w:rFonts w:eastAsiaTheme="minorEastAsia"/>
                <w:noProof/>
                <w:lang w:eastAsia="en-GB"/>
              </w:rPr>
              <w:tab/>
            </w:r>
            <w:r w:rsidR="00522CCF" w:rsidRPr="00E91F1C">
              <w:rPr>
                <w:rStyle w:val="Hyperlink"/>
                <w:noProof/>
                <w:lang w:val="en-US"/>
              </w:rPr>
              <w:t>Emissions trends</w:t>
            </w:r>
            <w:r w:rsidR="00522CCF">
              <w:rPr>
                <w:noProof/>
                <w:webHidden/>
              </w:rPr>
              <w:tab/>
            </w:r>
            <w:r w:rsidR="00522CCF">
              <w:rPr>
                <w:noProof/>
                <w:webHidden/>
              </w:rPr>
              <w:fldChar w:fldCharType="begin"/>
            </w:r>
            <w:r w:rsidR="00522CCF">
              <w:rPr>
                <w:noProof/>
                <w:webHidden/>
              </w:rPr>
              <w:instrText xml:space="preserve"> PAGEREF _Toc343595876 \h </w:instrText>
            </w:r>
            <w:r w:rsidR="00522CCF">
              <w:rPr>
                <w:noProof/>
                <w:webHidden/>
              </w:rPr>
            </w:r>
            <w:r w:rsidR="00522CCF">
              <w:rPr>
                <w:noProof/>
                <w:webHidden/>
              </w:rPr>
              <w:fldChar w:fldCharType="separate"/>
            </w:r>
            <w:r w:rsidR="00522CCF">
              <w:rPr>
                <w:noProof/>
                <w:webHidden/>
              </w:rPr>
              <w:t>7</w:t>
            </w:r>
            <w:r w:rsidR="00522CCF">
              <w:rPr>
                <w:noProof/>
                <w:webHidden/>
              </w:rPr>
              <w:fldChar w:fldCharType="end"/>
            </w:r>
          </w:hyperlink>
        </w:p>
        <w:p w:rsidR="00522CCF" w:rsidRDefault="00DC0044">
          <w:pPr>
            <w:pStyle w:val="TOC2"/>
            <w:tabs>
              <w:tab w:val="left" w:pos="880"/>
              <w:tab w:val="right" w:leader="dot" w:pos="9016"/>
            </w:tabs>
            <w:rPr>
              <w:rFonts w:eastAsiaTheme="minorEastAsia"/>
              <w:noProof/>
              <w:lang w:eastAsia="en-GB"/>
            </w:rPr>
          </w:pPr>
          <w:hyperlink w:anchor="_Toc343595877" w:history="1">
            <w:r w:rsidR="00522CCF" w:rsidRPr="00E91F1C">
              <w:rPr>
                <w:rStyle w:val="Hyperlink"/>
                <w:noProof/>
                <w:lang w:val="en-US"/>
              </w:rPr>
              <w:t>V.2</w:t>
            </w:r>
            <w:r w:rsidR="00522CCF">
              <w:rPr>
                <w:rFonts w:eastAsiaTheme="minorEastAsia"/>
                <w:noProof/>
                <w:lang w:eastAsia="en-GB"/>
              </w:rPr>
              <w:tab/>
            </w:r>
            <w:r w:rsidR="00522CCF" w:rsidRPr="00E91F1C">
              <w:rPr>
                <w:rStyle w:val="Hyperlink"/>
                <w:noProof/>
                <w:lang w:val="en-US"/>
              </w:rPr>
              <w:t>The role of different economic sectors</w:t>
            </w:r>
            <w:r w:rsidR="00522CCF">
              <w:rPr>
                <w:noProof/>
                <w:webHidden/>
              </w:rPr>
              <w:tab/>
            </w:r>
            <w:r w:rsidR="00522CCF">
              <w:rPr>
                <w:noProof/>
                <w:webHidden/>
              </w:rPr>
              <w:fldChar w:fldCharType="begin"/>
            </w:r>
            <w:r w:rsidR="00522CCF">
              <w:rPr>
                <w:noProof/>
                <w:webHidden/>
              </w:rPr>
              <w:instrText xml:space="preserve"> PAGEREF _Toc343595877 \h </w:instrText>
            </w:r>
            <w:r w:rsidR="00522CCF">
              <w:rPr>
                <w:noProof/>
                <w:webHidden/>
              </w:rPr>
            </w:r>
            <w:r w:rsidR="00522CCF">
              <w:rPr>
                <w:noProof/>
                <w:webHidden/>
              </w:rPr>
              <w:fldChar w:fldCharType="separate"/>
            </w:r>
            <w:r w:rsidR="00522CCF">
              <w:rPr>
                <w:noProof/>
                <w:webHidden/>
              </w:rPr>
              <w:t>8</w:t>
            </w:r>
            <w:r w:rsidR="00522CCF">
              <w:rPr>
                <w:noProof/>
                <w:webHidden/>
              </w:rPr>
              <w:fldChar w:fldCharType="end"/>
            </w:r>
          </w:hyperlink>
        </w:p>
        <w:p w:rsidR="00522CCF" w:rsidRDefault="00DC0044">
          <w:pPr>
            <w:pStyle w:val="TOC1"/>
            <w:tabs>
              <w:tab w:val="left" w:pos="660"/>
              <w:tab w:val="right" w:leader="dot" w:pos="9016"/>
            </w:tabs>
            <w:rPr>
              <w:rFonts w:eastAsiaTheme="minorEastAsia"/>
              <w:noProof/>
              <w:lang w:eastAsia="en-GB"/>
            </w:rPr>
          </w:pPr>
          <w:hyperlink w:anchor="_Toc343595878" w:history="1">
            <w:r w:rsidR="00522CCF" w:rsidRPr="00E91F1C">
              <w:rPr>
                <w:rStyle w:val="Hyperlink"/>
                <w:noProof/>
                <w:lang w:val="en-US"/>
              </w:rPr>
              <w:t>VI.</w:t>
            </w:r>
            <w:r w:rsidR="00522CCF">
              <w:rPr>
                <w:rFonts w:eastAsiaTheme="minorEastAsia"/>
                <w:noProof/>
                <w:lang w:eastAsia="en-GB"/>
              </w:rPr>
              <w:tab/>
            </w:r>
            <w:r w:rsidR="00522CCF" w:rsidRPr="00E91F1C">
              <w:rPr>
                <w:rStyle w:val="Hyperlink"/>
                <w:noProof/>
                <w:lang w:val="en-US"/>
              </w:rPr>
              <w:t>Compliance with existing international agreements and regional legal obligations</w:t>
            </w:r>
            <w:r w:rsidR="00522CCF">
              <w:rPr>
                <w:noProof/>
                <w:webHidden/>
              </w:rPr>
              <w:tab/>
            </w:r>
            <w:r w:rsidR="00522CCF">
              <w:rPr>
                <w:noProof/>
                <w:webHidden/>
              </w:rPr>
              <w:fldChar w:fldCharType="begin"/>
            </w:r>
            <w:r w:rsidR="00522CCF">
              <w:rPr>
                <w:noProof/>
                <w:webHidden/>
              </w:rPr>
              <w:instrText xml:space="preserve"> PAGEREF _Toc343595878 \h </w:instrText>
            </w:r>
            <w:r w:rsidR="00522CCF">
              <w:rPr>
                <w:noProof/>
                <w:webHidden/>
              </w:rPr>
            </w:r>
            <w:r w:rsidR="00522CCF">
              <w:rPr>
                <w:noProof/>
                <w:webHidden/>
              </w:rPr>
              <w:fldChar w:fldCharType="separate"/>
            </w:r>
            <w:r w:rsidR="00522CCF">
              <w:rPr>
                <w:noProof/>
                <w:webHidden/>
              </w:rPr>
              <w:t>10</w:t>
            </w:r>
            <w:r w:rsidR="00522CCF">
              <w:rPr>
                <w:noProof/>
                <w:webHidden/>
              </w:rPr>
              <w:fldChar w:fldCharType="end"/>
            </w:r>
          </w:hyperlink>
        </w:p>
        <w:p w:rsidR="00522CCF" w:rsidRDefault="00DC0044">
          <w:pPr>
            <w:pStyle w:val="TOC1"/>
            <w:tabs>
              <w:tab w:val="left" w:pos="660"/>
              <w:tab w:val="right" w:leader="dot" w:pos="9016"/>
            </w:tabs>
            <w:rPr>
              <w:rFonts w:eastAsiaTheme="minorEastAsia"/>
              <w:noProof/>
              <w:lang w:eastAsia="en-GB"/>
            </w:rPr>
          </w:pPr>
          <w:hyperlink w:anchor="_Toc343595879" w:history="1">
            <w:r w:rsidR="00522CCF" w:rsidRPr="00E91F1C">
              <w:rPr>
                <w:rStyle w:val="Hyperlink"/>
                <w:noProof/>
                <w:lang w:val="en-US"/>
              </w:rPr>
              <w:t>VII.</w:t>
            </w:r>
            <w:r w:rsidR="00522CCF">
              <w:rPr>
                <w:rFonts w:eastAsiaTheme="minorEastAsia"/>
                <w:noProof/>
                <w:lang w:eastAsia="en-GB"/>
              </w:rPr>
              <w:tab/>
            </w:r>
            <w:r w:rsidR="00522CCF" w:rsidRPr="00E91F1C">
              <w:rPr>
                <w:rStyle w:val="Hyperlink"/>
                <w:noProof/>
                <w:lang w:val="en-US"/>
              </w:rPr>
              <w:t>Interactions between sectoral emission sources and exposure to air pollution</w:t>
            </w:r>
            <w:r w:rsidR="00522CCF">
              <w:rPr>
                <w:noProof/>
                <w:webHidden/>
              </w:rPr>
              <w:tab/>
            </w:r>
            <w:r w:rsidR="00522CCF">
              <w:rPr>
                <w:noProof/>
                <w:webHidden/>
              </w:rPr>
              <w:fldChar w:fldCharType="begin"/>
            </w:r>
            <w:r w:rsidR="00522CCF">
              <w:rPr>
                <w:noProof/>
                <w:webHidden/>
              </w:rPr>
              <w:instrText xml:space="preserve"> PAGEREF _Toc343595879 \h </w:instrText>
            </w:r>
            <w:r w:rsidR="00522CCF">
              <w:rPr>
                <w:noProof/>
                <w:webHidden/>
              </w:rPr>
            </w:r>
            <w:r w:rsidR="00522CCF">
              <w:rPr>
                <w:noProof/>
                <w:webHidden/>
              </w:rPr>
              <w:fldChar w:fldCharType="separate"/>
            </w:r>
            <w:r w:rsidR="00522CCF">
              <w:rPr>
                <w:noProof/>
                <w:webHidden/>
              </w:rPr>
              <w:t>12</w:t>
            </w:r>
            <w:r w:rsidR="00522CCF">
              <w:rPr>
                <w:noProof/>
                <w:webHidden/>
              </w:rPr>
              <w:fldChar w:fldCharType="end"/>
            </w:r>
          </w:hyperlink>
        </w:p>
        <w:p w:rsidR="00522CCF" w:rsidRDefault="00DC0044">
          <w:pPr>
            <w:pStyle w:val="TOC2"/>
            <w:tabs>
              <w:tab w:val="left" w:pos="880"/>
              <w:tab w:val="right" w:leader="dot" w:pos="9016"/>
            </w:tabs>
            <w:rPr>
              <w:rFonts w:eastAsiaTheme="minorEastAsia"/>
              <w:noProof/>
              <w:lang w:eastAsia="en-GB"/>
            </w:rPr>
          </w:pPr>
          <w:hyperlink w:anchor="_Toc343595880" w:history="1">
            <w:r w:rsidR="00522CCF" w:rsidRPr="00E91F1C">
              <w:rPr>
                <w:rStyle w:val="Hyperlink"/>
                <w:noProof/>
                <w:lang w:val="en-US"/>
              </w:rPr>
              <w:t>VII.1</w:t>
            </w:r>
            <w:r w:rsidR="00522CCF">
              <w:rPr>
                <w:rFonts w:eastAsiaTheme="minorEastAsia"/>
                <w:noProof/>
                <w:lang w:eastAsia="en-GB"/>
              </w:rPr>
              <w:tab/>
            </w:r>
            <w:r w:rsidR="00522CCF" w:rsidRPr="00E91F1C">
              <w:rPr>
                <w:rStyle w:val="Hyperlink"/>
                <w:noProof/>
                <w:lang w:val="en-US"/>
              </w:rPr>
              <w:t>Exposure to air pollution</w:t>
            </w:r>
            <w:r w:rsidR="00522CCF">
              <w:rPr>
                <w:noProof/>
                <w:webHidden/>
              </w:rPr>
              <w:tab/>
            </w:r>
            <w:r w:rsidR="00522CCF">
              <w:rPr>
                <w:noProof/>
                <w:webHidden/>
              </w:rPr>
              <w:fldChar w:fldCharType="begin"/>
            </w:r>
            <w:r w:rsidR="00522CCF">
              <w:rPr>
                <w:noProof/>
                <w:webHidden/>
              </w:rPr>
              <w:instrText xml:space="preserve"> PAGEREF _Toc343595880 \h </w:instrText>
            </w:r>
            <w:r w:rsidR="00522CCF">
              <w:rPr>
                <w:noProof/>
                <w:webHidden/>
              </w:rPr>
            </w:r>
            <w:r w:rsidR="00522CCF">
              <w:rPr>
                <w:noProof/>
                <w:webHidden/>
              </w:rPr>
              <w:fldChar w:fldCharType="separate"/>
            </w:r>
            <w:r w:rsidR="00522CCF">
              <w:rPr>
                <w:noProof/>
                <w:webHidden/>
              </w:rPr>
              <w:t>12</w:t>
            </w:r>
            <w:r w:rsidR="00522CCF">
              <w:rPr>
                <w:noProof/>
                <w:webHidden/>
              </w:rPr>
              <w:fldChar w:fldCharType="end"/>
            </w:r>
          </w:hyperlink>
        </w:p>
        <w:p w:rsidR="00522CCF" w:rsidRDefault="00DC0044">
          <w:pPr>
            <w:pStyle w:val="TOC2"/>
            <w:tabs>
              <w:tab w:val="left" w:pos="880"/>
              <w:tab w:val="right" w:leader="dot" w:pos="9016"/>
            </w:tabs>
            <w:rPr>
              <w:rFonts w:eastAsiaTheme="minorEastAsia"/>
              <w:noProof/>
              <w:lang w:eastAsia="en-GB"/>
            </w:rPr>
          </w:pPr>
          <w:hyperlink w:anchor="_Toc343595881" w:history="1">
            <w:r w:rsidR="00522CCF" w:rsidRPr="00E91F1C">
              <w:rPr>
                <w:rStyle w:val="Hyperlink"/>
                <w:noProof/>
                <w:lang w:val="en-US"/>
              </w:rPr>
              <w:t>VII.2</w:t>
            </w:r>
            <w:r w:rsidR="00522CCF">
              <w:rPr>
                <w:rFonts w:eastAsiaTheme="minorEastAsia"/>
                <w:noProof/>
                <w:lang w:eastAsia="en-GB"/>
              </w:rPr>
              <w:tab/>
            </w:r>
            <w:r w:rsidR="00522CCF" w:rsidRPr="00E91F1C">
              <w:rPr>
                <w:rStyle w:val="Hyperlink"/>
                <w:noProof/>
                <w:lang w:val="en-US"/>
              </w:rPr>
              <w:t>Measures aimed to reduce the emissions of air pollutants</w:t>
            </w:r>
            <w:r w:rsidR="00522CCF">
              <w:rPr>
                <w:noProof/>
                <w:webHidden/>
              </w:rPr>
              <w:tab/>
            </w:r>
            <w:r w:rsidR="00522CCF">
              <w:rPr>
                <w:noProof/>
                <w:webHidden/>
              </w:rPr>
              <w:fldChar w:fldCharType="begin"/>
            </w:r>
            <w:r w:rsidR="00522CCF">
              <w:rPr>
                <w:noProof/>
                <w:webHidden/>
              </w:rPr>
              <w:instrText xml:space="preserve"> PAGEREF _Toc343595881 \h </w:instrText>
            </w:r>
            <w:r w:rsidR="00522CCF">
              <w:rPr>
                <w:noProof/>
                <w:webHidden/>
              </w:rPr>
            </w:r>
            <w:r w:rsidR="00522CCF">
              <w:rPr>
                <w:noProof/>
                <w:webHidden/>
              </w:rPr>
              <w:fldChar w:fldCharType="separate"/>
            </w:r>
            <w:r w:rsidR="00522CCF">
              <w:rPr>
                <w:noProof/>
                <w:webHidden/>
              </w:rPr>
              <w:t>13</w:t>
            </w:r>
            <w:r w:rsidR="00522CCF">
              <w:rPr>
                <w:noProof/>
                <w:webHidden/>
              </w:rPr>
              <w:fldChar w:fldCharType="end"/>
            </w:r>
          </w:hyperlink>
        </w:p>
        <w:p w:rsidR="00522CCF" w:rsidRDefault="00DC0044">
          <w:pPr>
            <w:pStyle w:val="TOC1"/>
            <w:tabs>
              <w:tab w:val="left" w:pos="660"/>
              <w:tab w:val="right" w:leader="dot" w:pos="9016"/>
            </w:tabs>
            <w:rPr>
              <w:rFonts w:eastAsiaTheme="minorEastAsia"/>
              <w:noProof/>
              <w:lang w:eastAsia="en-GB"/>
            </w:rPr>
          </w:pPr>
          <w:hyperlink w:anchor="_Toc343595882" w:history="1">
            <w:r w:rsidR="00522CCF" w:rsidRPr="00E91F1C">
              <w:rPr>
                <w:rStyle w:val="Hyperlink"/>
                <w:noProof/>
                <w:lang w:val="en-US"/>
              </w:rPr>
              <w:t>VIII.</w:t>
            </w:r>
            <w:r w:rsidR="00522CCF">
              <w:rPr>
                <w:rFonts w:eastAsiaTheme="minorEastAsia"/>
                <w:noProof/>
                <w:lang w:eastAsia="en-GB"/>
              </w:rPr>
              <w:tab/>
            </w:r>
            <w:r w:rsidR="00522CCF" w:rsidRPr="00E91F1C">
              <w:rPr>
                <w:rStyle w:val="Hyperlink"/>
                <w:noProof/>
                <w:lang w:val="en-US"/>
              </w:rPr>
              <w:t>Diesel exhaust emissions</w:t>
            </w:r>
            <w:r w:rsidR="00522CCF">
              <w:rPr>
                <w:noProof/>
                <w:webHidden/>
              </w:rPr>
              <w:tab/>
            </w:r>
            <w:r w:rsidR="00522CCF">
              <w:rPr>
                <w:noProof/>
                <w:webHidden/>
              </w:rPr>
              <w:fldChar w:fldCharType="begin"/>
            </w:r>
            <w:r w:rsidR="00522CCF">
              <w:rPr>
                <w:noProof/>
                <w:webHidden/>
              </w:rPr>
              <w:instrText xml:space="preserve"> PAGEREF _Toc343595882 \h </w:instrText>
            </w:r>
            <w:r w:rsidR="00522CCF">
              <w:rPr>
                <w:noProof/>
                <w:webHidden/>
              </w:rPr>
            </w:r>
            <w:r w:rsidR="00522CCF">
              <w:rPr>
                <w:noProof/>
                <w:webHidden/>
              </w:rPr>
              <w:fldChar w:fldCharType="separate"/>
            </w:r>
            <w:r w:rsidR="00522CCF">
              <w:rPr>
                <w:noProof/>
                <w:webHidden/>
              </w:rPr>
              <w:t>15</w:t>
            </w:r>
            <w:r w:rsidR="00522CCF">
              <w:rPr>
                <w:noProof/>
                <w:webHidden/>
              </w:rPr>
              <w:fldChar w:fldCharType="end"/>
            </w:r>
          </w:hyperlink>
        </w:p>
        <w:p w:rsidR="00522CCF" w:rsidRDefault="00DC0044">
          <w:pPr>
            <w:pStyle w:val="TOC2"/>
            <w:tabs>
              <w:tab w:val="left" w:pos="1100"/>
              <w:tab w:val="right" w:leader="dot" w:pos="9016"/>
            </w:tabs>
            <w:rPr>
              <w:rFonts w:eastAsiaTheme="minorEastAsia"/>
              <w:noProof/>
              <w:lang w:eastAsia="en-GB"/>
            </w:rPr>
          </w:pPr>
          <w:hyperlink w:anchor="_Toc343595883" w:history="1">
            <w:r w:rsidR="00522CCF" w:rsidRPr="00E91F1C">
              <w:rPr>
                <w:rStyle w:val="Hyperlink"/>
                <w:noProof/>
                <w:lang w:val="en-US"/>
              </w:rPr>
              <w:t>VIII.1</w:t>
            </w:r>
            <w:r w:rsidR="00522CCF">
              <w:rPr>
                <w:rFonts w:eastAsiaTheme="minorEastAsia"/>
                <w:noProof/>
                <w:lang w:eastAsia="en-GB"/>
              </w:rPr>
              <w:tab/>
            </w:r>
            <w:r w:rsidR="00522CCF" w:rsidRPr="00E91F1C">
              <w:rPr>
                <w:rStyle w:val="Hyperlink"/>
                <w:noProof/>
                <w:lang w:val="en-US"/>
              </w:rPr>
              <w:t>International Agency on Research on Cancer (IARC) decision on the carcinogenicity of diesel engine exhaust</w:t>
            </w:r>
            <w:r w:rsidR="00522CCF">
              <w:rPr>
                <w:noProof/>
                <w:webHidden/>
              </w:rPr>
              <w:tab/>
            </w:r>
            <w:r w:rsidR="00522CCF">
              <w:rPr>
                <w:noProof/>
                <w:webHidden/>
              </w:rPr>
              <w:fldChar w:fldCharType="begin"/>
            </w:r>
            <w:r w:rsidR="00522CCF">
              <w:rPr>
                <w:noProof/>
                <w:webHidden/>
              </w:rPr>
              <w:instrText xml:space="preserve"> PAGEREF _Toc343595883 \h </w:instrText>
            </w:r>
            <w:r w:rsidR="00522CCF">
              <w:rPr>
                <w:noProof/>
                <w:webHidden/>
              </w:rPr>
            </w:r>
            <w:r w:rsidR="00522CCF">
              <w:rPr>
                <w:noProof/>
                <w:webHidden/>
              </w:rPr>
              <w:fldChar w:fldCharType="separate"/>
            </w:r>
            <w:r w:rsidR="00522CCF">
              <w:rPr>
                <w:noProof/>
                <w:webHidden/>
              </w:rPr>
              <w:t>15</w:t>
            </w:r>
            <w:r w:rsidR="00522CCF">
              <w:rPr>
                <w:noProof/>
                <w:webHidden/>
              </w:rPr>
              <w:fldChar w:fldCharType="end"/>
            </w:r>
          </w:hyperlink>
        </w:p>
        <w:p w:rsidR="00522CCF" w:rsidRDefault="00DC0044">
          <w:pPr>
            <w:pStyle w:val="TOC2"/>
            <w:tabs>
              <w:tab w:val="left" w:pos="1100"/>
              <w:tab w:val="right" w:leader="dot" w:pos="9016"/>
            </w:tabs>
            <w:rPr>
              <w:rFonts w:eastAsiaTheme="minorEastAsia"/>
              <w:noProof/>
              <w:lang w:eastAsia="en-GB"/>
            </w:rPr>
          </w:pPr>
          <w:hyperlink w:anchor="_Toc343595884" w:history="1">
            <w:r w:rsidR="00522CCF" w:rsidRPr="00E91F1C">
              <w:rPr>
                <w:rStyle w:val="Hyperlink"/>
                <w:noProof/>
                <w:lang w:val="en-US"/>
              </w:rPr>
              <w:t>VIII.2</w:t>
            </w:r>
            <w:r w:rsidR="00522CCF">
              <w:rPr>
                <w:rFonts w:eastAsiaTheme="minorEastAsia"/>
                <w:noProof/>
                <w:lang w:eastAsia="en-GB"/>
              </w:rPr>
              <w:tab/>
            </w:r>
            <w:r w:rsidR="00522CCF" w:rsidRPr="00E91F1C">
              <w:rPr>
                <w:rStyle w:val="Hyperlink"/>
                <w:noProof/>
                <w:lang w:val="en-US"/>
              </w:rPr>
              <w:t>Measures aimed to reduce the emissions of air pollutants from diesel ICEs</w:t>
            </w:r>
            <w:r w:rsidR="00522CCF">
              <w:rPr>
                <w:noProof/>
                <w:webHidden/>
              </w:rPr>
              <w:tab/>
            </w:r>
            <w:r w:rsidR="00522CCF">
              <w:rPr>
                <w:noProof/>
                <w:webHidden/>
              </w:rPr>
              <w:fldChar w:fldCharType="begin"/>
            </w:r>
            <w:r w:rsidR="00522CCF">
              <w:rPr>
                <w:noProof/>
                <w:webHidden/>
              </w:rPr>
              <w:instrText xml:space="preserve"> PAGEREF _Toc343595884 \h </w:instrText>
            </w:r>
            <w:r w:rsidR="00522CCF">
              <w:rPr>
                <w:noProof/>
                <w:webHidden/>
              </w:rPr>
            </w:r>
            <w:r w:rsidR="00522CCF">
              <w:rPr>
                <w:noProof/>
                <w:webHidden/>
              </w:rPr>
              <w:fldChar w:fldCharType="separate"/>
            </w:r>
            <w:r w:rsidR="00522CCF">
              <w:rPr>
                <w:noProof/>
                <w:webHidden/>
              </w:rPr>
              <w:t>16</w:t>
            </w:r>
            <w:r w:rsidR="00522CCF">
              <w:rPr>
                <w:noProof/>
                <w:webHidden/>
              </w:rPr>
              <w:fldChar w:fldCharType="end"/>
            </w:r>
          </w:hyperlink>
        </w:p>
        <w:p w:rsidR="00522CCF" w:rsidRDefault="00DC0044">
          <w:pPr>
            <w:pStyle w:val="TOC2"/>
            <w:tabs>
              <w:tab w:val="right" w:leader="dot" w:pos="9016"/>
            </w:tabs>
            <w:rPr>
              <w:rFonts w:eastAsiaTheme="minorEastAsia"/>
              <w:noProof/>
              <w:lang w:eastAsia="en-GB"/>
            </w:rPr>
          </w:pPr>
          <w:hyperlink w:anchor="_Toc343595885" w:history="1">
            <w:r w:rsidR="00522CCF" w:rsidRPr="00E91F1C">
              <w:rPr>
                <w:rStyle w:val="Hyperlink"/>
                <w:noProof/>
                <w:lang w:val="en-US"/>
              </w:rPr>
              <w:t>VIII.3 UNECE activities on technologies reducing harmful effects of diesel ICEs</w:t>
            </w:r>
            <w:r w:rsidR="00522CCF">
              <w:rPr>
                <w:noProof/>
                <w:webHidden/>
              </w:rPr>
              <w:tab/>
            </w:r>
            <w:r w:rsidR="00522CCF">
              <w:rPr>
                <w:noProof/>
                <w:webHidden/>
              </w:rPr>
              <w:fldChar w:fldCharType="begin"/>
            </w:r>
            <w:r w:rsidR="00522CCF">
              <w:rPr>
                <w:noProof/>
                <w:webHidden/>
              </w:rPr>
              <w:instrText xml:space="preserve"> PAGEREF _Toc343595885 \h </w:instrText>
            </w:r>
            <w:r w:rsidR="00522CCF">
              <w:rPr>
                <w:noProof/>
                <w:webHidden/>
              </w:rPr>
            </w:r>
            <w:r w:rsidR="00522CCF">
              <w:rPr>
                <w:noProof/>
                <w:webHidden/>
              </w:rPr>
              <w:fldChar w:fldCharType="separate"/>
            </w:r>
            <w:r w:rsidR="00522CCF">
              <w:rPr>
                <w:noProof/>
                <w:webHidden/>
              </w:rPr>
              <w:t>18</w:t>
            </w:r>
            <w:r w:rsidR="00522CCF">
              <w:rPr>
                <w:noProof/>
                <w:webHidden/>
              </w:rPr>
              <w:fldChar w:fldCharType="end"/>
            </w:r>
          </w:hyperlink>
        </w:p>
        <w:p w:rsidR="00522CCF" w:rsidRDefault="00DC0044">
          <w:pPr>
            <w:pStyle w:val="TOC1"/>
            <w:tabs>
              <w:tab w:val="right" w:leader="dot" w:pos="9016"/>
            </w:tabs>
            <w:rPr>
              <w:rFonts w:eastAsiaTheme="minorEastAsia"/>
              <w:noProof/>
              <w:lang w:eastAsia="en-GB"/>
            </w:rPr>
          </w:pPr>
          <w:hyperlink w:anchor="_Toc343595886" w:history="1">
            <w:r w:rsidR="00522CCF" w:rsidRPr="00E91F1C">
              <w:rPr>
                <w:rStyle w:val="Hyperlink"/>
                <w:noProof/>
                <w:lang w:val="en-US"/>
              </w:rPr>
              <w:t>IX. Conclusions and recommendations.</w:t>
            </w:r>
            <w:r w:rsidR="00522CCF">
              <w:rPr>
                <w:noProof/>
                <w:webHidden/>
              </w:rPr>
              <w:tab/>
            </w:r>
            <w:r w:rsidR="00522CCF">
              <w:rPr>
                <w:noProof/>
                <w:webHidden/>
              </w:rPr>
              <w:fldChar w:fldCharType="begin"/>
            </w:r>
            <w:r w:rsidR="00522CCF">
              <w:rPr>
                <w:noProof/>
                <w:webHidden/>
              </w:rPr>
              <w:instrText xml:space="preserve"> PAGEREF _Toc343595886 \h </w:instrText>
            </w:r>
            <w:r w:rsidR="00522CCF">
              <w:rPr>
                <w:noProof/>
                <w:webHidden/>
              </w:rPr>
            </w:r>
            <w:r w:rsidR="00522CCF">
              <w:rPr>
                <w:noProof/>
                <w:webHidden/>
              </w:rPr>
              <w:fldChar w:fldCharType="separate"/>
            </w:r>
            <w:r w:rsidR="00522CCF">
              <w:rPr>
                <w:noProof/>
                <w:webHidden/>
              </w:rPr>
              <w:t>20</w:t>
            </w:r>
            <w:r w:rsidR="00522CCF">
              <w:rPr>
                <w:noProof/>
                <w:webHidden/>
              </w:rPr>
              <w:fldChar w:fldCharType="end"/>
            </w:r>
          </w:hyperlink>
        </w:p>
        <w:p w:rsidR="00522CCF" w:rsidRDefault="00DC0044">
          <w:pPr>
            <w:pStyle w:val="TOC1"/>
            <w:tabs>
              <w:tab w:val="right" w:leader="dot" w:pos="9016"/>
            </w:tabs>
            <w:rPr>
              <w:rFonts w:eastAsiaTheme="minorEastAsia"/>
              <w:noProof/>
              <w:lang w:eastAsia="en-GB"/>
            </w:rPr>
          </w:pPr>
          <w:hyperlink w:anchor="_Toc343595887" w:history="1">
            <w:r w:rsidR="00522CCF" w:rsidRPr="00E91F1C">
              <w:rPr>
                <w:rStyle w:val="Hyperlink"/>
                <w:noProof/>
              </w:rPr>
              <w:t>X. References</w:t>
            </w:r>
            <w:r w:rsidR="00522CCF">
              <w:rPr>
                <w:noProof/>
                <w:webHidden/>
              </w:rPr>
              <w:tab/>
            </w:r>
            <w:r w:rsidR="00522CCF">
              <w:rPr>
                <w:noProof/>
                <w:webHidden/>
              </w:rPr>
              <w:fldChar w:fldCharType="begin"/>
            </w:r>
            <w:r w:rsidR="00522CCF">
              <w:rPr>
                <w:noProof/>
                <w:webHidden/>
              </w:rPr>
              <w:instrText xml:space="preserve"> PAGEREF _Toc343595887 \h </w:instrText>
            </w:r>
            <w:r w:rsidR="00522CCF">
              <w:rPr>
                <w:noProof/>
                <w:webHidden/>
              </w:rPr>
            </w:r>
            <w:r w:rsidR="00522CCF">
              <w:rPr>
                <w:noProof/>
                <w:webHidden/>
              </w:rPr>
              <w:fldChar w:fldCharType="separate"/>
            </w:r>
            <w:r w:rsidR="00522CCF">
              <w:rPr>
                <w:noProof/>
                <w:webHidden/>
              </w:rPr>
              <w:t>20</w:t>
            </w:r>
            <w:r w:rsidR="00522CCF">
              <w:rPr>
                <w:noProof/>
                <w:webHidden/>
              </w:rPr>
              <w:fldChar w:fldCharType="end"/>
            </w:r>
          </w:hyperlink>
        </w:p>
        <w:p w:rsidR="00C61948" w:rsidRDefault="00C61948" w:rsidP="00522CCF">
          <w:pPr>
            <w:rPr>
              <w:lang w:val="en-US"/>
            </w:rPr>
          </w:pPr>
          <w:r>
            <w:rPr>
              <w:b/>
              <w:bCs/>
              <w:noProof/>
            </w:rPr>
            <w:fldChar w:fldCharType="end"/>
          </w:r>
        </w:p>
      </w:sdtContent>
    </w:sdt>
    <w:p w:rsidR="00522CCF" w:rsidRDefault="00522CCF">
      <w:pPr>
        <w:rPr>
          <w:rFonts w:asciiTheme="majorHAnsi" w:eastAsiaTheme="majorEastAsia" w:hAnsiTheme="majorHAnsi" w:cstheme="majorBidi"/>
          <w:color w:val="17365D" w:themeColor="text2" w:themeShade="BF"/>
          <w:spacing w:val="5"/>
          <w:kern w:val="28"/>
          <w:sz w:val="52"/>
          <w:szCs w:val="52"/>
          <w:lang w:val="en-US"/>
        </w:rPr>
      </w:pPr>
      <w:r>
        <w:rPr>
          <w:lang w:val="en-US"/>
        </w:rPr>
        <w:br w:type="page"/>
      </w:r>
    </w:p>
    <w:p w:rsidR="0074384F" w:rsidRDefault="00D21D47" w:rsidP="00D21D47">
      <w:pPr>
        <w:pStyle w:val="Title"/>
        <w:jc w:val="center"/>
        <w:rPr>
          <w:lang w:val="en-US"/>
        </w:rPr>
      </w:pPr>
      <w:r w:rsidRPr="00D21D47">
        <w:rPr>
          <w:lang w:val="en-US"/>
        </w:rPr>
        <w:lastRenderedPageBreak/>
        <w:t>Diesel Engines Exhausts:</w:t>
      </w:r>
    </w:p>
    <w:p w:rsidR="00281887" w:rsidRPr="00D21D47" w:rsidRDefault="00D21D47" w:rsidP="00D21D47">
      <w:pPr>
        <w:pStyle w:val="Title"/>
        <w:jc w:val="center"/>
        <w:rPr>
          <w:lang w:val="en-US"/>
        </w:rPr>
      </w:pPr>
      <w:proofErr w:type="gramStart"/>
      <w:r w:rsidRPr="00D21D47">
        <w:rPr>
          <w:lang w:val="en-US"/>
        </w:rPr>
        <w:t>myths</w:t>
      </w:r>
      <w:proofErr w:type="gramEnd"/>
      <w:r w:rsidRPr="00D21D47">
        <w:rPr>
          <w:lang w:val="en-US"/>
        </w:rPr>
        <w:t xml:space="preserve"> and realities</w:t>
      </w:r>
    </w:p>
    <w:p w:rsidR="00D76429" w:rsidRDefault="00D36487" w:rsidP="0093482F">
      <w:pPr>
        <w:spacing w:after="120" w:line="240" w:lineRule="auto"/>
        <w:ind w:right="95"/>
        <w:jc w:val="center"/>
        <w:rPr>
          <w:lang w:val="en-US"/>
        </w:rPr>
      </w:pPr>
      <w:r w:rsidRPr="00AB179F">
        <w:rPr>
          <w:lang w:val="en-US"/>
        </w:rPr>
        <w:t xml:space="preserve">A </w:t>
      </w:r>
      <w:r w:rsidR="00477571" w:rsidRPr="00AB179F">
        <w:rPr>
          <w:lang w:val="en-US"/>
        </w:rPr>
        <w:t xml:space="preserve">background </w:t>
      </w:r>
      <w:r w:rsidRPr="00AB179F">
        <w:rPr>
          <w:lang w:val="en-US"/>
        </w:rPr>
        <w:t xml:space="preserve">note </w:t>
      </w:r>
      <w:r w:rsidR="00477571" w:rsidRPr="00AB179F">
        <w:rPr>
          <w:lang w:val="en-US"/>
        </w:rPr>
        <w:t xml:space="preserve">– version </w:t>
      </w:r>
      <w:r w:rsidR="00D95F47">
        <w:rPr>
          <w:lang w:val="en-US"/>
        </w:rPr>
        <w:t>3</w:t>
      </w:r>
      <w:r w:rsidR="00477571" w:rsidRPr="00AB179F">
        <w:rPr>
          <w:lang w:val="en-US"/>
        </w:rPr>
        <w:t>.0</w:t>
      </w:r>
    </w:p>
    <w:p w:rsidR="001766AB" w:rsidRPr="0093482F" w:rsidRDefault="005A6262" w:rsidP="0074384F">
      <w:pPr>
        <w:pStyle w:val="Heading1"/>
      </w:pPr>
      <w:bookmarkStart w:id="1" w:name="_Toc343595871"/>
      <w:r w:rsidRPr="0093482F">
        <w:t>I. Introduction</w:t>
      </w:r>
      <w:bookmarkEnd w:id="1"/>
    </w:p>
    <w:p w:rsidR="00C25A82" w:rsidRDefault="00C25A82" w:rsidP="0074384F">
      <w:pPr>
        <w:spacing w:after="120"/>
        <w:ind w:right="96"/>
        <w:jc w:val="both"/>
        <w:rPr>
          <w:lang w:val="en-US"/>
        </w:rPr>
      </w:pPr>
      <w:r>
        <w:rPr>
          <w:lang w:val="en-US"/>
        </w:rPr>
        <w:t>1</w:t>
      </w:r>
      <w:r w:rsidR="00B55C7C" w:rsidRPr="00F42FD3">
        <w:rPr>
          <w:lang w:val="en-US"/>
        </w:rPr>
        <w:t>.</w:t>
      </w:r>
      <w:r w:rsidR="00FA2A19">
        <w:rPr>
          <w:lang w:val="en-US"/>
        </w:rPr>
        <w:tab/>
      </w:r>
      <w:r w:rsidR="00B55C7C" w:rsidRPr="00F42FD3">
        <w:rPr>
          <w:lang w:val="en-US"/>
        </w:rPr>
        <w:t>Every day</w:t>
      </w:r>
      <w:r w:rsidR="00006661" w:rsidRPr="00F42FD3">
        <w:rPr>
          <w:lang w:val="en-US"/>
        </w:rPr>
        <w:t>,</w:t>
      </w:r>
      <w:r w:rsidR="00B55C7C" w:rsidRPr="00F42FD3">
        <w:rPr>
          <w:lang w:val="en-US"/>
        </w:rPr>
        <w:t xml:space="preserve"> millions of diesel-powered vehicles busily move consumer goods and raw materials from ports, distribution centers and rail yards to stores and industrial facilities throughout the world. </w:t>
      </w:r>
      <w:r>
        <w:rPr>
          <w:lang w:val="en-US"/>
        </w:rPr>
        <w:t>Diesel powered s</w:t>
      </w:r>
      <w:r w:rsidRPr="00F42FD3">
        <w:rPr>
          <w:lang w:val="en-US"/>
        </w:rPr>
        <w:t>hips</w:t>
      </w:r>
      <w:r w:rsidR="00B55C7C" w:rsidRPr="00F42FD3">
        <w:rPr>
          <w:lang w:val="en-US"/>
        </w:rPr>
        <w:t xml:space="preserve">, trains and trucks </w:t>
      </w:r>
      <w:r w:rsidR="0049144D" w:rsidRPr="00F42FD3">
        <w:rPr>
          <w:lang w:val="en-US"/>
        </w:rPr>
        <w:t xml:space="preserve">play a pivotal role for local, regional and global commerce Most of </w:t>
      </w:r>
      <w:r w:rsidR="00D95F47" w:rsidRPr="00F42FD3">
        <w:rPr>
          <w:lang w:val="en-US"/>
        </w:rPr>
        <w:t>the rivers barges, freight trains and ocean-going</w:t>
      </w:r>
      <w:r w:rsidR="0049144D" w:rsidRPr="00F42FD3">
        <w:rPr>
          <w:lang w:val="en-US"/>
        </w:rPr>
        <w:t xml:space="preserve"> </w:t>
      </w:r>
      <w:r w:rsidR="00B55C7C" w:rsidRPr="00F42FD3">
        <w:rPr>
          <w:lang w:val="en-US"/>
        </w:rPr>
        <w:t xml:space="preserve">ships are </w:t>
      </w:r>
      <w:r>
        <w:rPr>
          <w:lang w:val="en-US"/>
        </w:rPr>
        <w:t xml:space="preserve">also </w:t>
      </w:r>
      <w:r w:rsidR="00B55C7C" w:rsidRPr="00F42FD3">
        <w:rPr>
          <w:lang w:val="en-US"/>
        </w:rPr>
        <w:t>powered by diesel, as are the overwhelming majority of trucks and</w:t>
      </w:r>
      <w:r w:rsidR="00D95F47">
        <w:rPr>
          <w:lang w:val="en-US"/>
        </w:rPr>
        <w:t xml:space="preserve"> </w:t>
      </w:r>
      <w:r w:rsidR="0049144D" w:rsidRPr="00F42FD3">
        <w:rPr>
          <w:lang w:val="en-US"/>
        </w:rPr>
        <w:t>lorries</w:t>
      </w:r>
      <w:r w:rsidR="00B55C7C" w:rsidRPr="00F42FD3">
        <w:rPr>
          <w:lang w:val="en-US"/>
        </w:rPr>
        <w:t xml:space="preserve">. </w:t>
      </w:r>
    </w:p>
    <w:p w:rsidR="00C25A82" w:rsidRDefault="00C25A82" w:rsidP="0074384F">
      <w:pPr>
        <w:spacing w:after="120"/>
        <w:ind w:right="96"/>
        <w:jc w:val="both"/>
        <w:rPr>
          <w:lang w:val="en-US"/>
        </w:rPr>
      </w:pPr>
      <w:r>
        <w:rPr>
          <w:lang w:val="en-US"/>
        </w:rPr>
        <w:t>2.</w:t>
      </w:r>
      <w:r>
        <w:rPr>
          <w:lang w:val="en-US"/>
        </w:rPr>
        <w:tab/>
      </w:r>
      <w:r w:rsidR="00B55C7C" w:rsidRPr="00F42FD3">
        <w:rPr>
          <w:lang w:val="en-US"/>
        </w:rPr>
        <w:t xml:space="preserve">Diesel-powered equipment is also a major part of the supply chain that moves crops from the farm to the dinner table. Diesel-powered farm tractors, combines and irrigation pumps are just a few examples of the types of equipment that literally drive one of the most important industries </w:t>
      </w:r>
      <w:r w:rsidR="00006661" w:rsidRPr="00F42FD3">
        <w:rPr>
          <w:lang w:val="en-US"/>
        </w:rPr>
        <w:t xml:space="preserve">of </w:t>
      </w:r>
      <w:r w:rsidR="00B55C7C" w:rsidRPr="00F42FD3">
        <w:rPr>
          <w:lang w:val="en-US"/>
        </w:rPr>
        <w:t>national econom</w:t>
      </w:r>
      <w:r w:rsidR="00006661" w:rsidRPr="00F42FD3">
        <w:rPr>
          <w:lang w:val="en-US"/>
        </w:rPr>
        <w:t>ies</w:t>
      </w:r>
      <w:r w:rsidR="00B55C7C" w:rsidRPr="00F42FD3">
        <w:rPr>
          <w:lang w:val="en-US"/>
        </w:rPr>
        <w:t xml:space="preserve">. </w:t>
      </w:r>
    </w:p>
    <w:p w:rsidR="00C25A82" w:rsidRDefault="00C25A82" w:rsidP="0074384F">
      <w:pPr>
        <w:spacing w:after="120"/>
        <w:ind w:right="96"/>
        <w:jc w:val="both"/>
        <w:rPr>
          <w:lang w:val="en-US"/>
        </w:rPr>
      </w:pPr>
      <w:r>
        <w:rPr>
          <w:lang w:val="en-US"/>
        </w:rPr>
        <w:t>3.</w:t>
      </w:r>
      <w:r w:rsidRPr="00C25A82">
        <w:rPr>
          <w:lang w:val="en-US"/>
        </w:rPr>
        <w:tab/>
        <w:t>Diesel engines are</w:t>
      </w:r>
      <w:r>
        <w:rPr>
          <w:lang w:val="en-US"/>
        </w:rPr>
        <w:t xml:space="preserve"> not only fundamental in mobile vehicles and machinery, but also </w:t>
      </w:r>
      <w:r w:rsidRPr="00C25A82">
        <w:rPr>
          <w:lang w:val="en-US"/>
        </w:rPr>
        <w:t>widely employed</w:t>
      </w:r>
      <w:r>
        <w:rPr>
          <w:lang w:val="en-US"/>
        </w:rPr>
        <w:t xml:space="preserve"> in stationary applications </w:t>
      </w:r>
      <w:r w:rsidR="002145A9">
        <w:rPr>
          <w:lang w:val="en-US"/>
        </w:rPr>
        <w:t>such as pipeline pumps,</w:t>
      </w:r>
      <w:r w:rsidRPr="00C25A82">
        <w:rPr>
          <w:lang w:val="en-US"/>
        </w:rPr>
        <w:t xml:space="preserve"> electric and water plants, </w:t>
      </w:r>
      <w:r w:rsidR="002145A9">
        <w:rPr>
          <w:lang w:val="en-US"/>
        </w:rPr>
        <w:t>industrial machinery</w:t>
      </w:r>
      <w:r w:rsidRPr="00C25A82">
        <w:rPr>
          <w:lang w:val="en-US"/>
        </w:rPr>
        <w:t xml:space="preserve">, </w:t>
      </w:r>
      <w:r w:rsidR="002145A9">
        <w:rPr>
          <w:lang w:val="en-US"/>
        </w:rPr>
        <w:t xml:space="preserve">mining tools, </w:t>
      </w:r>
      <w:r w:rsidRPr="00C25A82">
        <w:rPr>
          <w:lang w:val="en-US"/>
        </w:rPr>
        <w:t>factories and oil fields.</w:t>
      </w:r>
    </w:p>
    <w:p w:rsidR="00B55C7C" w:rsidRPr="00F42FD3" w:rsidRDefault="002145A9" w:rsidP="0074384F">
      <w:pPr>
        <w:spacing w:after="120"/>
        <w:ind w:right="96"/>
        <w:jc w:val="both"/>
        <w:rPr>
          <w:lang w:val="en-US"/>
        </w:rPr>
      </w:pPr>
      <w:r>
        <w:rPr>
          <w:lang w:val="en-US"/>
        </w:rPr>
        <w:t>4.</w:t>
      </w:r>
      <w:r>
        <w:rPr>
          <w:lang w:val="en-US"/>
        </w:rPr>
        <w:tab/>
        <w:t>U</w:t>
      </w:r>
      <w:r w:rsidR="00B55C7C" w:rsidRPr="00F42FD3">
        <w:rPr>
          <w:lang w:val="en-US"/>
        </w:rPr>
        <w:t xml:space="preserve">nmatched in their reliability, durability, fuel efficiency and </w:t>
      </w:r>
      <w:proofErr w:type="gramStart"/>
      <w:r w:rsidR="00B55C7C" w:rsidRPr="00F42FD3">
        <w:rPr>
          <w:lang w:val="en-US"/>
        </w:rPr>
        <w:t>mobility.</w:t>
      </w:r>
      <w:r>
        <w:rPr>
          <w:lang w:val="en-US"/>
        </w:rPr>
        <w:t>,</w:t>
      </w:r>
      <w:proofErr w:type="gramEnd"/>
      <w:r>
        <w:rPr>
          <w:lang w:val="en-US"/>
        </w:rPr>
        <w:t xml:space="preserve"> diesel engines contribute play a fundamental role to allow</w:t>
      </w:r>
      <w:r w:rsidR="0049144D" w:rsidRPr="00F42FD3">
        <w:rPr>
          <w:lang w:val="en-US"/>
        </w:rPr>
        <w:t xml:space="preserve"> economic development </w:t>
      </w:r>
      <w:r>
        <w:rPr>
          <w:lang w:val="en-US"/>
        </w:rPr>
        <w:t>of human societies. Notwithstanding this undeniable success, diesel engines are also associated with a number of environmental, noise- and health-related impacts.</w:t>
      </w:r>
      <w:r w:rsidR="00F0566F" w:rsidRPr="00F42FD3">
        <w:rPr>
          <w:lang w:val="en-US"/>
        </w:rPr>
        <w:t xml:space="preserve"> </w:t>
      </w:r>
    </w:p>
    <w:p w:rsidR="0098477B" w:rsidRPr="00F42FD3" w:rsidRDefault="009B653C" w:rsidP="0074384F">
      <w:pPr>
        <w:spacing w:after="120"/>
        <w:ind w:right="96"/>
        <w:jc w:val="both"/>
        <w:rPr>
          <w:lang w:val="en-US"/>
        </w:rPr>
      </w:pPr>
      <w:r w:rsidRPr="00F42FD3">
        <w:rPr>
          <w:lang w:val="en-US"/>
        </w:rPr>
        <w:t>5.</w:t>
      </w:r>
      <w:r w:rsidR="00FA2A19">
        <w:rPr>
          <w:lang w:val="en-US"/>
        </w:rPr>
        <w:tab/>
      </w:r>
      <w:r w:rsidR="005A6262" w:rsidRPr="00F42FD3">
        <w:rPr>
          <w:lang w:val="en-US"/>
        </w:rPr>
        <w:t>The objective of th</w:t>
      </w:r>
      <w:r w:rsidR="00AC2859" w:rsidRPr="00F42FD3">
        <w:rPr>
          <w:lang w:val="en-US"/>
        </w:rPr>
        <w:t>is</w:t>
      </w:r>
      <w:r w:rsidR="005A6262" w:rsidRPr="00F42FD3">
        <w:rPr>
          <w:lang w:val="en-US"/>
        </w:rPr>
        <w:t xml:space="preserve"> background note is to provide basic information about </w:t>
      </w:r>
      <w:r w:rsidR="00AB179F" w:rsidRPr="00F42FD3">
        <w:rPr>
          <w:lang w:val="en-US"/>
        </w:rPr>
        <w:t>some r</w:t>
      </w:r>
      <w:r w:rsidR="005A6262" w:rsidRPr="00F42FD3">
        <w:rPr>
          <w:lang w:val="en-US"/>
        </w:rPr>
        <w:t xml:space="preserve">ecent and important </w:t>
      </w:r>
      <w:proofErr w:type="gramStart"/>
      <w:r w:rsidR="005A6262" w:rsidRPr="00F42FD3">
        <w:rPr>
          <w:lang w:val="en-US"/>
        </w:rPr>
        <w:t xml:space="preserve">developments </w:t>
      </w:r>
      <w:r w:rsidR="00F0566F" w:rsidRPr="00F42FD3">
        <w:rPr>
          <w:lang w:val="en-US"/>
        </w:rPr>
        <w:t xml:space="preserve"> in</w:t>
      </w:r>
      <w:proofErr w:type="gramEnd"/>
      <w:r w:rsidR="00F0566F" w:rsidRPr="00F42FD3">
        <w:rPr>
          <w:lang w:val="en-US"/>
        </w:rPr>
        <w:t xml:space="preserve"> air pollution</w:t>
      </w:r>
      <w:r w:rsidR="00006661" w:rsidRPr="00F42FD3">
        <w:rPr>
          <w:lang w:val="en-US"/>
        </w:rPr>
        <w:t xml:space="preserve">; </w:t>
      </w:r>
      <w:r w:rsidRPr="00F42FD3">
        <w:rPr>
          <w:lang w:val="en-US"/>
        </w:rPr>
        <w:t xml:space="preserve">illustrate the results of recent studies </w:t>
      </w:r>
      <w:r w:rsidR="00006661" w:rsidRPr="00F42FD3">
        <w:rPr>
          <w:lang w:val="en-US"/>
        </w:rPr>
        <w:t xml:space="preserve">on </w:t>
      </w:r>
      <w:r w:rsidRPr="00F42FD3">
        <w:rPr>
          <w:lang w:val="en-US"/>
        </w:rPr>
        <w:t>the harmful effects of diesel exhausts to public health</w:t>
      </w:r>
      <w:r w:rsidR="00006661" w:rsidRPr="00F42FD3">
        <w:rPr>
          <w:lang w:val="en-US"/>
        </w:rPr>
        <w:t>;</w:t>
      </w:r>
      <w:r w:rsidRPr="00F42FD3">
        <w:rPr>
          <w:lang w:val="en-US"/>
        </w:rPr>
        <w:t xml:space="preserve"> and inform about technological developments </w:t>
      </w:r>
      <w:r w:rsidR="00006661" w:rsidRPr="00F42FD3">
        <w:rPr>
          <w:lang w:val="en-US"/>
        </w:rPr>
        <w:t xml:space="preserve">of </w:t>
      </w:r>
      <w:r w:rsidRPr="00F42FD3">
        <w:rPr>
          <w:lang w:val="en-US"/>
        </w:rPr>
        <w:t xml:space="preserve">diesel engines </w:t>
      </w:r>
      <w:r w:rsidR="0098477B" w:rsidRPr="00F42FD3">
        <w:rPr>
          <w:lang w:val="en-US"/>
        </w:rPr>
        <w:t xml:space="preserve">or their replacement by electric ones </w:t>
      </w:r>
      <w:r w:rsidRPr="00F42FD3">
        <w:rPr>
          <w:lang w:val="en-US"/>
        </w:rPr>
        <w:t xml:space="preserve">that minimize or </w:t>
      </w:r>
      <w:r w:rsidR="0098477B" w:rsidRPr="00F42FD3">
        <w:rPr>
          <w:lang w:val="en-US"/>
        </w:rPr>
        <w:t>even</w:t>
      </w:r>
      <w:r w:rsidRPr="00F42FD3">
        <w:rPr>
          <w:lang w:val="en-US"/>
        </w:rPr>
        <w:t xml:space="preserve"> </w:t>
      </w:r>
      <w:r w:rsidR="00006661" w:rsidRPr="00F42FD3">
        <w:rPr>
          <w:lang w:val="en-US"/>
        </w:rPr>
        <w:t>remove</w:t>
      </w:r>
      <w:r w:rsidRPr="00F42FD3">
        <w:rPr>
          <w:lang w:val="en-US"/>
        </w:rPr>
        <w:t xml:space="preserve"> </w:t>
      </w:r>
      <w:r w:rsidR="00F0566F" w:rsidRPr="00F42FD3">
        <w:rPr>
          <w:lang w:val="en-US"/>
        </w:rPr>
        <w:t>these harmful</w:t>
      </w:r>
      <w:r w:rsidRPr="00F42FD3">
        <w:rPr>
          <w:lang w:val="en-US"/>
        </w:rPr>
        <w:t xml:space="preserve"> effects</w:t>
      </w:r>
      <w:r w:rsidR="0098477B" w:rsidRPr="00F42FD3">
        <w:rPr>
          <w:lang w:val="en-US"/>
        </w:rPr>
        <w:t xml:space="preserve">. </w:t>
      </w:r>
    </w:p>
    <w:p w:rsidR="00691E2D" w:rsidRPr="00F42FD3" w:rsidRDefault="00FA2A19" w:rsidP="0074384F">
      <w:pPr>
        <w:spacing w:after="120"/>
        <w:ind w:right="96"/>
        <w:jc w:val="both"/>
        <w:rPr>
          <w:lang w:val="en-US"/>
        </w:rPr>
      </w:pPr>
      <w:r>
        <w:rPr>
          <w:lang w:val="en-US"/>
        </w:rPr>
        <w:t>6.</w:t>
      </w:r>
      <w:r>
        <w:rPr>
          <w:lang w:val="en-US"/>
        </w:rPr>
        <w:tab/>
      </w:r>
      <w:r w:rsidR="00691E2D" w:rsidRPr="00E71EDE">
        <w:rPr>
          <w:lang w:val="en-US"/>
        </w:rPr>
        <w:t>Section II contains</w:t>
      </w:r>
      <w:r w:rsidR="00691E2D" w:rsidRPr="00F42FD3">
        <w:rPr>
          <w:lang w:val="en-US"/>
        </w:rPr>
        <w:t xml:space="preserve"> a list of the main air pollutants and their effects on human health and the environment.</w:t>
      </w:r>
    </w:p>
    <w:p w:rsidR="00691E2D" w:rsidRPr="00F42FD3" w:rsidRDefault="00FA2A19" w:rsidP="0074384F">
      <w:pPr>
        <w:spacing w:after="120"/>
        <w:ind w:right="96"/>
        <w:jc w:val="both"/>
        <w:rPr>
          <w:lang w:val="en-US"/>
        </w:rPr>
      </w:pPr>
      <w:r>
        <w:rPr>
          <w:lang w:val="en-US"/>
        </w:rPr>
        <w:t>7.</w:t>
      </w:r>
      <w:r>
        <w:rPr>
          <w:lang w:val="en-US"/>
        </w:rPr>
        <w:tab/>
      </w:r>
      <w:r w:rsidR="00691E2D" w:rsidRPr="00E71EDE">
        <w:rPr>
          <w:lang w:val="en-US"/>
        </w:rPr>
        <w:t>Section III</w:t>
      </w:r>
      <w:r w:rsidR="00691E2D" w:rsidRPr="00F42FD3">
        <w:rPr>
          <w:lang w:val="en-US"/>
        </w:rPr>
        <w:t xml:space="preserve"> provides information on the difference between emissions and emission concentrations.</w:t>
      </w:r>
    </w:p>
    <w:p w:rsidR="00691E2D" w:rsidRPr="00F42FD3" w:rsidRDefault="00FA2A19" w:rsidP="0074384F">
      <w:pPr>
        <w:spacing w:after="120"/>
        <w:ind w:right="96"/>
        <w:jc w:val="both"/>
        <w:rPr>
          <w:lang w:val="en-US"/>
        </w:rPr>
      </w:pPr>
      <w:r>
        <w:rPr>
          <w:lang w:val="en-US"/>
        </w:rPr>
        <w:t xml:space="preserve">8. </w:t>
      </w:r>
      <w:r>
        <w:rPr>
          <w:lang w:val="en-US"/>
        </w:rPr>
        <w:tab/>
      </w:r>
      <w:r w:rsidR="00691E2D" w:rsidRPr="00E71EDE">
        <w:rPr>
          <w:lang w:val="en-US"/>
        </w:rPr>
        <w:t>Section IV</w:t>
      </w:r>
      <w:r w:rsidR="00691E2D" w:rsidRPr="00F42FD3">
        <w:rPr>
          <w:lang w:val="en-US"/>
        </w:rPr>
        <w:t xml:space="preserve"> contains a brief review of UNECE-relevant policies and agreements related to air quality, health and environmental issues.</w:t>
      </w:r>
    </w:p>
    <w:p w:rsidR="00691E2D" w:rsidRPr="00F42FD3" w:rsidRDefault="00FA2A19" w:rsidP="0074384F">
      <w:pPr>
        <w:spacing w:after="120"/>
        <w:ind w:right="96"/>
        <w:jc w:val="both"/>
        <w:rPr>
          <w:lang w:val="en-US"/>
        </w:rPr>
      </w:pPr>
      <w:r>
        <w:rPr>
          <w:lang w:val="en-US"/>
        </w:rPr>
        <w:t>9.</w:t>
      </w:r>
      <w:r>
        <w:rPr>
          <w:lang w:val="en-US"/>
        </w:rPr>
        <w:tab/>
      </w:r>
      <w:r w:rsidR="00691E2D" w:rsidRPr="00F42FD3">
        <w:rPr>
          <w:lang w:val="en-US"/>
        </w:rPr>
        <w:t>Building on published information, Section V provides information on the emissions of the main air pollutants and the sources that generate them (stationary and mobile sources).</w:t>
      </w:r>
    </w:p>
    <w:p w:rsidR="00691E2D" w:rsidRPr="00F42FD3" w:rsidRDefault="00FA2A19" w:rsidP="0074384F">
      <w:pPr>
        <w:spacing w:after="120"/>
        <w:ind w:right="96"/>
        <w:jc w:val="both"/>
        <w:rPr>
          <w:lang w:val="en-US"/>
        </w:rPr>
      </w:pPr>
      <w:r>
        <w:rPr>
          <w:lang w:val="en-US"/>
        </w:rPr>
        <w:t>10</w:t>
      </w:r>
      <w:r w:rsidR="0074384F">
        <w:rPr>
          <w:lang w:val="en-US"/>
        </w:rPr>
        <w:t>.</w:t>
      </w:r>
      <w:r>
        <w:rPr>
          <w:lang w:val="en-US"/>
        </w:rPr>
        <w:tab/>
      </w:r>
      <w:r w:rsidR="00691E2D" w:rsidRPr="00E71EDE">
        <w:rPr>
          <w:lang w:val="en-US"/>
        </w:rPr>
        <w:t>Section VI</w:t>
      </w:r>
      <w:r w:rsidR="00691E2D" w:rsidRPr="00F42FD3">
        <w:rPr>
          <w:lang w:val="en-US"/>
        </w:rPr>
        <w:t xml:space="preserve"> focuses on the compliance with existing </w:t>
      </w:r>
      <w:r w:rsidR="00F0566F" w:rsidRPr="00F42FD3">
        <w:rPr>
          <w:lang w:val="en-US"/>
        </w:rPr>
        <w:t xml:space="preserve">international agreements, as well as </w:t>
      </w:r>
      <w:r w:rsidR="00691E2D" w:rsidRPr="00F42FD3">
        <w:rPr>
          <w:lang w:val="en-US"/>
        </w:rPr>
        <w:t xml:space="preserve">EU legislation. It reports briefly on an assessment of the atmospheric concentration of the main air pollutants in Europe and considers in further detail the emissions of some of these pollutants </w:t>
      </w:r>
      <w:proofErr w:type="gramStart"/>
      <w:r w:rsidR="00691E2D" w:rsidRPr="00F42FD3">
        <w:rPr>
          <w:lang w:val="en-US"/>
        </w:rPr>
        <w:t xml:space="preserve">in </w:t>
      </w:r>
      <w:r w:rsidR="00F0566F" w:rsidRPr="00F42FD3">
        <w:rPr>
          <w:lang w:val="en-US"/>
        </w:rPr>
        <w:t xml:space="preserve"> </w:t>
      </w:r>
      <w:r w:rsidR="00691E2D" w:rsidRPr="00F42FD3">
        <w:rPr>
          <w:lang w:val="en-US"/>
        </w:rPr>
        <w:t>e</w:t>
      </w:r>
      <w:proofErr w:type="gramEnd"/>
      <w:r w:rsidR="00691E2D" w:rsidRPr="00F42FD3">
        <w:rPr>
          <w:lang w:val="en-US"/>
        </w:rPr>
        <w:t xml:space="preserve"> ECE </w:t>
      </w:r>
      <w:r w:rsidR="00F0566F" w:rsidRPr="00F42FD3">
        <w:rPr>
          <w:lang w:val="en-US"/>
        </w:rPr>
        <w:t xml:space="preserve"> Member States. </w:t>
      </w:r>
      <w:r w:rsidR="00691E2D" w:rsidRPr="00F42FD3">
        <w:rPr>
          <w:lang w:val="en-US"/>
        </w:rPr>
        <w:t xml:space="preserve"> This second part of the assessment includes, in particular, data on the distance between actual emissions of air pollutants and those that would allow </w:t>
      </w:r>
      <w:r w:rsidR="00F0566F" w:rsidRPr="00F42FD3">
        <w:rPr>
          <w:lang w:val="en-US"/>
        </w:rPr>
        <w:t>respecting</w:t>
      </w:r>
      <w:r w:rsidR="00691E2D" w:rsidRPr="00F42FD3">
        <w:rPr>
          <w:lang w:val="en-US"/>
        </w:rPr>
        <w:t xml:space="preserve"> emission </w:t>
      </w:r>
      <w:r w:rsidR="00691E2D" w:rsidRPr="00F42FD3">
        <w:rPr>
          <w:lang w:val="en-US"/>
        </w:rPr>
        <w:lastRenderedPageBreak/>
        <w:t xml:space="preserve">reduction ceilings as stipulated by the most recent and most recently amended Protocol of the Convention on Long-Range Transboundary Air Pollution (CLRTAP) </w:t>
      </w:r>
      <w:proofErr w:type="gramStart"/>
      <w:r w:rsidR="00691E2D" w:rsidRPr="00F42FD3">
        <w:rPr>
          <w:lang w:val="en-US"/>
        </w:rPr>
        <w:t xml:space="preserve">and </w:t>
      </w:r>
      <w:r w:rsidR="00F0566F" w:rsidRPr="00F42FD3">
        <w:rPr>
          <w:lang w:val="en-US"/>
        </w:rPr>
        <w:t xml:space="preserve"> for</w:t>
      </w:r>
      <w:proofErr w:type="gramEnd"/>
      <w:r w:rsidR="00F0566F" w:rsidRPr="00F42FD3">
        <w:rPr>
          <w:lang w:val="en-US"/>
        </w:rPr>
        <w:t xml:space="preserve"> the EU countries </w:t>
      </w:r>
      <w:r w:rsidR="00691E2D" w:rsidRPr="00F42FD3">
        <w:rPr>
          <w:lang w:val="en-US"/>
        </w:rPr>
        <w:t>by the EU National Emissions Ceiling (NEC) Directive.</w:t>
      </w:r>
    </w:p>
    <w:p w:rsidR="00691E2D" w:rsidRPr="00F42FD3" w:rsidRDefault="00FA2A19" w:rsidP="0074384F">
      <w:pPr>
        <w:spacing w:after="120"/>
        <w:ind w:right="96"/>
        <w:jc w:val="both"/>
        <w:rPr>
          <w:lang w:val="en-US"/>
        </w:rPr>
      </w:pPr>
      <w:r>
        <w:rPr>
          <w:lang w:val="en-US"/>
        </w:rPr>
        <w:t>11</w:t>
      </w:r>
      <w:r w:rsidR="0074384F">
        <w:rPr>
          <w:lang w:val="en-US"/>
        </w:rPr>
        <w:t>.</w:t>
      </w:r>
      <w:r>
        <w:rPr>
          <w:lang w:val="en-US"/>
        </w:rPr>
        <w:tab/>
      </w:r>
      <w:r w:rsidR="00691E2D" w:rsidRPr="00E71EDE">
        <w:rPr>
          <w:lang w:val="en-US"/>
        </w:rPr>
        <w:t>Section VII</w:t>
      </w:r>
      <w:r w:rsidR="00691E2D" w:rsidRPr="00F42FD3">
        <w:rPr>
          <w:lang w:val="en-US"/>
        </w:rPr>
        <w:t xml:space="preserve"> considers the interactions between sectoral emission sources and exposure to air pollution. It also includes a brief review of measures that have been implemented in different economic sectors to reduce the emissions of pollutants.</w:t>
      </w:r>
    </w:p>
    <w:p w:rsidR="00691E2D" w:rsidRPr="00F42FD3" w:rsidRDefault="0074384F" w:rsidP="0074384F">
      <w:pPr>
        <w:spacing w:after="120"/>
        <w:ind w:right="96"/>
        <w:jc w:val="both"/>
        <w:rPr>
          <w:lang w:val="en-US"/>
        </w:rPr>
      </w:pPr>
      <w:r>
        <w:rPr>
          <w:lang w:val="en-US"/>
        </w:rPr>
        <w:t>12.</w:t>
      </w:r>
      <w:r w:rsidR="00FA2A19">
        <w:rPr>
          <w:lang w:val="en-US"/>
        </w:rPr>
        <w:tab/>
      </w:r>
      <w:r w:rsidR="00691E2D" w:rsidRPr="00F42FD3">
        <w:rPr>
          <w:lang w:val="en-US"/>
        </w:rPr>
        <w:t>Considering that a recent finding by the World Health Organization (WHO) led to the classification of diesel exhaust emissions as carcinogenic, section VIII focuses on diesel emissions and measures that could contribute</w:t>
      </w:r>
      <w:r w:rsidR="00F0566F" w:rsidRPr="00F42FD3">
        <w:rPr>
          <w:lang w:val="en-US"/>
        </w:rPr>
        <w:t xml:space="preserve"> to</w:t>
      </w:r>
      <w:r w:rsidR="00691E2D" w:rsidRPr="00F42FD3">
        <w:rPr>
          <w:lang w:val="en-US"/>
        </w:rPr>
        <w:t xml:space="preserve"> the reduction of their air pollutant emissions.</w:t>
      </w:r>
    </w:p>
    <w:p w:rsidR="00691E2D" w:rsidRPr="00F42FD3" w:rsidRDefault="0074384F" w:rsidP="0074384F">
      <w:pPr>
        <w:spacing w:after="120"/>
        <w:ind w:right="96"/>
        <w:jc w:val="both"/>
        <w:rPr>
          <w:lang w:val="en-US"/>
        </w:rPr>
      </w:pPr>
      <w:r>
        <w:rPr>
          <w:lang w:val="en-US"/>
        </w:rPr>
        <w:t>13.</w:t>
      </w:r>
      <w:r w:rsidR="00FA2A19">
        <w:rPr>
          <w:lang w:val="en-US"/>
        </w:rPr>
        <w:tab/>
      </w:r>
      <w:r w:rsidR="00691E2D" w:rsidRPr="00F42FD3">
        <w:rPr>
          <w:lang w:val="en-US"/>
        </w:rPr>
        <w:t xml:space="preserve">The information in this background note is a compilation of facts from the work in the framework of CLRTAP, its Task Force on Health, the European Environment Agency (EEA), </w:t>
      </w:r>
      <w:proofErr w:type="gramStart"/>
      <w:r w:rsidR="00691E2D" w:rsidRPr="00F42FD3">
        <w:rPr>
          <w:lang w:val="en-US"/>
        </w:rPr>
        <w:t>the</w:t>
      </w:r>
      <w:proofErr w:type="gramEnd"/>
      <w:r w:rsidR="00691E2D" w:rsidRPr="00F42FD3">
        <w:rPr>
          <w:lang w:val="en-US"/>
        </w:rPr>
        <w:t xml:space="preserve"> work undertaken in the framework of </w:t>
      </w:r>
      <w:r w:rsidR="00F0566F" w:rsidRPr="00F42FD3">
        <w:rPr>
          <w:lang w:val="en-US"/>
        </w:rPr>
        <w:t xml:space="preserve">the Inland Transport Committee and its subsidiary bodies, particularly </w:t>
      </w:r>
      <w:r w:rsidR="00691E2D" w:rsidRPr="00F42FD3">
        <w:rPr>
          <w:lang w:val="en-US"/>
        </w:rPr>
        <w:t>the World Forum for the Harmonization of Vehicle Regulations (WP.29)</w:t>
      </w:r>
      <w:r w:rsidR="00F0566F" w:rsidRPr="00F42FD3">
        <w:rPr>
          <w:lang w:val="en-US"/>
        </w:rPr>
        <w:t xml:space="preserve">. </w:t>
      </w:r>
    </w:p>
    <w:p w:rsidR="00691E2D" w:rsidRPr="0093482F" w:rsidRDefault="00691E2D" w:rsidP="0074384F">
      <w:pPr>
        <w:pStyle w:val="Heading1"/>
      </w:pPr>
      <w:bookmarkStart w:id="2" w:name="_Toc343595872"/>
      <w:r w:rsidRPr="0093482F">
        <w:t>II.</w:t>
      </w:r>
      <w:r w:rsidRPr="0093482F">
        <w:tab/>
        <w:t>Main air pollutants and their effects on human health and the environment</w:t>
      </w:r>
      <w:bookmarkEnd w:id="2"/>
    </w:p>
    <w:p w:rsidR="00522CCF" w:rsidRPr="0093482F" w:rsidRDefault="00522CCF" w:rsidP="00522CCF">
      <w:pPr>
        <w:widowControl w:val="0"/>
        <w:spacing w:after="120"/>
        <w:ind w:right="96"/>
        <w:jc w:val="both"/>
        <w:rPr>
          <w:color w:val="000000" w:themeColor="text1"/>
          <w:lang w:val="en-US"/>
        </w:rPr>
      </w:pPr>
      <w:r>
        <w:rPr>
          <w:color w:val="000000" w:themeColor="text1"/>
          <w:lang w:val="en-US"/>
        </w:rPr>
        <w:t>14</w:t>
      </w:r>
      <w:r w:rsidRPr="0093482F">
        <w:rPr>
          <w:color w:val="000000" w:themeColor="text1"/>
          <w:lang w:val="en-US"/>
        </w:rPr>
        <w:t>.</w:t>
      </w:r>
      <w:r w:rsidRPr="0093482F">
        <w:rPr>
          <w:color w:val="000000" w:themeColor="text1"/>
          <w:lang w:val="en-US"/>
        </w:rPr>
        <w:tab/>
        <w:t xml:space="preserve">A recent report from the European Environment Agency (EEA) (EEA, 2012) provides a brief description (partly reported in Box 1) of the main air pollutants and their effects on human health and the environment. This list includes the "criteria air pollutants" regulated in the United States </w:t>
      </w:r>
      <w:r w:rsidRPr="00D95F47">
        <w:rPr>
          <w:color w:val="000000" w:themeColor="text1"/>
          <w:lang w:val="en-US"/>
        </w:rPr>
        <w:t xml:space="preserve">of America </w:t>
      </w:r>
      <w:r w:rsidRPr="0093482F">
        <w:rPr>
          <w:color w:val="000000" w:themeColor="text1"/>
          <w:lang w:val="en-US"/>
        </w:rPr>
        <w:t>by the Clean Air Act Amendments of 1970 (and its following modifications) because they can harm health and the environment: particle pollution (often referred to as particulate matter), ground-level ozone (O</w:t>
      </w:r>
      <w:r w:rsidRPr="00A90A82">
        <w:rPr>
          <w:color w:val="000000" w:themeColor="text1"/>
          <w:vertAlign w:val="subscript"/>
          <w:lang w:val="en-US"/>
        </w:rPr>
        <w:t>3</w:t>
      </w:r>
      <w:r w:rsidRPr="0093482F">
        <w:rPr>
          <w:color w:val="000000" w:themeColor="text1"/>
          <w:lang w:val="en-US"/>
        </w:rPr>
        <w:t>) (represented in the list below by its precursors), carbon monoxide (CO), sulfur oxides (SO</w:t>
      </w:r>
      <w:r w:rsidRPr="00A90A82">
        <w:rPr>
          <w:color w:val="000000" w:themeColor="text1"/>
          <w:vertAlign w:val="subscript"/>
          <w:lang w:val="en-US"/>
        </w:rPr>
        <w:t>X</w:t>
      </w:r>
      <w:r w:rsidRPr="0093482F">
        <w:rPr>
          <w:color w:val="000000" w:themeColor="text1"/>
          <w:lang w:val="en-US"/>
        </w:rPr>
        <w:t>), nitrogen oxides (NO</w:t>
      </w:r>
      <w:r w:rsidRPr="00A90A82">
        <w:rPr>
          <w:color w:val="000000" w:themeColor="text1"/>
          <w:vertAlign w:val="subscript"/>
          <w:lang w:val="en-US"/>
        </w:rPr>
        <w:t>X</w:t>
      </w:r>
      <w:r w:rsidRPr="0093482F">
        <w:rPr>
          <w:color w:val="000000" w:themeColor="text1"/>
          <w:lang w:val="en-US"/>
        </w:rPr>
        <w:t>), and lead (</w:t>
      </w:r>
      <w:proofErr w:type="spellStart"/>
      <w:r w:rsidRPr="0093482F">
        <w:rPr>
          <w:color w:val="000000" w:themeColor="text1"/>
          <w:lang w:val="en-US"/>
        </w:rPr>
        <w:t>Pb</w:t>
      </w:r>
      <w:proofErr w:type="spellEnd"/>
      <w:r w:rsidRPr="0093482F">
        <w:rPr>
          <w:color w:val="000000" w:themeColor="text1"/>
          <w:lang w:val="en-US"/>
        </w:rPr>
        <w:t>) (US EPA, 2012). Sulfur dioxide (SO</w:t>
      </w:r>
      <w:r w:rsidRPr="00A90A82">
        <w:rPr>
          <w:color w:val="000000" w:themeColor="text1"/>
          <w:vertAlign w:val="subscript"/>
          <w:lang w:val="en-US"/>
        </w:rPr>
        <w:t>2</w:t>
      </w:r>
      <w:r w:rsidRPr="0093482F">
        <w:rPr>
          <w:color w:val="000000" w:themeColor="text1"/>
          <w:lang w:val="en-US"/>
        </w:rPr>
        <w:t>) and nitrogen oxides (NO</w:t>
      </w:r>
      <w:r w:rsidRPr="00A90A82">
        <w:rPr>
          <w:color w:val="000000" w:themeColor="text1"/>
          <w:vertAlign w:val="subscript"/>
          <w:lang w:val="en-US"/>
        </w:rPr>
        <w:t>X</w:t>
      </w:r>
      <w:r w:rsidRPr="0093482F">
        <w:rPr>
          <w:color w:val="000000" w:themeColor="text1"/>
          <w:lang w:val="en-US"/>
        </w:rPr>
        <w:t>) are also precursors of acid rain formation.</w:t>
      </w:r>
    </w:p>
    <w:p w:rsidR="00522CCF" w:rsidRPr="0093482F" w:rsidRDefault="00522CCF" w:rsidP="00522CCF">
      <w:pPr>
        <w:rPr>
          <w:lang w:val="en-US"/>
        </w:rPr>
      </w:pPr>
      <w:r>
        <w:rPr>
          <w:lang w:val="en-US"/>
        </w:rPr>
        <w:t>15</w:t>
      </w:r>
      <w:r w:rsidRPr="00D95F47">
        <w:rPr>
          <w:lang w:val="en-US"/>
        </w:rPr>
        <w:t>.</w:t>
      </w:r>
      <w:r>
        <w:rPr>
          <w:lang w:val="en-US"/>
        </w:rPr>
        <w:tab/>
      </w:r>
      <w:r w:rsidRPr="0093482F">
        <w:rPr>
          <w:lang w:val="en-US"/>
        </w:rPr>
        <w:t>The EEA report also includes descriptive information on other pollutants (polycyclic aromatic hydrocarbons (PAHs)/</w:t>
      </w:r>
      <w:proofErr w:type="spellStart"/>
      <w:proofErr w:type="gramStart"/>
      <w:r w:rsidRPr="0093482F">
        <w:rPr>
          <w:lang w:val="en-US"/>
        </w:rPr>
        <w:t>Benzo</w:t>
      </w:r>
      <w:proofErr w:type="spellEnd"/>
      <w:r w:rsidRPr="0093482F">
        <w:rPr>
          <w:lang w:val="en-US"/>
        </w:rPr>
        <w:t>(</w:t>
      </w:r>
      <w:proofErr w:type="gramEnd"/>
      <w:r w:rsidRPr="0093482F">
        <w:rPr>
          <w:lang w:val="en-US"/>
        </w:rPr>
        <w:t>a)</w:t>
      </w:r>
      <w:proofErr w:type="spellStart"/>
      <w:r w:rsidRPr="0093482F">
        <w:rPr>
          <w:lang w:val="en-US"/>
        </w:rPr>
        <w:t>pyrene</w:t>
      </w:r>
      <w:proofErr w:type="spellEnd"/>
      <w:r w:rsidRPr="0093482F">
        <w:rPr>
          <w:lang w:val="en-US"/>
        </w:rPr>
        <w:t xml:space="preserve"> (</w:t>
      </w:r>
      <w:proofErr w:type="spellStart"/>
      <w:r w:rsidRPr="0093482F">
        <w:rPr>
          <w:lang w:val="en-US"/>
        </w:rPr>
        <w:t>BaP</w:t>
      </w:r>
      <w:proofErr w:type="spellEnd"/>
      <w:r w:rsidRPr="0093482F">
        <w:rPr>
          <w:lang w:val="en-US"/>
        </w:rPr>
        <w:t>), dioxins and furans (PCDD/</w:t>
      </w:r>
      <w:proofErr w:type="spellStart"/>
      <w:r w:rsidRPr="0093482F">
        <w:rPr>
          <w:lang w:val="en-US"/>
        </w:rPr>
        <w:t>Fs</w:t>
      </w:r>
      <w:proofErr w:type="spellEnd"/>
      <w:r w:rsidRPr="0093482F">
        <w:rPr>
          <w:lang w:val="en-US"/>
        </w:rPr>
        <w:t xml:space="preserve">), polychlorinated biphenyls (PCBs), </w:t>
      </w:r>
      <w:proofErr w:type="spellStart"/>
      <w:r w:rsidRPr="0093482F">
        <w:rPr>
          <w:lang w:val="en-US"/>
        </w:rPr>
        <w:t>hexachlorobenzene</w:t>
      </w:r>
      <w:proofErr w:type="spellEnd"/>
      <w:r w:rsidRPr="0093482F">
        <w:rPr>
          <w:lang w:val="en-US"/>
        </w:rPr>
        <w:t xml:space="preserve"> (HCB), and </w:t>
      </w:r>
      <w:proofErr w:type="spellStart"/>
      <w:r w:rsidRPr="0093482F">
        <w:rPr>
          <w:lang w:val="en-US"/>
        </w:rPr>
        <w:t>hexachlorocyclohexane</w:t>
      </w:r>
      <w:proofErr w:type="spellEnd"/>
      <w:r w:rsidRPr="0093482F">
        <w:rPr>
          <w:lang w:val="en-US"/>
        </w:rPr>
        <w:t xml:space="preserve"> (HCH)) that are not considered in this analysis.</w:t>
      </w:r>
    </w:p>
    <w:p w:rsidR="00522CCF" w:rsidRPr="0093482F" w:rsidRDefault="00522CCF" w:rsidP="00522CCF">
      <w:pPr>
        <w:rPr>
          <w:lang w:val="en-US"/>
        </w:rPr>
      </w:pPr>
      <w:r>
        <w:rPr>
          <w:lang w:val="en-US"/>
        </w:rPr>
        <w:t>16.</w:t>
      </w:r>
      <w:r>
        <w:rPr>
          <w:lang w:val="en-US"/>
        </w:rPr>
        <w:tab/>
      </w:r>
      <w:r w:rsidRPr="0093482F">
        <w:rPr>
          <w:lang w:val="en-US"/>
        </w:rPr>
        <w:t>Additional information on air pollutants, including considerations on their characteristics, sources, sinks, mixing ratios in the atmosphere (differentiating between ambient air and indoor air), and health effects are also available in dedicated literature, such as Jacobson (2002).</w:t>
      </w:r>
    </w:p>
    <w:p w:rsidR="00522CCF" w:rsidRPr="0093482F" w:rsidRDefault="00522CCF" w:rsidP="00522CCF">
      <w:pPr>
        <w:pStyle w:val="Heading1"/>
      </w:pPr>
      <w:bookmarkStart w:id="3" w:name="_Toc343595873"/>
      <w:r w:rsidRPr="0093482F">
        <w:t>III.</w:t>
      </w:r>
      <w:r w:rsidRPr="0093482F">
        <w:tab/>
      </w:r>
      <w:r>
        <w:t>Analysis of</w:t>
      </w:r>
      <w:r w:rsidRPr="0093482F">
        <w:t xml:space="preserve"> emissions</w:t>
      </w:r>
      <w:r>
        <w:t xml:space="preserve"> and emissions’</w:t>
      </w:r>
      <w:r w:rsidRPr="0093482F">
        <w:t xml:space="preserve"> concentration</w:t>
      </w:r>
      <w:r>
        <w:t>.</w:t>
      </w:r>
      <w:bookmarkEnd w:id="3"/>
      <w:r w:rsidRPr="00C61948">
        <w:t xml:space="preserve"> </w:t>
      </w:r>
      <w:r w:rsidRPr="0093482F">
        <w:t xml:space="preserve"> </w:t>
      </w:r>
    </w:p>
    <w:p w:rsidR="00522CCF" w:rsidRPr="0093482F" w:rsidRDefault="00522CCF" w:rsidP="00522CCF">
      <w:pPr>
        <w:rPr>
          <w:lang w:val="en-US"/>
        </w:rPr>
      </w:pPr>
      <w:r>
        <w:rPr>
          <w:lang w:val="en-US"/>
        </w:rPr>
        <w:t>17</w:t>
      </w:r>
      <w:r w:rsidRPr="0093482F">
        <w:rPr>
          <w:lang w:val="en-US"/>
        </w:rPr>
        <w:t>.</w:t>
      </w:r>
      <w:r w:rsidRPr="0093482F">
        <w:rPr>
          <w:lang w:val="en-US"/>
        </w:rPr>
        <w:tab/>
        <w:t>Many air pollutants, including NO</w:t>
      </w:r>
      <w:r w:rsidRPr="00A90A82">
        <w:rPr>
          <w:vertAlign w:val="subscript"/>
          <w:lang w:val="en-US"/>
        </w:rPr>
        <w:t>X</w:t>
      </w:r>
      <w:r w:rsidRPr="0093482F">
        <w:rPr>
          <w:lang w:val="en-US"/>
        </w:rPr>
        <w:t xml:space="preserve"> and sulfur dioxide (SO</w:t>
      </w:r>
      <w:r w:rsidRPr="00A90A82">
        <w:rPr>
          <w:vertAlign w:val="subscript"/>
          <w:lang w:val="en-US"/>
        </w:rPr>
        <w:t>2</w:t>
      </w:r>
      <w:r w:rsidRPr="0093482F">
        <w:rPr>
          <w:lang w:val="en-US"/>
        </w:rPr>
        <w:t>), are directly emitted into the air from anthropogenic activities such as fuel combustion or releases from industrial processes. Other air pollutants, such as O</w:t>
      </w:r>
      <w:r w:rsidRPr="00A90A82">
        <w:rPr>
          <w:vertAlign w:val="subscript"/>
          <w:lang w:val="en-US"/>
        </w:rPr>
        <w:t>3</w:t>
      </w:r>
      <w:r w:rsidRPr="0093482F">
        <w:rPr>
          <w:lang w:val="en-US"/>
        </w:rPr>
        <w:t xml:space="preserve"> and the major part of PM, form in the atmosphere following emissions of various precursor species, having either anthropogenic or natural origin. Natural sources </w:t>
      </w:r>
      <w:r w:rsidRPr="00D95F47">
        <w:rPr>
          <w:lang w:val="en-US"/>
        </w:rPr>
        <w:t>of</w:t>
      </w:r>
      <w:r w:rsidRPr="0093482F">
        <w:rPr>
          <w:lang w:val="en-US"/>
        </w:rPr>
        <w:t xml:space="preserve"> aerosol particle emissions that are included in PM </w:t>
      </w:r>
      <w:r w:rsidRPr="00D95F47">
        <w:rPr>
          <w:lang w:val="en-US"/>
        </w:rPr>
        <w:t>may occur from</w:t>
      </w:r>
      <w:r w:rsidRPr="0093482F">
        <w:rPr>
          <w:lang w:val="en-US"/>
        </w:rPr>
        <w:t xml:space="preserve"> volcanic eruptions, soli-dust and sea-spray uplifts, natural biomass burning fires, </w:t>
      </w:r>
      <w:r w:rsidRPr="00D95F47">
        <w:rPr>
          <w:lang w:val="en-US"/>
        </w:rPr>
        <w:t>and</w:t>
      </w:r>
      <w:r w:rsidRPr="0093482F">
        <w:rPr>
          <w:lang w:val="en-US"/>
        </w:rPr>
        <w:t xml:space="preserve"> biological material release. Major anthropogenic sources include fugitive dust emissions, fossil-fuel combustion, anthropogenic biomass burning and industrial emissions (Jacobson, 2002).</w:t>
      </w:r>
    </w:p>
    <w:p w:rsidR="00691E2D" w:rsidRPr="00561491" w:rsidRDefault="00691E2D" w:rsidP="0074384F">
      <w:pPr>
        <w:widowControl w:val="0"/>
        <w:spacing w:after="120"/>
        <w:ind w:right="96"/>
        <w:jc w:val="both"/>
        <w:rPr>
          <w:b/>
          <w:color w:val="1F497D" w:themeColor="text2"/>
          <w:lang w:val="en-US"/>
        </w:rPr>
      </w:pPr>
      <w:r w:rsidRPr="00561491">
        <w:rPr>
          <w:b/>
          <w:color w:val="1F497D" w:themeColor="text2"/>
          <w:lang w:val="en-US"/>
        </w:rPr>
        <w:lastRenderedPageBreak/>
        <w:t>Box 1.</w:t>
      </w:r>
      <w:r w:rsidRPr="00561491">
        <w:rPr>
          <w:b/>
          <w:color w:val="1F497D" w:themeColor="text2"/>
          <w:lang w:val="en-US"/>
        </w:rPr>
        <w:tab/>
        <w:t>Description of the main air pollutants (gaseous pollutants, particulate matter and heavy metals)</w:t>
      </w:r>
    </w:p>
    <w:p w:rsidR="00D95F47" w:rsidRPr="0093482F" w:rsidRDefault="00D95F47" w:rsidP="0074384F">
      <w:pPr>
        <w:shd w:val="clear" w:color="auto" w:fill="365F91" w:themeFill="accent1" w:themeFillShade="BF"/>
        <w:spacing w:after="120" w:line="240" w:lineRule="auto"/>
        <w:ind w:right="95" w:firstLine="284"/>
        <w:jc w:val="both"/>
        <w:rPr>
          <w:color w:val="FFFFFF" w:themeColor="background1"/>
          <w:sz w:val="18"/>
          <w:szCs w:val="18"/>
          <w:lang w:val="en-US"/>
        </w:rPr>
      </w:pPr>
      <w:r w:rsidRPr="0093482F">
        <w:rPr>
          <w:color w:val="FFFFFF" w:themeColor="background1"/>
          <w:sz w:val="18"/>
          <w:szCs w:val="18"/>
          <w:lang w:val="en-US"/>
        </w:rPr>
        <w:t>Sulphur oxides (SO</w:t>
      </w:r>
      <w:r w:rsidRPr="00A90A82">
        <w:rPr>
          <w:color w:val="FFFFFF" w:themeColor="background1"/>
          <w:sz w:val="18"/>
          <w:szCs w:val="18"/>
          <w:vertAlign w:val="subscript"/>
          <w:lang w:val="en-US"/>
        </w:rPr>
        <w:t>X</w:t>
      </w:r>
      <w:r w:rsidRPr="0093482F">
        <w:rPr>
          <w:color w:val="FFFFFF" w:themeColor="background1"/>
          <w:sz w:val="18"/>
          <w:szCs w:val="18"/>
          <w:lang w:val="en-US"/>
        </w:rPr>
        <w:t>): SO</w:t>
      </w:r>
      <w:r w:rsidRPr="00A90A82">
        <w:rPr>
          <w:color w:val="FFFFFF" w:themeColor="background1"/>
          <w:sz w:val="18"/>
          <w:szCs w:val="18"/>
          <w:vertAlign w:val="subscript"/>
          <w:lang w:val="en-US"/>
        </w:rPr>
        <w:t>X</w:t>
      </w:r>
      <w:r w:rsidRPr="0093482F">
        <w:rPr>
          <w:color w:val="FFFFFF" w:themeColor="background1"/>
          <w:sz w:val="18"/>
          <w:szCs w:val="18"/>
          <w:lang w:val="en-US"/>
        </w:rPr>
        <w:t xml:space="preserve"> are emitted when fuels containing sulphur are burned. They contribute to acid deposition, the impacts of which can be significant: adverse effects on aquatic ecosystems in rivers and lakes, and damage to forests. Further, the formation of </w:t>
      </w:r>
      <w:proofErr w:type="spellStart"/>
      <w:r w:rsidRPr="0093482F">
        <w:rPr>
          <w:color w:val="FFFFFF" w:themeColor="background1"/>
          <w:sz w:val="18"/>
          <w:szCs w:val="18"/>
          <w:lang w:val="en-US"/>
        </w:rPr>
        <w:t>sulphate</w:t>
      </w:r>
      <w:proofErr w:type="spellEnd"/>
      <w:r w:rsidRPr="0093482F">
        <w:rPr>
          <w:color w:val="FFFFFF" w:themeColor="background1"/>
          <w:sz w:val="18"/>
          <w:szCs w:val="18"/>
          <w:lang w:val="en-US"/>
        </w:rPr>
        <w:t xml:space="preserve"> particles results in reflection of solar radiation, which leads to net cooling of the atmosphere.</w:t>
      </w:r>
    </w:p>
    <w:p w:rsidR="00D95F47" w:rsidRPr="0093482F" w:rsidRDefault="00D95F47" w:rsidP="0074384F">
      <w:pPr>
        <w:shd w:val="clear" w:color="auto" w:fill="365F91" w:themeFill="accent1" w:themeFillShade="BF"/>
        <w:spacing w:after="120" w:line="240" w:lineRule="auto"/>
        <w:ind w:right="95" w:firstLine="284"/>
        <w:jc w:val="both"/>
        <w:rPr>
          <w:color w:val="FFFFFF" w:themeColor="background1"/>
          <w:sz w:val="18"/>
          <w:szCs w:val="18"/>
          <w:lang w:val="en-US"/>
        </w:rPr>
      </w:pPr>
      <w:r w:rsidRPr="0093482F">
        <w:rPr>
          <w:color w:val="FFFFFF" w:themeColor="background1"/>
          <w:sz w:val="18"/>
          <w:szCs w:val="18"/>
          <w:lang w:val="en-US"/>
        </w:rPr>
        <w:t>Nitrogen oxides (NO</w:t>
      </w:r>
      <w:r w:rsidRPr="00A90A82">
        <w:rPr>
          <w:color w:val="FFFFFF" w:themeColor="background1"/>
          <w:sz w:val="18"/>
          <w:szCs w:val="18"/>
          <w:vertAlign w:val="subscript"/>
          <w:lang w:val="en-US"/>
        </w:rPr>
        <w:t>X</w:t>
      </w:r>
      <w:r w:rsidRPr="0093482F">
        <w:rPr>
          <w:color w:val="FFFFFF" w:themeColor="background1"/>
          <w:sz w:val="18"/>
          <w:szCs w:val="18"/>
          <w:lang w:val="en-US"/>
        </w:rPr>
        <w:t>): NO</w:t>
      </w:r>
      <w:r w:rsidRPr="00A90A82">
        <w:rPr>
          <w:color w:val="FFFFFF" w:themeColor="background1"/>
          <w:sz w:val="18"/>
          <w:szCs w:val="18"/>
          <w:vertAlign w:val="subscript"/>
          <w:lang w:val="en-US"/>
        </w:rPr>
        <w:t>X</w:t>
      </w:r>
      <w:r w:rsidRPr="0093482F">
        <w:rPr>
          <w:color w:val="FFFFFF" w:themeColor="background1"/>
          <w:sz w:val="18"/>
          <w:szCs w:val="18"/>
          <w:lang w:val="en-US"/>
        </w:rPr>
        <w:t xml:space="preserve"> are emitted during fuel combustion, as practiced by industrial facilities and the road transport sector. As with SO</w:t>
      </w:r>
      <w:r w:rsidRPr="00A90A82">
        <w:rPr>
          <w:color w:val="FFFFFF" w:themeColor="background1"/>
          <w:sz w:val="18"/>
          <w:szCs w:val="18"/>
          <w:vertAlign w:val="subscript"/>
          <w:lang w:val="en-US"/>
        </w:rPr>
        <w:t>X</w:t>
      </w:r>
      <w:r w:rsidRPr="0093482F">
        <w:rPr>
          <w:color w:val="FFFFFF" w:themeColor="background1"/>
          <w:sz w:val="18"/>
          <w:szCs w:val="18"/>
          <w:lang w:val="en-US"/>
        </w:rPr>
        <w:t>, NO</w:t>
      </w:r>
      <w:r w:rsidRPr="00A90A82">
        <w:rPr>
          <w:color w:val="FFFFFF" w:themeColor="background1"/>
          <w:sz w:val="18"/>
          <w:szCs w:val="18"/>
          <w:vertAlign w:val="subscript"/>
          <w:lang w:val="en-US"/>
        </w:rPr>
        <w:t>X</w:t>
      </w:r>
      <w:r w:rsidRPr="0093482F">
        <w:rPr>
          <w:color w:val="FFFFFF" w:themeColor="background1"/>
          <w:sz w:val="18"/>
          <w:szCs w:val="18"/>
          <w:lang w:val="en-US"/>
        </w:rPr>
        <w:t xml:space="preserve"> contribute to acid deposition but also to eutrophication of soil and water. Of the chemical species that NO</w:t>
      </w:r>
      <w:r w:rsidRPr="00A90A82">
        <w:rPr>
          <w:color w:val="FFFFFF" w:themeColor="background1"/>
          <w:sz w:val="18"/>
          <w:szCs w:val="18"/>
          <w:vertAlign w:val="subscript"/>
          <w:lang w:val="en-US"/>
        </w:rPr>
        <w:t>X</w:t>
      </w:r>
      <w:r w:rsidRPr="0093482F">
        <w:rPr>
          <w:color w:val="FFFFFF" w:themeColor="background1"/>
          <w:sz w:val="18"/>
          <w:szCs w:val="18"/>
          <w:lang w:val="en-US"/>
        </w:rPr>
        <w:t xml:space="preserve"> comprises, it is nitrogen dioxide (NO</w:t>
      </w:r>
      <w:r w:rsidRPr="00A90A82">
        <w:rPr>
          <w:color w:val="FFFFFF" w:themeColor="background1"/>
          <w:sz w:val="18"/>
          <w:szCs w:val="18"/>
          <w:vertAlign w:val="subscript"/>
          <w:lang w:val="en-US"/>
        </w:rPr>
        <w:t>2</w:t>
      </w:r>
      <w:r w:rsidRPr="0093482F">
        <w:rPr>
          <w:color w:val="FFFFFF" w:themeColor="background1"/>
          <w:sz w:val="18"/>
          <w:szCs w:val="18"/>
          <w:lang w:val="en-US"/>
        </w:rPr>
        <w:t>) that is associated with adverse effects on health: high concentrations cause inflammation of the airways and reduced lung function. NO</w:t>
      </w:r>
      <w:r w:rsidRPr="00A90A82">
        <w:rPr>
          <w:color w:val="FFFFFF" w:themeColor="background1"/>
          <w:sz w:val="18"/>
          <w:szCs w:val="18"/>
          <w:vertAlign w:val="subscript"/>
          <w:lang w:val="en-US"/>
        </w:rPr>
        <w:t>X</w:t>
      </w:r>
      <w:r w:rsidRPr="0093482F">
        <w:rPr>
          <w:color w:val="FFFFFF" w:themeColor="background1"/>
          <w:sz w:val="18"/>
          <w:szCs w:val="18"/>
          <w:lang w:val="en-US"/>
        </w:rPr>
        <w:t xml:space="preserve"> also contribute to the formation of secondary inorganic particulate matter and tropospheric (ground-level) ozone with associated climate effects.</w:t>
      </w:r>
    </w:p>
    <w:p w:rsidR="00D95F47" w:rsidRPr="0093482F" w:rsidRDefault="00D95F47" w:rsidP="0074384F">
      <w:pPr>
        <w:shd w:val="clear" w:color="auto" w:fill="365F91" w:themeFill="accent1" w:themeFillShade="BF"/>
        <w:spacing w:after="120" w:line="240" w:lineRule="auto"/>
        <w:ind w:right="95" w:firstLine="284"/>
        <w:jc w:val="both"/>
        <w:rPr>
          <w:color w:val="FFFFFF" w:themeColor="background1"/>
          <w:sz w:val="18"/>
          <w:szCs w:val="18"/>
          <w:lang w:val="en-US"/>
        </w:rPr>
      </w:pPr>
      <w:r w:rsidRPr="0093482F">
        <w:rPr>
          <w:color w:val="FFFFFF" w:themeColor="background1"/>
          <w:sz w:val="18"/>
          <w:szCs w:val="18"/>
          <w:lang w:val="en-US"/>
        </w:rPr>
        <w:t>Ammonia (NH</w:t>
      </w:r>
      <w:r w:rsidRPr="00A90A82">
        <w:rPr>
          <w:color w:val="FFFFFF" w:themeColor="background1"/>
          <w:sz w:val="18"/>
          <w:szCs w:val="18"/>
          <w:vertAlign w:val="subscript"/>
          <w:lang w:val="en-US"/>
        </w:rPr>
        <w:t>3</w:t>
      </w:r>
      <w:r w:rsidRPr="0093482F">
        <w:rPr>
          <w:color w:val="FFFFFF" w:themeColor="background1"/>
          <w:sz w:val="18"/>
          <w:szCs w:val="18"/>
          <w:lang w:val="en-US"/>
        </w:rPr>
        <w:t>): NH</w:t>
      </w:r>
      <w:r w:rsidRPr="00A90A82">
        <w:rPr>
          <w:color w:val="FFFFFF" w:themeColor="background1"/>
          <w:sz w:val="18"/>
          <w:szCs w:val="18"/>
          <w:vertAlign w:val="subscript"/>
          <w:lang w:val="en-US"/>
        </w:rPr>
        <w:t>3</w:t>
      </w:r>
      <w:r w:rsidRPr="0093482F">
        <w:rPr>
          <w:color w:val="FFFFFF" w:themeColor="background1"/>
          <w:sz w:val="18"/>
          <w:szCs w:val="18"/>
          <w:lang w:val="en-US"/>
        </w:rPr>
        <w:t>, like NO</w:t>
      </w:r>
      <w:r w:rsidRPr="00A90A82">
        <w:rPr>
          <w:color w:val="FFFFFF" w:themeColor="background1"/>
          <w:sz w:val="18"/>
          <w:szCs w:val="18"/>
          <w:vertAlign w:val="subscript"/>
          <w:lang w:val="en-US"/>
        </w:rPr>
        <w:t>X</w:t>
      </w:r>
      <w:r w:rsidRPr="0093482F">
        <w:rPr>
          <w:color w:val="FFFFFF" w:themeColor="background1"/>
          <w:sz w:val="18"/>
          <w:szCs w:val="18"/>
          <w:lang w:val="en-US"/>
        </w:rPr>
        <w:t>, contributes to both eutrophication and acidification. The vast majority of NH</w:t>
      </w:r>
      <w:r w:rsidRPr="00A90A82">
        <w:rPr>
          <w:color w:val="FFFFFF" w:themeColor="background1"/>
          <w:sz w:val="18"/>
          <w:szCs w:val="18"/>
          <w:vertAlign w:val="subscript"/>
          <w:lang w:val="en-US"/>
        </w:rPr>
        <w:t>3</w:t>
      </w:r>
      <w:r w:rsidRPr="0093482F">
        <w:rPr>
          <w:color w:val="FFFFFF" w:themeColor="background1"/>
          <w:sz w:val="18"/>
          <w:szCs w:val="18"/>
          <w:lang w:val="en-US"/>
        </w:rPr>
        <w:t xml:space="preserve"> emissions - around 94 % in Europe - come from the agricultural sector, in connection with activities such as manure storage, slurry spreading and the use of synthetic nitrogenous fertilizers.</w:t>
      </w:r>
    </w:p>
    <w:p w:rsidR="00D95F47" w:rsidRPr="0093482F" w:rsidRDefault="00D95F47" w:rsidP="0074384F">
      <w:pPr>
        <w:shd w:val="clear" w:color="auto" w:fill="365F91" w:themeFill="accent1" w:themeFillShade="BF"/>
        <w:spacing w:after="120" w:line="240" w:lineRule="auto"/>
        <w:ind w:right="95" w:firstLine="284"/>
        <w:jc w:val="both"/>
        <w:rPr>
          <w:color w:val="FFFFFF" w:themeColor="background1"/>
          <w:sz w:val="18"/>
          <w:szCs w:val="18"/>
          <w:lang w:val="en-US"/>
        </w:rPr>
      </w:pPr>
      <w:r w:rsidRPr="0093482F">
        <w:rPr>
          <w:color w:val="FFFFFF" w:themeColor="background1"/>
          <w:sz w:val="18"/>
          <w:szCs w:val="18"/>
          <w:lang w:val="en-US"/>
        </w:rPr>
        <w:t xml:space="preserve">Carbon monoxide (CO): CO is produced as a result of fuel combustion. </w:t>
      </w:r>
      <w:r w:rsidRPr="00D95F47">
        <w:rPr>
          <w:color w:val="FFFFFF" w:themeColor="background1"/>
          <w:sz w:val="18"/>
          <w:szCs w:val="18"/>
          <w:lang w:val="en-US"/>
        </w:rPr>
        <w:t xml:space="preserve">The road transport sector, commercial and household sector, and industry are important sources. </w:t>
      </w:r>
      <w:r w:rsidRPr="0093482F">
        <w:rPr>
          <w:color w:val="FFFFFF" w:themeColor="background1"/>
          <w:sz w:val="18"/>
          <w:szCs w:val="18"/>
          <w:lang w:val="en-US"/>
        </w:rPr>
        <w:t>Long-term exposure to low concentrations of CO can result in neurological problems and potential harm to unborn babies. CO can react with other pollutants to produce ground-level ozone. Elevated levels of ozone can cause respiratory health problems and can lead to premature mortality.</w:t>
      </w:r>
    </w:p>
    <w:p w:rsidR="00D95F47" w:rsidRPr="0093482F" w:rsidRDefault="00D95F47" w:rsidP="0074384F">
      <w:pPr>
        <w:shd w:val="clear" w:color="auto" w:fill="365F91" w:themeFill="accent1" w:themeFillShade="BF"/>
        <w:spacing w:after="120" w:line="240" w:lineRule="auto"/>
        <w:ind w:right="95" w:firstLine="284"/>
        <w:jc w:val="both"/>
        <w:rPr>
          <w:color w:val="FFFFFF" w:themeColor="background1"/>
          <w:sz w:val="18"/>
          <w:szCs w:val="18"/>
          <w:lang w:val="en-US"/>
        </w:rPr>
      </w:pPr>
      <w:r w:rsidRPr="0093482F">
        <w:rPr>
          <w:color w:val="FFFFFF" w:themeColor="background1"/>
          <w:sz w:val="18"/>
          <w:szCs w:val="18"/>
          <w:lang w:val="en-US"/>
        </w:rPr>
        <w:t>Non-methane volatile organic compounds (NMVOC): NMVOC, important O</w:t>
      </w:r>
      <w:r w:rsidRPr="00A90A82">
        <w:rPr>
          <w:color w:val="FFFFFF" w:themeColor="background1"/>
          <w:sz w:val="18"/>
          <w:szCs w:val="18"/>
          <w:vertAlign w:val="subscript"/>
          <w:lang w:val="en-US"/>
        </w:rPr>
        <w:t>3</w:t>
      </w:r>
      <w:r w:rsidRPr="0093482F">
        <w:rPr>
          <w:color w:val="FFFFFF" w:themeColor="background1"/>
          <w:sz w:val="18"/>
          <w:szCs w:val="18"/>
          <w:lang w:val="en-US"/>
        </w:rPr>
        <w:t xml:space="preserve"> precursors, are emitted from a large number of sources including paint application, road transport, dry-cleaning and other solvent uses. Certain NMVOC species, such as benzene (C</w:t>
      </w:r>
      <w:r w:rsidRPr="00A90A82">
        <w:rPr>
          <w:color w:val="FFFFFF" w:themeColor="background1"/>
          <w:sz w:val="18"/>
          <w:szCs w:val="18"/>
          <w:vertAlign w:val="subscript"/>
          <w:lang w:val="en-US"/>
        </w:rPr>
        <w:t>6</w:t>
      </w:r>
      <w:r w:rsidRPr="0093482F">
        <w:rPr>
          <w:color w:val="FFFFFF" w:themeColor="background1"/>
          <w:sz w:val="18"/>
          <w:szCs w:val="18"/>
          <w:lang w:val="en-US"/>
        </w:rPr>
        <w:t>H</w:t>
      </w:r>
      <w:r w:rsidRPr="00A90A82">
        <w:rPr>
          <w:color w:val="FFFFFF" w:themeColor="background1"/>
          <w:sz w:val="18"/>
          <w:szCs w:val="18"/>
          <w:vertAlign w:val="subscript"/>
          <w:lang w:val="en-US"/>
        </w:rPr>
        <w:t>6</w:t>
      </w:r>
      <w:r w:rsidRPr="0093482F">
        <w:rPr>
          <w:color w:val="FFFFFF" w:themeColor="background1"/>
          <w:sz w:val="18"/>
          <w:szCs w:val="18"/>
          <w:lang w:val="en-US"/>
        </w:rPr>
        <w:t>) and 1</w:t>
      </w:r>
      <w:proofErr w:type="gramStart"/>
      <w:r w:rsidRPr="0093482F">
        <w:rPr>
          <w:color w:val="FFFFFF" w:themeColor="background1"/>
          <w:sz w:val="18"/>
          <w:szCs w:val="18"/>
          <w:lang w:val="en-US"/>
        </w:rPr>
        <w:t>,3</w:t>
      </w:r>
      <w:proofErr w:type="gramEnd"/>
      <w:r w:rsidRPr="0093482F">
        <w:rPr>
          <w:color w:val="FFFFFF" w:themeColor="background1"/>
          <w:sz w:val="18"/>
          <w:szCs w:val="18"/>
          <w:lang w:val="en-US"/>
        </w:rPr>
        <w:t>-butadiene, are directly hazardous to human health. Biogenic NMVOC are emitted by vegetation, with amounts dependent on the species and on temperature.</w:t>
      </w:r>
    </w:p>
    <w:p w:rsidR="00D95F47" w:rsidRPr="0093482F" w:rsidRDefault="00D95F47" w:rsidP="0074384F">
      <w:pPr>
        <w:shd w:val="clear" w:color="auto" w:fill="365F91" w:themeFill="accent1" w:themeFillShade="BF"/>
        <w:spacing w:after="120" w:line="240" w:lineRule="auto"/>
        <w:ind w:right="95" w:firstLine="284"/>
        <w:jc w:val="both"/>
        <w:rPr>
          <w:color w:val="FFFFFF" w:themeColor="background1"/>
          <w:sz w:val="18"/>
          <w:szCs w:val="18"/>
          <w:lang w:val="en-US"/>
        </w:rPr>
      </w:pPr>
      <w:r w:rsidRPr="0093482F">
        <w:rPr>
          <w:color w:val="FFFFFF" w:themeColor="background1"/>
          <w:sz w:val="18"/>
          <w:szCs w:val="18"/>
          <w:lang w:val="en-US"/>
        </w:rPr>
        <w:t xml:space="preserve">Particulate matter (PM): on terms of potential to harm human health, PM is one of the most important pollutants as it penetrates into sensitive regions of the respiratory system. PM is emitted from many sources, and </w:t>
      </w:r>
      <w:proofErr w:type="gramStart"/>
      <w:r w:rsidRPr="0093482F">
        <w:rPr>
          <w:color w:val="FFFFFF" w:themeColor="background1"/>
          <w:sz w:val="18"/>
          <w:szCs w:val="18"/>
          <w:lang w:val="en-US"/>
        </w:rPr>
        <w:t>is a complex heterogeneous mixture comprising</w:t>
      </w:r>
      <w:proofErr w:type="gramEnd"/>
      <w:r w:rsidRPr="0093482F">
        <w:rPr>
          <w:color w:val="FFFFFF" w:themeColor="background1"/>
          <w:sz w:val="18"/>
          <w:szCs w:val="18"/>
          <w:lang w:val="en-US"/>
        </w:rPr>
        <w:t xml:space="preserve"> both primary and secondary PM; primary PM is the fraction of PM that is emitted directly into the atmosphere, whereas secondary PM forms in the atmosphere following the oxidation and transformation of precursor gases (mainly SO</w:t>
      </w:r>
      <w:r w:rsidRPr="00A90A82">
        <w:rPr>
          <w:color w:val="FFFFFF" w:themeColor="background1"/>
          <w:sz w:val="18"/>
          <w:szCs w:val="18"/>
          <w:vertAlign w:val="subscript"/>
          <w:lang w:val="en-US"/>
        </w:rPr>
        <w:t>X</w:t>
      </w:r>
      <w:r w:rsidRPr="0093482F">
        <w:rPr>
          <w:color w:val="FFFFFF" w:themeColor="background1"/>
          <w:sz w:val="18"/>
          <w:szCs w:val="18"/>
          <w:lang w:val="en-US"/>
        </w:rPr>
        <w:t>, NO</w:t>
      </w:r>
      <w:r w:rsidRPr="00A90A82">
        <w:rPr>
          <w:color w:val="FFFFFF" w:themeColor="background1"/>
          <w:sz w:val="18"/>
          <w:szCs w:val="18"/>
          <w:vertAlign w:val="subscript"/>
          <w:lang w:val="en-US"/>
        </w:rPr>
        <w:t>X</w:t>
      </w:r>
      <w:r w:rsidRPr="0093482F">
        <w:rPr>
          <w:color w:val="FFFFFF" w:themeColor="background1"/>
          <w:sz w:val="18"/>
          <w:szCs w:val="18"/>
          <w:lang w:val="en-US"/>
        </w:rPr>
        <w:t>, NH</w:t>
      </w:r>
      <w:r w:rsidRPr="00A90A82">
        <w:rPr>
          <w:color w:val="FFFFFF" w:themeColor="background1"/>
          <w:sz w:val="18"/>
          <w:szCs w:val="18"/>
          <w:vertAlign w:val="subscript"/>
          <w:lang w:val="en-US"/>
        </w:rPr>
        <w:t>3</w:t>
      </w:r>
      <w:r w:rsidRPr="0093482F">
        <w:rPr>
          <w:color w:val="FFFFFF" w:themeColor="background1"/>
          <w:sz w:val="18"/>
          <w:szCs w:val="18"/>
          <w:lang w:val="en-US"/>
        </w:rPr>
        <w:t xml:space="preserve"> and some volatile organic compounds (VOCs)).</w:t>
      </w:r>
    </w:p>
    <w:p w:rsidR="00D95F47" w:rsidRPr="0093482F" w:rsidRDefault="00D95F47" w:rsidP="0074384F">
      <w:pPr>
        <w:shd w:val="clear" w:color="auto" w:fill="365F91" w:themeFill="accent1" w:themeFillShade="BF"/>
        <w:spacing w:after="120" w:line="240" w:lineRule="auto"/>
        <w:ind w:right="95" w:firstLine="284"/>
        <w:jc w:val="both"/>
        <w:rPr>
          <w:color w:val="FFFFFF" w:themeColor="background1"/>
          <w:sz w:val="18"/>
          <w:szCs w:val="18"/>
          <w:lang w:val="en-US"/>
        </w:rPr>
      </w:pPr>
      <w:r w:rsidRPr="0093482F">
        <w:rPr>
          <w:color w:val="FFFFFF" w:themeColor="background1"/>
          <w:sz w:val="18"/>
          <w:szCs w:val="18"/>
          <w:lang w:val="en-US"/>
        </w:rPr>
        <w:t>Heavy metals (HMs): the HMs arsenic (As), cadmium (Cd), lead (</w:t>
      </w:r>
      <w:proofErr w:type="spellStart"/>
      <w:r w:rsidRPr="0093482F">
        <w:rPr>
          <w:color w:val="FFFFFF" w:themeColor="background1"/>
          <w:sz w:val="18"/>
          <w:szCs w:val="18"/>
          <w:lang w:val="en-US"/>
        </w:rPr>
        <w:t>Pb</w:t>
      </w:r>
      <w:proofErr w:type="spellEnd"/>
      <w:r w:rsidRPr="0093482F">
        <w:rPr>
          <w:color w:val="FFFFFF" w:themeColor="background1"/>
          <w:sz w:val="18"/>
          <w:szCs w:val="18"/>
          <w:lang w:val="en-US"/>
        </w:rPr>
        <w:t xml:space="preserve">), mercury (Hg), chromium (Cr), copper (Cu), nickel (Ni), selenium (Se) and zinc (Zn) are emitted mainly as a result of various combustion processes and industrial activities, like metals works and smelters. As for </w:t>
      </w:r>
      <w:proofErr w:type="spellStart"/>
      <w:proofErr w:type="gramStart"/>
      <w:r w:rsidRPr="00D95F47">
        <w:rPr>
          <w:color w:val="FFFFFF" w:themeColor="background1"/>
          <w:sz w:val="18"/>
          <w:szCs w:val="18"/>
          <w:lang w:val="en-US"/>
        </w:rPr>
        <w:t>Benzo</w:t>
      </w:r>
      <w:proofErr w:type="spellEnd"/>
      <w:r w:rsidRPr="00D95F47">
        <w:rPr>
          <w:color w:val="FFFFFF" w:themeColor="background1"/>
          <w:sz w:val="18"/>
          <w:szCs w:val="18"/>
          <w:lang w:val="en-US"/>
        </w:rPr>
        <w:t>(</w:t>
      </w:r>
      <w:proofErr w:type="gramEnd"/>
      <w:r w:rsidRPr="00D95F47">
        <w:rPr>
          <w:color w:val="FFFFFF" w:themeColor="background1"/>
          <w:sz w:val="18"/>
          <w:szCs w:val="18"/>
          <w:lang w:val="en-US"/>
        </w:rPr>
        <w:t>a)</w:t>
      </w:r>
      <w:proofErr w:type="spellStart"/>
      <w:r w:rsidRPr="00D95F47">
        <w:rPr>
          <w:color w:val="FFFFFF" w:themeColor="background1"/>
          <w:sz w:val="18"/>
          <w:szCs w:val="18"/>
          <w:lang w:val="en-US"/>
        </w:rPr>
        <w:t>pyrene</w:t>
      </w:r>
      <w:proofErr w:type="spellEnd"/>
      <w:r w:rsidRPr="00D95F47">
        <w:rPr>
          <w:color w:val="FFFFFF" w:themeColor="background1"/>
          <w:sz w:val="18"/>
          <w:szCs w:val="18"/>
          <w:lang w:val="en-US"/>
        </w:rPr>
        <w:t xml:space="preserve"> (</w:t>
      </w:r>
      <w:proofErr w:type="spellStart"/>
      <w:r w:rsidRPr="0093482F">
        <w:rPr>
          <w:color w:val="FFFFFF" w:themeColor="background1"/>
          <w:sz w:val="18"/>
          <w:szCs w:val="18"/>
          <w:lang w:val="en-US"/>
        </w:rPr>
        <w:t>BaP</w:t>
      </w:r>
      <w:proofErr w:type="spellEnd"/>
      <w:r w:rsidRPr="00D95F47">
        <w:rPr>
          <w:color w:val="FFFFFF" w:themeColor="background1"/>
          <w:sz w:val="18"/>
          <w:szCs w:val="18"/>
          <w:lang w:val="en-US"/>
        </w:rPr>
        <w:t>),</w:t>
      </w:r>
      <w:r w:rsidRPr="0093482F">
        <w:rPr>
          <w:color w:val="FFFFFF" w:themeColor="background1"/>
          <w:sz w:val="18"/>
          <w:szCs w:val="18"/>
          <w:lang w:val="en-US"/>
        </w:rPr>
        <w:t xml:space="preserve"> heavy metals can reside in or be attached to PM. As well as polluting the air, HMs can be deposited on terrestrial or water surfaces and subsequently </w:t>
      </w:r>
      <w:r w:rsidRPr="00D95F47">
        <w:rPr>
          <w:color w:val="FFFFFF" w:themeColor="background1"/>
          <w:sz w:val="18"/>
          <w:szCs w:val="18"/>
          <w:lang w:val="en-US"/>
        </w:rPr>
        <w:t>builds</w:t>
      </w:r>
      <w:r w:rsidRPr="0093482F">
        <w:rPr>
          <w:color w:val="FFFFFF" w:themeColor="background1"/>
          <w:sz w:val="18"/>
          <w:szCs w:val="18"/>
          <w:lang w:val="en-US"/>
        </w:rPr>
        <w:t xml:space="preserve"> up in soils or sediments. HMs </w:t>
      </w:r>
      <w:proofErr w:type="gramStart"/>
      <w:r w:rsidRPr="0093482F">
        <w:rPr>
          <w:color w:val="FFFFFF" w:themeColor="background1"/>
          <w:sz w:val="18"/>
          <w:szCs w:val="18"/>
          <w:lang w:val="en-US"/>
        </w:rPr>
        <w:t>are</w:t>
      </w:r>
      <w:proofErr w:type="gramEnd"/>
      <w:r w:rsidRPr="0093482F">
        <w:rPr>
          <w:color w:val="FFFFFF" w:themeColor="background1"/>
          <w:sz w:val="18"/>
          <w:szCs w:val="18"/>
          <w:lang w:val="en-US"/>
        </w:rPr>
        <w:t xml:space="preserve"> persistent in the environment and may </w:t>
      </w:r>
      <w:r w:rsidRPr="00D95F47">
        <w:rPr>
          <w:color w:val="FFFFFF" w:themeColor="background1"/>
          <w:sz w:val="18"/>
          <w:szCs w:val="18"/>
          <w:lang w:val="en-US"/>
        </w:rPr>
        <w:t>bio-accumulate</w:t>
      </w:r>
      <w:r w:rsidRPr="0093482F">
        <w:rPr>
          <w:color w:val="FFFFFF" w:themeColor="background1"/>
          <w:sz w:val="18"/>
          <w:szCs w:val="18"/>
          <w:lang w:val="en-US"/>
        </w:rPr>
        <w:t xml:space="preserve"> in food chains.</w:t>
      </w:r>
    </w:p>
    <w:p w:rsidR="00691E2D" w:rsidRPr="00561491" w:rsidRDefault="00691E2D" w:rsidP="0093482F">
      <w:pPr>
        <w:spacing w:after="120" w:line="240" w:lineRule="auto"/>
        <w:ind w:right="95"/>
        <w:jc w:val="both"/>
        <w:rPr>
          <w:color w:val="1F497D" w:themeColor="text2"/>
          <w:lang w:val="en-US"/>
        </w:rPr>
      </w:pPr>
      <w:r w:rsidRPr="00561491">
        <w:rPr>
          <w:color w:val="1F497D" w:themeColor="text2"/>
          <w:lang w:val="en-US"/>
        </w:rPr>
        <w:t>Source: EEA, 2012a</w:t>
      </w:r>
    </w:p>
    <w:p w:rsidR="00691E2D" w:rsidRPr="0093482F" w:rsidRDefault="00DA789A" w:rsidP="00A452A5">
      <w:pPr>
        <w:rPr>
          <w:lang w:val="en-US"/>
        </w:rPr>
      </w:pPr>
      <w:r>
        <w:rPr>
          <w:lang w:val="en-US"/>
        </w:rPr>
        <w:t>18</w:t>
      </w:r>
      <w:r w:rsidR="00691E2D" w:rsidRPr="0093482F">
        <w:rPr>
          <w:lang w:val="en-US"/>
        </w:rPr>
        <w:t>.</w:t>
      </w:r>
      <w:r w:rsidR="00691E2D" w:rsidRPr="0093482F">
        <w:rPr>
          <w:lang w:val="en-US"/>
        </w:rPr>
        <w:tab/>
        <w:t>The concentration of air pollutants in the lower part of the atmosphere does not only depend on levels of emission of pollutants and their precursors, on specific characteristics of the pollutant (such as their average lifetime against phenomena like photolysis), as well as changes in meteorological conditions (Jacobson, 2002 and EEA, 2009)</w:t>
      </w:r>
      <w:r w:rsidR="00691E2D" w:rsidRPr="00D95F47">
        <w:rPr>
          <w:lang w:val="en-US"/>
        </w:rPr>
        <w:t xml:space="preserve"> </w:t>
      </w:r>
      <w:r w:rsidR="00691E2D" w:rsidRPr="0093482F">
        <w:rPr>
          <w:lang w:val="en-US"/>
        </w:rPr>
        <w:t>. The transport in the atmosphere, over long distances and across national boundaries, of anthropogenic acid-deposition precursors such as SO</w:t>
      </w:r>
      <w:r w:rsidR="00691E2D" w:rsidRPr="00A90A82">
        <w:rPr>
          <w:vertAlign w:val="subscript"/>
          <w:lang w:val="en-US"/>
        </w:rPr>
        <w:t>2</w:t>
      </w:r>
      <w:r w:rsidR="00691E2D" w:rsidRPr="0093482F">
        <w:rPr>
          <w:lang w:val="en-US"/>
        </w:rPr>
        <w:t xml:space="preserve"> and NO</w:t>
      </w:r>
      <w:r w:rsidR="00691E2D" w:rsidRPr="00A90A82">
        <w:rPr>
          <w:vertAlign w:val="subscript"/>
          <w:lang w:val="en-US"/>
        </w:rPr>
        <w:t>X</w:t>
      </w:r>
      <w:r w:rsidR="00691E2D" w:rsidRPr="0093482F">
        <w:rPr>
          <w:lang w:val="en-US"/>
        </w:rPr>
        <w:t xml:space="preserve"> (and the subsequent acidification of water bodies) was particularly relevant in the process leading to the </w:t>
      </w:r>
      <w:r w:rsidR="00691E2D" w:rsidRPr="00D95F47">
        <w:rPr>
          <w:lang w:val="en-US"/>
        </w:rPr>
        <w:t xml:space="preserve">UNECE </w:t>
      </w:r>
      <w:r w:rsidR="00691E2D" w:rsidRPr="0093482F">
        <w:rPr>
          <w:lang w:val="en-US"/>
        </w:rPr>
        <w:t>Convention on Long-Range Transboundary Air Pollution (CLRTAP), the first agreements dealing with air pollution at the international level (Jacobson, 2002).</w:t>
      </w:r>
    </w:p>
    <w:p w:rsidR="00691E2D" w:rsidRPr="0093482F" w:rsidRDefault="00DA789A" w:rsidP="00A452A5">
      <w:pPr>
        <w:rPr>
          <w:lang w:val="en-US"/>
        </w:rPr>
      </w:pPr>
      <w:r>
        <w:rPr>
          <w:lang w:val="en-US"/>
        </w:rPr>
        <w:t>19</w:t>
      </w:r>
      <w:r w:rsidR="00691E2D" w:rsidRPr="0093482F">
        <w:rPr>
          <w:lang w:val="en-US"/>
        </w:rPr>
        <w:t>.</w:t>
      </w:r>
      <w:r w:rsidR="00691E2D" w:rsidRPr="0093482F">
        <w:rPr>
          <w:lang w:val="en-US"/>
        </w:rPr>
        <w:tab/>
        <w:t>These considerations are important to bear in mind that complex links exist between the emissions of air pollutants and the air quality (the latter being measured via the ambient/atmospheric concentration of pollutants). As a result, changes in the emissions of selected pollutants do not always lead to a corresponding change in their atmospheric concentrations, even if they are a necessary step towards the improvement of air quality.</w:t>
      </w:r>
    </w:p>
    <w:p w:rsidR="00691E2D" w:rsidRPr="00C61948" w:rsidRDefault="00691E2D" w:rsidP="0074384F">
      <w:pPr>
        <w:pStyle w:val="Heading1"/>
      </w:pPr>
      <w:bookmarkStart w:id="4" w:name="_Toc343595874"/>
      <w:r w:rsidRPr="0093482F">
        <w:t>IV.</w:t>
      </w:r>
      <w:r w:rsidRPr="0093482F">
        <w:tab/>
      </w:r>
      <w:r w:rsidR="00E71EDE">
        <w:t>P</w:t>
      </w:r>
      <w:r w:rsidR="003F41ED" w:rsidRPr="00C61948">
        <w:t>olicy approach to e</w:t>
      </w:r>
      <w:r w:rsidRPr="00C61948">
        <w:t>mission</w:t>
      </w:r>
      <w:r w:rsidR="00E71EDE">
        <w:t>s</w:t>
      </w:r>
      <w:r w:rsidRPr="00C61948">
        <w:t xml:space="preserve"> </w:t>
      </w:r>
      <w:r w:rsidR="00E71EDE">
        <w:t xml:space="preserve">at </w:t>
      </w:r>
      <w:r w:rsidR="00050017">
        <w:t>n</w:t>
      </w:r>
      <w:r w:rsidR="00E71EDE">
        <w:t>ational and regional level.</w:t>
      </w:r>
      <w:bookmarkEnd w:id="4"/>
      <w:r w:rsidR="00E71EDE">
        <w:t xml:space="preserve"> </w:t>
      </w:r>
    </w:p>
    <w:p w:rsidR="003F41ED" w:rsidRPr="0093482F" w:rsidRDefault="00DA789A" w:rsidP="00A452A5">
      <w:pPr>
        <w:rPr>
          <w:color w:val="0070C0"/>
          <w:lang w:val="en-US"/>
        </w:rPr>
      </w:pPr>
      <w:r>
        <w:rPr>
          <w:lang w:val="en-US"/>
        </w:rPr>
        <w:t>20</w:t>
      </w:r>
      <w:r w:rsidR="003F41ED" w:rsidRPr="00827F74">
        <w:rPr>
          <w:lang w:val="en-US"/>
        </w:rPr>
        <w:t>.</w:t>
      </w:r>
      <w:r w:rsidR="003F41ED" w:rsidRPr="00827F74">
        <w:rPr>
          <w:lang w:val="en-US"/>
        </w:rPr>
        <w:tab/>
        <w:t>Several national governments have developed national legislation to offer an umbrella or framework regulation to improve air quality and monitor and curb emissions</w:t>
      </w:r>
      <w:r w:rsidR="003F41ED" w:rsidRPr="0093482F">
        <w:rPr>
          <w:lang w:val="en-US"/>
        </w:rPr>
        <w:t xml:space="preserve"> of air pollutants</w:t>
      </w:r>
      <w:r w:rsidR="003F41ED">
        <w:rPr>
          <w:color w:val="0070C0"/>
          <w:lang w:val="en-US"/>
        </w:rPr>
        <w:t xml:space="preserve">. </w:t>
      </w:r>
    </w:p>
    <w:p w:rsidR="00C50379" w:rsidRPr="00561491" w:rsidRDefault="00C50379" w:rsidP="00C50379">
      <w:pPr>
        <w:keepNext/>
        <w:spacing w:after="120" w:line="240" w:lineRule="auto"/>
        <w:ind w:right="96"/>
        <w:jc w:val="both"/>
        <w:rPr>
          <w:b/>
          <w:color w:val="000000" w:themeColor="text1"/>
          <w:lang w:val="en-US"/>
        </w:rPr>
      </w:pPr>
      <w:r w:rsidRPr="00561491">
        <w:rPr>
          <w:b/>
          <w:color w:val="000000" w:themeColor="text1"/>
          <w:lang w:val="en-US"/>
        </w:rPr>
        <w:lastRenderedPageBreak/>
        <w:t>Table 1. Limit values of the European Air Quality Directive for the protection of human health</w:t>
      </w:r>
    </w:p>
    <w:p w:rsidR="00C50379" w:rsidRPr="0093482F" w:rsidRDefault="00522CCF" w:rsidP="00C50379">
      <w:pPr>
        <w:spacing w:after="120" w:line="240" w:lineRule="auto"/>
        <w:ind w:right="95"/>
        <w:jc w:val="both"/>
        <w:rPr>
          <w:color w:val="000000" w:themeColor="text1"/>
          <w:lang w:val="en-US"/>
        </w:rPr>
      </w:pPr>
      <w:r>
        <w:rPr>
          <w:noProof/>
          <w:lang w:eastAsia="en-GB"/>
        </w:rPr>
        <w:drawing>
          <wp:inline distT="0" distB="0" distL="0" distR="0" wp14:anchorId="19C952EE" wp14:editId="5B7F2F6E">
            <wp:extent cx="5731510" cy="49726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972685"/>
                    </a:xfrm>
                    <a:prstGeom prst="rect">
                      <a:avLst/>
                    </a:prstGeom>
                    <a:noFill/>
                    <a:ln>
                      <a:noFill/>
                    </a:ln>
                  </pic:spPr>
                </pic:pic>
              </a:graphicData>
            </a:graphic>
          </wp:inline>
        </w:drawing>
      </w:r>
      <w:r w:rsidR="00C50379">
        <w:rPr>
          <w:noProof/>
          <w:lang w:eastAsia="en-GB"/>
        </w:rPr>
        <w:drawing>
          <wp:inline distT="0" distB="0" distL="0" distR="0" wp14:anchorId="76359335" wp14:editId="005D559D">
            <wp:extent cx="5731510" cy="25273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527300"/>
                    </a:xfrm>
                    <a:prstGeom prst="rect">
                      <a:avLst/>
                    </a:prstGeom>
                    <a:noFill/>
                    <a:ln>
                      <a:noFill/>
                    </a:ln>
                  </pic:spPr>
                </pic:pic>
              </a:graphicData>
            </a:graphic>
          </wp:inline>
        </w:drawing>
      </w:r>
      <w:r w:rsidR="00C50379" w:rsidRPr="0093482F">
        <w:rPr>
          <w:color w:val="000000" w:themeColor="text1"/>
          <w:lang w:val="en-US"/>
        </w:rPr>
        <w:t>Source: EC, 2008</w:t>
      </w:r>
    </w:p>
    <w:p w:rsidR="00A452A5" w:rsidRPr="0056104E" w:rsidRDefault="00A452A5" w:rsidP="00A452A5">
      <w:pPr>
        <w:rPr>
          <w:lang w:val="en-US"/>
        </w:rPr>
      </w:pPr>
      <w:r w:rsidRPr="0056104E">
        <w:rPr>
          <w:lang w:val="en-US"/>
        </w:rPr>
        <w:t>21.</w:t>
      </w:r>
      <w:r w:rsidRPr="0056104E">
        <w:rPr>
          <w:lang w:val="en-US"/>
        </w:rPr>
        <w:tab/>
        <w:t xml:space="preserve">Specific to diesel-powered vehicles, Canada regulates new on-road light passenger cars and trucks, as well as on-road heavy-duty trucks and off-road machinery. Most recently, Canada aligned with the Tier 4 air pollutant standards of the United States of America for off-road diesel engines used in mining, agricultural and construction sectors. Canada has also implemented regulations to reduce the maximum allowable content of sulphur diesel fuel to 15 part per million (ppm) in order to </w:t>
      </w:r>
      <w:r w:rsidRPr="0056104E">
        <w:rPr>
          <w:lang w:val="en-US"/>
        </w:rPr>
        <w:lastRenderedPageBreak/>
        <w:t>ensure the effective operation of exhaust after-treatment systems used on diesel engines to meet increasingly stringent emission standards.</w:t>
      </w:r>
    </w:p>
    <w:p w:rsidR="00691E2D" w:rsidRPr="0093482F" w:rsidRDefault="00DA789A" w:rsidP="00A452A5">
      <w:pPr>
        <w:spacing w:after="120"/>
        <w:ind w:right="96"/>
        <w:jc w:val="both"/>
        <w:rPr>
          <w:color w:val="000000" w:themeColor="text1"/>
          <w:lang w:val="en-US"/>
        </w:rPr>
      </w:pPr>
      <w:r>
        <w:rPr>
          <w:color w:val="000000" w:themeColor="text1"/>
          <w:lang w:val="en-US"/>
        </w:rPr>
        <w:t>2</w:t>
      </w:r>
      <w:r w:rsidR="0056104E">
        <w:rPr>
          <w:color w:val="000000" w:themeColor="text1"/>
          <w:lang w:val="en-US"/>
        </w:rPr>
        <w:t>2</w:t>
      </w:r>
      <w:r w:rsidR="00691E2D" w:rsidRPr="00827F74">
        <w:rPr>
          <w:color w:val="000000" w:themeColor="text1"/>
          <w:lang w:val="en-US"/>
        </w:rPr>
        <w:t>.</w:t>
      </w:r>
      <w:r w:rsidR="00691E2D" w:rsidRPr="00827F74">
        <w:rPr>
          <w:color w:val="000000" w:themeColor="text1"/>
          <w:lang w:val="en-US"/>
        </w:rPr>
        <w:tab/>
      </w:r>
      <w:r w:rsidR="00C50379">
        <w:rPr>
          <w:color w:val="000000" w:themeColor="text1"/>
          <w:lang w:val="en-US"/>
        </w:rPr>
        <w:t>Similarly</w:t>
      </w:r>
      <w:r w:rsidR="002B6407" w:rsidRPr="00827F74">
        <w:rPr>
          <w:color w:val="000000" w:themeColor="text1"/>
          <w:lang w:val="en-US"/>
        </w:rPr>
        <w:t>, t</w:t>
      </w:r>
      <w:r w:rsidR="00691E2D" w:rsidRPr="00827F74">
        <w:rPr>
          <w:color w:val="000000" w:themeColor="text1"/>
          <w:lang w:val="en-US"/>
        </w:rPr>
        <w:t>he European Union (EU) set up a number of</w:t>
      </w:r>
      <w:r w:rsidR="002B6407" w:rsidRPr="0093482F">
        <w:rPr>
          <w:color w:val="000000" w:themeColor="text1"/>
          <w:lang w:val="en-US"/>
        </w:rPr>
        <w:t xml:space="preserve"> </w:t>
      </w:r>
      <w:r w:rsidR="00691E2D" w:rsidRPr="0093482F">
        <w:rPr>
          <w:color w:val="000000" w:themeColor="text1"/>
          <w:lang w:val="en-US"/>
        </w:rPr>
        <w:t>instruments aiming to avoid, prevent or reduce harmful effects on human health and the environment as a whole. The policies in place limit the emissions of air pollutants, and/or establish objectives for ambient air quality. Key legislative EU instruments include the following:</w:t>
      </w:r>
    </w:p>
    <w:p w:rsidR="00691E2D" w:rsidRPr="00C50379" w:rsidRDefault="00691E2D" w:rsidP="00A452A5">
      <w:pPr>
        <w:pStyle w:val="ListParagraph"/>
        <w:numPr>
          <w:ilvl w:val="0"/>
          <w:numId w:val="12"/>
        </w:numPr>
        <w:spacing w:after="120"/>
        <w:ind w:right="96"/>
        <w:jc w:val="both"/>
        <w:rPr>
          <w:lang w:val="en-US"/>
        </w:rPr>
      </w:pPr>
      <w:r w:rsidRPr="0093482F">
        <w:rPr>
          <w:color w:val="000000" w:themeColor="text1"/>
          <w:lang w:val="en-US"/>
        </w:rPr>
        <w:t>In 2001, the EU Directive on National Emission Ceilings</w:t>
      </w:r>
      <w:r w:rsidR="002447CB">
        <w:rPr>
          <w:rStyle w:val="FootnoteReference"/>
          <w:lang w:val="en-US"/>
        </w:rPr>
        <w:footnoteReference w:id="2"/>
      </w:r>
      <w:r w:rsidRPr="0093482F">
        <w:rPr>
          <w:color w:val="000000" w:themeColor="text1"/>
          <w:lang w:val="en-US"/>
        </w:rPr>
        <w:t xml:space="preserve"> for certain pollutants (NEC Directive) (EC, 2001), setting upper limits for each Member State for the total emissions in 2010 (and beyond) of the four pollutants responsible for acidification, eutrophication and ground-level ozone pollution: sulphur dioxide (SO</w:t>
      </w:r>
      <w:r w:rsidRPr="00A90A82">
        <w:rPr>
          <w:color w:val="000000" w:themeColor="text1"/>
          <w:vertAlign w:val="subscript"/>
          <w:lang w:val="en-US"/>
        </w:rPr>
        <w:t>2</w:t>
      </w:r>
      <w:r w:rsidRPr="0093482F">
        <w:rPr>
          <w:color w:val="000000" w:themeColor="text1"/>
          <w:lang w:val="en-US"/>
        </w:rPr>
        <w:t>), nitrogen oxides (NO</w:t>
      </w:r>
      <w:r w:rsidRPr="00A90A82">
        <w:rPr>
          <w:color w:val="000000" w:themeColor="text1"/>
          <w:vertAlign w:val="subscript"/>
          <w:lang w:val="en-US"/>
        </w:rPr>
        <w:t>X</w:t>
      </w:r>
      <w:r w:rsidRPr="0093482F">
        <w:rPr>
          <w:color w:val="000000" w:themeColor="text1"/>
          <w:lang w:val="en-US"/>
        </w:rPr>
        <w:t>), volatile organic compounds (VOC) and ammonia (NH</w:t>
      </w:r>
      <w:r w:rsidRPr="00A90A82">
        <w:rPr>
          <w:color w:val="000000" w:themeColor="text1"/>
          <w:vertAlign w:val="subscript"/>
          <w:lang w:val="en-US"/>
        </w:rPr>
        <w:t>3</w:t>
      </w:r>
      <w:r w:rsidRPr="0093482F">
        <w:rPr>
          <w:color w:val="000000" w:themeColor="text1"/>
          <w:lang w:val="en-US"/>
        </w:rPr>
        <w:t>). The NEC Directive left to the</w:t>
      </w:r>
      <w:r w:rsidRPr="00827F74">
        <w:rPr>
          <w:color w:val="000000" w:themeColor="text1"/>
          <w:lang w:val="en-US"/>
        </w:rPr>
        <w:t xml:space="preserve"> EU</w:t>
      </w:r>
      <w:r w:rsidRPr="0093482F">
        <w:rPr>
          <w:color w:val="000000" w:themeColor="text1"/>
          <w:lang w:val="en-US"/>
        </w:rPr>
        <w:t xml:space="preserve"> Member States the decision on which measures to take in order to comply, but it included the requirement to develop (in 2002, with a second round foreseen for 2006) national programmes for the attainment of the targets. These programmes have been analyzed and evaluate</w:t>
      </w:r>
      <w:r w:rsidRPr="00C50379">
        <w:rPr>
          <w:lang w:val="en-US"/>
        </w:rPr>
        <w:t>d.</w:t>
      </w:r>
    </w:p>
    <w:p w:rsidR="00691E2D" w:rsidRPr="0093482F" w:rsidRDefault="00691E2D" w:rsidP="00A452A5">
      <w:pPr>
        <w:pStyle w:val="ListParagraph"/>
        <w:numPr>
          <w:ilvl w:val="0"/>
          <w:numId w:val="12"/>
        </w:numPr>
        <w:spacing w:after="120"/>
        <w:ind w:right="96"/>
        <w:jc w:val="both"/>
        <w:rPr>
          <w:color w:val="000000" w:themeColor="text1"/>
          <w:lang w:val="en-US"/>
        </w:rPr>
      </w:pPr>
      <w:r w:rsidRPr="0093482F">
        <w:rPr>
          <w:color w:val="000000" w:themeColor="text1"/>
          <w:lang w:val="en-US"/>
        </w:rPr>
        <w:t>In 2002, the Sixth Environment Action Programme (6EAP) set long-term objective of achieving levels of air quality that do not give rise to significant negative impacts on, and risks to, human health and the environment.</w:t>
      </w:r>
    </w:p>
    <w:p w:rsidR="00691E2D" w:rsidRPr="0093482F" w:rsidRDefault="00691E2D" w:rsidP="00A452A5">
      <w:pPr>
        <w:pStyle w:val="ListParagraph"/>
        <w:numPr>
          <w:ilvl w:val="0"/>
          <w:numId w:val="12"/>
        </w:numPr>
        <w:spacing w:after="120"/>
        <w:ind w:right="96"/>
        <w:jc w:val="both"/>
        <w:rPr>
          <w:color w:val="000000" w:themeColor="text1"/>
          <w:lang w:val="en-US"/>
        </w:rPr>
      </w:pPr>
      <w:r w:rsidRPr="0093482F">
        <w:rPr>
          <w:color w:val="000000" w:themeColor="text1"/>
          <w:lang w:val="en-US"/>
        </w:rPr>
        <w:t>In 2005, the Thematic Strategy on Air Pollution (EC, 2005) identified a number of key measures to be taken to help meeting the 2020 interim objectives for human health and the environment. The revision of the NEC Directive, now under preparation, was identified as one of the key measures in this strategy.</w:t>
      </w:r>
    </w:p>
    <w:p w:rsidR="00691E2D" w:rsidRPr="0093482F" w:rsidRDefault="00691E2D" w:rsidP="00A452A5">
      <w:pPr>
        <w:pStyle w:val="ListParagraph"/>
        <w:numPr>
          <w:ilvl w:val="0"/>
          <w:numId w:val="12"/>
        </w:numPr>
        <w:spacing w:after="120"/>
        <w:ind w:right="96"/>
        <w:jc w:val="both"/>
        <w:rPr>
          <w:color w:val="000000" w:themeColor="text1"/>
          <w:lang w:val="en-US"/>
        </w:rPr>
      </w:pPr>
      <w:r w:rsidRPr="0093482F">
        <w:rPr>
          <w:color w:val="000000" w:themeColor="text1"/>
          <w:lang w:val="en-US"/>
        </w:rPr>
        <w:t xml:space="preserve">In 2008, the Air Quality Directive (EC, 2008) merged most of the previous legislation on air quality (i.e. legislation targeting the ambient concentration of pollutants, with the exception of target values for the concentration of arsenic, cadmium, nickel and </w:t>
      </w:r>
      <w:proofErr w:type="spellStart"/>
      <w:r w:rsidRPr="0093482F">
        <w:rPr>
          <w:color w:val="000000" w:themeColor="text1"/>
          <w:lang w:val="en-US"/>
        </w:rPr>
        <w:t>benzo</w:t>
      </w:r>
      <w:proofErr w:type="spellEnd"/>
      <w:r w:rsidRPr="0093482F">
        <w:rPr>
          <w:color w:val="000000" w:themeColor="text1"/>
          <w:lang w:val="en-US"/>
        </w:rPr>
        <w:t>(a)</w:t>
      </w:r>
      <w:proofErr w:type="spellStart"/>
      <w:r w:rsidRPr="0093482F">
        <w:rPr>
          <w:color w:val="000000" w:themeColor="text1"/>
          <w:lang w:val="en-US"/>
        </w:rPr>
        <w:t>pyrene</w:t>
      </w:r>
      <w:proofErr w:type="spellEnd"/>
      <w:r w:rsidRPr="0093482F">
        <w:rPr>
          <w:color w:val="000000" w:themeColor="text1"/>
          <w:lang w:val="en-US"/>
        </w:rPr>
        <w:t xml:space="preserve"> in ambient air) into a single directive, with no change to pre-existing air quality objectives. The Air Quality Directive also introduced new air quality objectives for PM2.5 (fine particles), the possibility to discount natural sources of pollution when assessing compliance against limit values, and the possibility for time extensions of three years (PM10) or up to five years (NO2, benzene) for complying with limit values, based on conditions and the assessment by the European Commission. The limit values for the protection of human health included in the Air Quality Directive are reported in Table 1.</w:t>
      </w:r>
    </w:p>
    <w:p w:rsidR="00691E2D" w:rsidRPr="0093482F" w:rsidRDefault="0056104E" w:rsidP="00A452A5">
      <w:pPr>
        <w:spacing w:after="120"/>
        <w:ind w:right="96"/>
        <w:jc w:val="both"/>
        <w:rPr>
          <w:color w:val="000000" w:themeColor="text1"/>
          <w:lang w:val="en-US"/>
        </w:rPr>
      </w:pPr>
      <w:r w:rsidRPr="0093482F">
        <w:rPr>
          <w:color w:val="000000" w:themeColor="text1"/>
          <w:lang w:val="en-US"/>
        </w:rPr>
        <w:t>2</w:t>
      </w:r>
      <w:r>
        <w:rPr>
          <w:color w:val="000000" w:themeColor="text1"/>
          <w:lang w:val="en-US"/>
        </w:rPr>
        <w:t>3</w:t>
      </w:r>
      <w:r w:rsidR="00A452A5">
        <w:rPr>
          <w:color w:val="000000" w:themeColor="text1"/>
          <w:lang w:val="en-US"/>
        </w:rPr>
        <w:t>.</w:t>
      </w:r>
      <w:r w:rsidR="00DA789A">
        <w:rPr>
          <w:color w:val="000000" w:themeColor="text1"/>
          <w:lang w:val="en-US"/>
        </w:rPr>
        <w:tab/>
      </w:r>
      <w:r w:rsidR="00691E2D" w:rsidRPr="0093482F">
        <w:rPr>
          <w:color w:val="000000" w:themeColor="text1"/>
          <w:lang w:val="en-US"/>
        </w:rPr>
        <w:t>According to the final assessment on the 6EAP, the review of the European air quality policy is expected by 2013 (EC, 2011). The review of the NEC Directive is expected to set emission ceilings for the four already regulated substances (SO</w:t>
      </w:r>
      <w:r w:rsidR="00691E2D" w:rsidRPr="00A90A82">
        <w:rPr>
          <w:color w:val="000000" w:themeColor="text1"/>
          <w:vertAlign w:val="subscript"/>
          <w:lang w:val="en-US"/>
        </w:rPr>
        <w:t>2</w:t>
      </w:r>
      <w:r w:rsidR="00691E2D" w:rsidRPr="0093482F">
        <w:rPr>
          <w:color w:val="000000" w:themeColor="text1"/>
          <w:lang w:val="en-US"/>
        </w:rPr>
        <w:t>, NO</w:t>
      </w:r>
      <w:r w:rsidR="00691E2D" w:rsidRPr="00A90A82">
        <w:rPr>
          <w:color w:val="000000" w:themeColor="text1"/>
          <w:vertAlign w:val="subscript"/>
          <w:lang w:val="en-US"/>
        </w:rPr>
        <w:t>X</w:t>
      </w:r>
      <w:r w:rsidR="00691E2D" w:rsidRPr="0093482F">
        <w:rPr>
          <w:color w:val="000000" w:themeColor="text1"/>
          <w:lang w:val="en-US"/>
        </w:rPr>
        <w:t>, volatile organic compounds and ammonia), as well as the primary emissions (i.e. the fraction of emissions that is emitted directly into the atmosphere, rather than following the oxidation and transformation of precursor gases) of fine particulate matter (PM2.5) (EC, 2012a).</w:t>
      </w:r>
    </w:p>
    <w:p w:rsidR="00691E2D" w:rsidRPr="0093482F" w:rsidRDefault="0056104E" w:rsidP="00A452A5">
      <w:pPr>
        <w:rPr>
          <w:lang w:val="en-US"/>
        </w:rPr>
      </w:pPr>
      <w:r>
        <w:rPr>
          <w:lang w:val="en-US"/>
        </w:rPr>
        <w:t>24</w:t>
      </w:r>
      <w:r w:rsidR="00691E2D" w:rsidRPr="0093482F">
        <w:rPr>
          <w:lang w:val="en-US"/>
        </w:rPr>
        <w:t>.</w:t>
      </w:r>
      <w:r w:rsidR="00691E2D" w:rsidRPr="0093482F">
        <w:rPr>
          <w:lang w:val="en-US"/>
        </w:rPr>
        <w:tab/>
        <w:t xml:space="preserve">Parallel to the development of the EU NEC Directive, the EU Member States together with Central and Eastern European countries, the United States </w:t>
      </w:r>
      <w:r w:rsidR="00691E2D" w:rsidRPr="00827F74">
        <w:rPr>
          <w:lang w:val="en-US"/>
        </w:rPr>
        <w:t xml:space="preserve">of America </w:t>
      </w:r>
      <w:r w:rsidR="00691E2D" w:rsidRPr="0093482F">
        <w:rPr>
          <w:lang w:val="en-US"/>
        </w:rPr>
        <w:t>and Canada have negotiated the "multi-pollutant" protocol (the so-called Gothenburg Protocol, agreed in November 1999 (UNECE, 1999))</w:t>
      </w:r>
      <w:r w:rsidR="00691E2D" w:rsidRPr="00827F74">
        <w:rPr>
          <w:lang w:val="en-US"/>
        </w:rPr>
        <w:t xml:space="preserve"> </w:t>
      </w:r>
      <w:r w:rsidR="00691E2D" w:rsidRPr="0093482F">
        <w:rPr>
          <w:lang w:val="en-US"/>
        </w:rPr>
        <w:t>under the</w:t>
      </w:r>
      <w:r w:rsidR="00691E2D" w:rsidRPr="00827F74">
        <w:rPr>
          <w:lang w:val="en-US"/>
        </w:rPr>
        <w:t xml:space="preserve"> UNECE</w:t>
      </w:r>
      <w:r w:rsidR="00691E2D" w:rsidRPr="0093482F">
        <w:rPr>
          <w:lang w:val="en-US"/>
        </w:rPr>
        <w:t xml:space="preserve"> Convention on Long-Range Transboundary Air Pollution (CLRTAP) </w:t>
      </w:r>
      <w:r w:rsidR="00691E2D" w:rsidRPr="0093482F">
        <w:rPr>
          <w:lang w:val="en-US"/>
        </w:rPr>
        <w:lastRenderedPageBreak/>
        <w:t>(UNECE, 1979). The Gothenburg Protocol also includes emission ceilings for nitrogen oxides (NO</w:t>
      </w:r>
      <w:r w:rsidR="00691E2D" w:rsidRPr="00A90A82">
        <w:rPr>
          <w:vertAlign w:val="subscript"/>
          <w:lang w:val="en-US"/>
        </w:rPr>
        <w:t>X</w:t>
      </w:r>
      <w:r w:rsidR="00691E2D" w:rsidRPr="0093482F">
        <w:rPr>
          <w:lang w:val="en-US"/>
        </w:rPr>
        <w:t>), sulphur dioxide (SO</w:t>
      </w:r>
      <w:r w:rsidR="00691E2D" w:rsidRPr="00A90A82">
        <w:rPr>
          <w:vertAlign w:val="subscript"/>
          <w:lang w:val="en-US"/>
        </w:rPr>
        <w:t>2</w:t>
      </w:r>
      <w:r w:rsidR="00691E2D" w:rsidRPr="0093482F">
        <w:rPr>
          <w:lang w:val="en-US"/>
        </w:rPr>
        <w:t>), ammonia (NH</w:t>
      </w:r>
      <w:r w:rsidR="00691E2D" w:rsidRPr="00A90A82">
        <w:rPr>
          <w:vertAlign w:val="subscript"/>
          <w:lang w:val="en-US"/>
        </w:rPr>
        <w:t>3</w:t>
      </w:r>
      <w:r w:rsidR="00691E2D" w:rsidRPr="0093482F">
        <w:rPr>
          <w:lang w:val="en-US"/>
        </w:rPr>
        <w:t>) and non-methane volatile organic compounds (NMVOCs). The emission ceilings in the protocol are equal or less ambitious than those in the NEC Directive (EC, 2012b).</w:t>
      </w:r>
    </w:p>
    <w:p w:rsidR="00691E2D" w:rsidRPr="0093482F" w:rsidRDefault="0056104E" w:rsidP="00A452A5">
      <w:pPr>
        <w:rPr>
          <w:lang w:val="en-US"/>
        </w:rPr>
      </w:pPr>
      <w:r>
        <w:rPr>
          <w:lang w:val="en-US"/>
        </w:rPr>
        <w:t>25</w:t>
      </w:r>
      <w:r w:rsidR="00691E2D" w:rsidRPr="0093482F">
        <w:rPr>
          <w:lang w:val="en-US"/>
        </w:rPr>
        <w:t>.</w:t>
      </w:r>
      <w:r w:rsidR="00691E2D" w:rsidRPr="0093482F">
        <w:rPr>
          <w:lang w:val="en-US"/>
        </w:rPr>
        <w:tab/>
        <w:t>In early May 2012, Parties of CLRTAP reached a consensus to revise the Gothenburg Protocol. The revised Protocol (not in force yet) sets new emission ceilings for NO</w:t>
      </w:r>
      <w:r w:rsidR="00691E2D" w:rsidRPr="00A90A82">
        <w:rPr>
          <w:vertAlign w:val="subscript"/>
          <w:lang w:val="en-US"/>
        </w:rPr>
        <w:t>X</w:t>
      </w:r>
      <w:r w:rsidR="00691E2D" w:rsidRPr="0093482F">
        <w:rPr>
          <w:lang w:val="en-US"/>
        </w:rPr>
        <w:t>, SO</w:t>
      </w:r>
      <w:r w:rsidR="00691E2D" w:rsidRPr="00A90A82">
        <w:rPr>
          <w:vertAlign w:val="subscript"/>
          <w:lang w:val="en-US"/>
        </w:rPr>
        <w:t>2</w:t>
      </w:r>
      <w:r w:rsidR="00691E2D" w:rsidRPr="0093482F">
        <w:rPr>
          <w:lang w:val="en-US"/>
        </w:rPr>
        <w:t>, NH</w:t>
      </w:r>
      <w:r w:rsidR="00691E2D" w:rsidRPr="00A90A82">
        <w:rPr>
          <w:vertAlign w:val="subscript"/>
          <w:lang w:val="en-US"/>
        </w:rPr>
        <w:t>3</w:t>
      </w:r>
      <w:r w:rsidR="00691E2D" w:rsidRPr="0093482F">
        <w:rPr>
          <w:lang w:val="en-US"/>
        </w:rPr>
        <w:t xml:space="preserve"> and NMVOCs for the year 2020 and beyond. It also introduces emission ceilings for fine particular matter (PM2.5).</w:t>
      </w:r>
    </w:p>
    <w:p w:rsidR="00691E2D" w:rsidRPr="00DA789A" w:rsidRDefault="00691E2D" w:rsidP="0093482F">
      <w:pPr>
        <w:pStyle w:val="Heading1"/>
        <w:rPr>
          <w:lang w:val="en-US"/>
        </w:rPr>
      </w:pPr>
      <w:bookmarkStart w:id="5" w:name="_Toc343595875"/>
      <w:r w:rsidRPr="00DA789A">
        <w:rPr>
          <w:lang w:val="en-US"/>
        </w:rPr>
        <w:t>V.</w:t>
      </w:r>
      <w:r w:rsidRPr="00DA789A">
        <w:rPr>
          <w:lang w:val="en-US"/>
        </w:rPr>
        <w:tab/>
        <w:t>Emissions of the main air pollutants</w:t>
      </w:r>
      <w:bookmarkEnd w:id="5"/>
    </w:p>
    <w:p w:rsidR="00691E2D" w:rsidRPr="00DA789A" w:rsidRDefault="00691E2D" w:rsidP="0093482F">
      <w:pPr>
        <w:pStyle w:val="Heading2"/>
        <w:rPr>
          <w:lang w:val="en-US"/>
        </w:rPr>
      </w:pPr>
      <w:bookmarkStart w:id="6" w:name="_Toc343595876"/>
      <w:r w:rsidRPr="00DA789A">
        <w:rPr>
          <w:lang w:val="en-US"/>
        </w:rPr>
        <w:t>V.I</w:t>
      </w:r>
      <w:r w:rsidRPr="00DA789A">
        <w:rPr>
          <w:lang w:val="en-US"/>
        </w:rPr>
        <w:tab/>
      </w:r>
      <w:r w:rsidR="00050017">
        <w:rPr>
          <w:lang w:val="en-US"/>
        </w:rPr>
        <w:t>E</w:t>
      </w:r>
      <w:r w:rsidRPr="00DA789A">
        <w:rPr>
          <w:lang w:val="en-US"/>
        </w:rPr>
        <w:t>missions</w:t>
      </w:r>
      <w:r w:rsidR="00050017">
        <w:rPr>
          <w:lang w:val="en-US"/>
        </w:rPr>
        <w:t xml:space="preserve"> trends</w:t>
      </w:r>
      <w:bookmarkEnd w:id="6"/>
    </w:p>
    <w:p w:rsidR="00691E2D" w:rsidRPr="0093482F" w:rsidRDefault="0056104E" w:rsidP="00A452A5">
      <w:pPr>
        <w:spacing w:after="120"/>
        <w:ind w:right="96"/>
        <w:jc w:val="both"/>
        <w:rPr>
          <w:color w:val="000000" w:themeColor="text1"/>
          <w:lang w:val="en-US"/>
        </w:rPr>
      </w:pPr>
      <w:r>
        <w:rPr>
          <w:color w:val="000000" w:themeColor="text1"/>
          <w:lang w:val="en-US"/>
        </w:rPr>
        <w:t>26</w:t>
      </w:r>
      <w:r w:rsidR="00691E2D" w:rsidRPr="0093482F">
        <w:rPr>
          <w:color w:val="000000" w:themeColor="text1"/>
          <w:lang w:val="en-US"/>
        </w:rPr>
        <w:t>.</w:t>
      </w:r>
      <w:r w:rsidR="00691E2D" w:rsidRPr="0093482F">
        <w:rPr>
          <w:color w:val="000000" w:themeColor="text1"/>
          <w:lang w:val="en-US"/>
        </w:rPr>
        <w:tab/>
        <w:t xml:space="preserve">A number of </w:t>
      </w:r>
      <w:r w:rsidR="00691E2D" w:rsidRPr="00827F74">
        <w:rPr>
          <w:color w:val="000000" w:themeColor="text1"/>
          <w:lang w:val="en-US"/>
        </w:rPr>
        <w:t>modeling</w:t>
      </w:r>
      <w:r w:rsidR="00691E2D" w:rsidRPr="0093482F">
        <w:rPr>
          <w:color w:val="000000" w:themeColor="text1"/>
          <w:lang w:val="en-US"/>
        </w:rPr>
        <w:t xml:space="preserve"> instruments have been developed for the estimation of the emissions of air pollutants over time and their attribution to different driving sources. According to the EEA (which builds on the results obtained with these </w:t>
      </w:r>
      <w:r w:rsidR="00691E2D" w:rsidRPr="00827F74">
        <w:rPr>
          <w:color w:val="000000" w:themeColor="text1"/>
          <w:lang w:val="en-US"/>
        </w:rPr>
        <w:t>modeling</w:t>
      </w:r>
      <w:r w:rsidR="00691E2D" w:rsidRPr="0093482F">
        <w:rPr>
          <w:color w:val="000000" w:themeColor="text1"/>
          <w:lang w:val="en-US"/>
        </w:rPr>
        <w:t xml:space="preserve"> instruments), air pollutant emissions in Europe (including EEA Member States and Countries of the Western Balkans) have </w:t>
      </w:r>
      <w:r w:rsidR="00691E2D" w:rsidRPr="00827F74">
        <w:rPr>
          <w:color w:val="000000" w:themeColor="text1"/>
          <w:lang w:val="en-US"/>
        </w:rPr>
        <w:t>decreased</w:t>
      </w:r>
      <w:r w:rsidR="00691E2D" w:rsidRPr="0093482F">
        <w:rPr>
          <w:color w:val="000000" w:themeColor="text1"/>
          <w:lang w:val="en-US"/>
        </w:rPr>
        <w:t xml:space="preserve"> since 1990. In 2010 (EEA, 2012a):</w:t>
      </w:r>
    </w:p>
    <w:p w:rsidR="00691E2D" w:rsidRPr="0093482F" w:rsidRDefault="00691E2D" w:rsidP="00A452A5">
      <w:pPr>
        <w:pStyle w:val="ListParagraph"/>
        <w:numPr>
          <w:ilvl w:val="0"/>
          <w:numId w:val="14"/>
        </w:numPr>
        <w:spacing w:after="120"/>
        <w:ind w:right="96"/>
        <w:jc w:val="both"/>
        <w:rPr>
          <w:color w:val="000000" w:themeColor="text1"/>
          <w:lang w:val="en-US"/>
        </w:rPr>
      </w:pPr>
      <w:r w:rsidRPr="0093482F">
        <w:rPr>
          <w:color w:val="000000" w:themeColor="text1"/>
          <w:lang w:val="en-US"/>
        </w:rPr>
        <w:t>SO</w:t>
      </w:r>
      <w:r w:rsidRPr="00A90A82">
        <w:rPr>
          <w:color w:val="000000" w:themeColor="text1"/>
          <w:vertAlign w:val="subscript"/>
          <w:lang w:val="en-US"/>
        </w:rPr>
        <w:t>X</w:t>
      </w:r>
      <w:r w:rsidRPr="0093482F">
        <w:rPr>
          <w:color w:val="000000" w:themeColor="text1"/>
          <w:lang w:val="en-US"/>
        </w:rPr>
        <w:t xml:space="preserve"> emissions were 82 % lower than in 1990;</w:t>
      </w:r>
    </w:p>
    <w:p w:rsidR="00691E2D" w:rsidRPr="0093482F" w:rsidRDefault="00691E2D" w:rsidP="00A452A5">
      <w:pPr>
        <w:pStyle w:val="ListParagraph"/>
        <w:numPr>
          <w:ilvl w:val="0"/>
          <w:numId w:val="14"/>
        </w:numPr>
        <w:spacing w:after="120"/>
        <w:ind w:right="96"/>
        <w:jc w:val="both"/>
        <w:rPr>
          <w:color w:val="000000" w:themeColor="text1"/>
          <w:lang w:val="en-US"/>
        </w:rPr>
      </w:pPr>
      <w:r w:rsidRPr="0093482F">
        <w:rPr>
          <w:color w:val="000000" w:themeColor="text1"/>
          <w:lang w:val="en-US"/>
        </w:rPr>
        <w:t>emissions of the other main air pollutants have dropped significantly since 1990, including emissions of the three air pollutants primarily responsible for the formation of ground-level ozone: CO (62 % reduction), NMVOC (56 % reduction) and NO</w:t>
      </w:r>
      <w:r w:rsidRPr="00A90A82">
        <w:rPr>
          <w:color w:val="000000" w:themeColor="text1"/>
          <w:vertAlign w:val="subscript"/>
          <w:lang w:val="en-US"/>
        </w:rPr>
        <w:t>X</w:t>
      </w:r>
      <w:r w:rsidRPr="0093482F">
        <w:rPr>
          <w:color w:val="000000" w:themeColor="text1"/>
          <w:lang w:val="en-US"/>
        </w:rPr>
        <w:t xml:space="preserve"> (47 % reduction</w:t>
      </w:r>
      <w:r w:rsidRPr="00DA789A">
        <w:rPr>
          <w:color w:val="000000" w:themeColor="text1"/>
          <w:lang w:val="en-US"/>
        </w:rPr>
        <w:t>);</w:t>
      </w:r>
    </w:p>
    <w:p w:rsidR="00691E2D" w:rsidRPr="0093482F" w:rsidRDefault="00691E2D" w:rsidP="00A452A5">
      <w:pPr>
        <w:pStyle w:val="ListParagraph"/>
        <w:numPr>
          <w:ilvl w:val="0"/>
          <w:numId w:val="14"/>
        </w:numPr>
        <w:spacing w:after="120"/>
        <w:ind w:right="96"/>
        <w:jc w:val="both"/>
        <w:rPr>
          <w:color w:val="000000" w:themeColor="text1"/>
          <w:lang w:val="en-US"/>
        </w:rPr>
      </w:pPr>
      <w:r w:rsidRPr="0093482F">
        <w:rPr>
          <w:color w:val="000000" w:themeColor="text1"/>
          <w:lang w:val="en-US"/>
        </w:rPr>
        <w:t xml:space="preserve">Total Suspended Particles (TSP) </w:t>
      </w:r>
      <w:proofErr w:type="gramStart"/>
      <w:r w:rsidRPr="0093482F">
        <w:rPr>
          <w:color w:val="000000" w:themeColor="text1"/>
          <w:lang w:val="en-US"/>
        </w:rPr>
        <w:t>have</w:t>
      </w:r>
      <w:proofErr w:type="gramEnd"/>
      <w:r w:rsidRPr="0093482F">
        <w:rPr>
          <w:color w:val="000000" w:themeColor="text1"/>
          <w:lang w:val="en-US"/>
        </w:rPr>
        <w:t xml:space="preserve"> seen a reduction of 48 % from 1990. For PM10 and PM2.5, the aggregated EU-27 emission reduction achieved since 2000 is 14 % and 15 %, respectively.</w:t>
      </w:r>
    </w:p>
    <w:p w:rsidR="00561491" w:rsidRDefault="00691E2D" w:rsidP="00561491">
      <w:pPr>
        <w:keepNext/>
        <w:spacing w:after="120" w:line="240" w:lineRule="auto"/>
        <w:ind w:right="96"/>
        <w:jc w:val="both"/>
        <w:rPr>
          <w:b/>
          <w:color w:val="000000" w:themeColor="text1"/>
          <w:lang w:val="en-US"/>
        </w:rPr>
      </w:pPr>
      <w:r w:rsidRPr="00561491">
        <w:rPr>
          <w:b/>
          <w:color w:val="000000" w:themeColor="text1"/>
          <w:lang w:val="en-US"/>
        </w:rPr>
        <w:t>Figure 1. EU-27 emission trends for the main air pollutants and for particulate matter</w:t>
      </w:r>
    </w:p>
    <w:p w:rsidR="00691E2D" w:rsidRPr="0093482F" w:rsidRDefault="00691E2D" w:rsidP="0093482F">
      <w:pPr>
        <w:spacing w:after="120" w:line="240" w:lineRule="auto"/>
        <w:ind w:right="95"/>
        <w:jc w:val="both"/>
        <w:rPr>
          <w:color w:val="0070C0"/>
          <w:lang w:val="en-US"/>
        </w:rPr>
      </w:pPr>
      <w:r w:rsidRPr="006846B5">
        <w:rPr>
          <w:noProof/>
          <w:color w:val="0070C0"/>
          <w:lang w:eastAsia="en-GB"/>
        </w:rPr>
        <w:drawing>
          <wp:inline distT="0" distB="0" distL="0" distR="0" wp14:anchorId="680869B4" wp14:editId="25CC1FA5">
            <wp:extent cx="5731510" cy="2608637"/>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731510" cy="2608637"/>
                    </a:xfrm>
                    <a:prstGeom prst="rect">
                      <a:avLst/>
                    </a:prstGeom>
                  </pic:spPr>
                </pic:pic>
              </a:graphicData>
            </a:graphic>
          </wp:inline>
        </w:drawing>
      </w:r>
    </w:p>
    <w:p w:rsidR="00691E2D" w:rsidRDefault="00691E2D" w:rsidP="0093482F">
      <w:pPr>
        <w:spacing w:after="120" w:line="240" w:lineRule="auto"/>
        <w:ind w:right="95"/>
        <w:jc w:val="both"/>
        <w:rPr>
          <w:color w:val="000000" w:themeColor="text1"/>
          <w:lang w:val="en-US"/>
        </w:rPr>
      </w:pPr>
      <w:r w:rsidRPr="0093482F">
        <w:rPr>
          <w:color w:val="000000" w:themeColor="text1"/>
          <w:lang w:val="en-US"/>
        </w:rPr>
        <w:t>Source: EEA, 2012a</w:t>
      </w:r>
    </w:p>
    <w:p w:rsidR="0056104E" w:rsidRPr="0056104E" w:rsidRDefault="0056104E" w:rsidP="00A452A5">
      <w:pPr>
        <w:spacing w:after="120"/>
        <w:ind w:right="96"/>
        <w:jc w:val="both"/>
        <w:rPr>
          <w:lang w:val="en-US"/>
        </w:rPr>
      </w:pPr>
      <w:r w:rsidRPr="0056104E">
        <w:rPr>
          <w:lang w:val="en-US"/>
        </w:rPr>
        <w:t>2</w:t>
      </w:r>
      <w:r>
        <w:rPr>
          <w:lang w:val="en-US"/>
        </w:rPr>
        <w:t>7</w:t>
      </w:r>
      <w:r w:rsidRPr="0056104E">
        <w:rPr>
          <w:lang w:val="en-US"/>
        </w:rPr>
        <w:t>.</w:t>
      </w:r>
      <w:r w:rsidRPr="0056104E">
        <w:rPr>
          <w:lang w:val="en-US"/>
        </w:rPr>
        <w:tab/>
        <w:t>Canada’s regulatory approach has been effective at reducing harmful emissions from diesel heavy-duty and light duty vehicles. For example, PM2.5 emissions from the diesel powered on-road fleet have been reduced 75% between 1985 and 2010. Also, NO</w:t>
      </w:r>
      <w:r w:rsidRPr="0056104E">
        <w:rPr>
          <w:vertAlign w:val="subscript"/>
          <w:lang w:val="en-US"/>
        </w:rPr>
        <w:t>X</w:t>
      </w:r>
      <w:r w:rsidRPr="0056104E">
        <w:rPr>
          <w:lang w:val="en-US"/>
        </w:rPr>
        <w:t xml:space="preserve"> emissions from the diesel heavy-duty and light-duty fleet have gone down 40% in 2010 from 1998 peak values. It is important to </w:t>
      </w:r>
      <w:r w:rsidRPr="0056104E">
        <w:rPr>
          <w:lang w:val="en-US"/>
        </w:rPr>
        <w:lastRenderedPageBreak/>
        <w:t>note that these reductions have occurred despite an increase in the total annual vehicle kilometers travelled by diesel vehicles.</w:t>
      </w:r>
    </w:p>
    <w:p w:rsidR="00691E2D" w:rsidRPr="00DA789A" w:rsidRDefault="00691E2D" w:rsidP="0093482F">
      <w:pPr>
        <w:pStyle w:val="Heading2"/>
        <w:rPr>
          <w:lang w:val="en-US"/>
        </w:rPr>
      </w:pPr>
      <w:bookmarkStart w:id="7" w:name="_Toc343595877"/>
      <w:r w:rsidRPr="00DA789A">
        <w:rPr>
          <w:lang w:val="en-US"/>
        </w:rPr>
        <w:t>V.2</w:t>
      </w:r>
      <w:r w:rsidRPr="00DA789A">
        <w:rPr>
          <w:lang w:val="en-US"/>
        </w:rPr>
        <w:tab/>
        <w:t>The role of different economic sectors</w:t>
      </w:r>
      <w:bookmarkEnd w:id="7"/>
    </w:p>
    <w:p w:rsidR="00691E2D" w:rsidRPr="0093482F" w:rsidRDefault="00DA789A" w:rsidP="00A452A5">
      <w:pPr>
        <w:spacing w:after="120"/>
        <w:ind w:right="96"/>
        <w:jc w:val="both"/>
        <w:rPr>
          <w:color w:val="000000" w:themeColor="text1"/>
          <w:lang w:val="en-US"/>
        </w:rPr>
      </w:pPr>
      <w:r>
        <w:rPr>
          <w:color w:val="000000" w:themeColor="text1"/>
          <w:lang w:val="en-US"/>
        </w:rPr>
        <w:t>28</w:t>
      </w:r>
      <w:r w:rsidR="00691E2D" w:rsidRPr="0093482F">
        <w:rPr>
          <w:color w:val="000000" w:themeColor="text1"/>
          <w:lang w:val="en-US"/>
        </w:rPr>
        <w:t>.</w:t>
      </w:r>
      <w:r w:rsidR="00691E2D" w:rsidRPr="0093482F">
        <w:rPr>
          <w:color w:val="000000" w:themeColor="text1"/>
          <w:lang w:val="en-US"/>
        </w:rPr>
        <w:tab/>
        <w:t xml:space="preserve">In addition to total emissions, the EEA estimated the role of different economic sectors with respect to the emissions of different pollutants. Figure 2 and Table </w:t>
      </w:r>
      <w:r w:rsidR="00E71EDE">
        <w:rPr>
          <w:color w:val="000000" w:themeColor="text1"/>
          <w:lang w:val="en-US"/>
        </w:rPr>
        <w:t>2</w:t>
      </w:r>
      <w:r w:rsidR="00691E2D" w:rsidRPr="0093482F">
        <w:rPr>
          <w:color w:val="000000" w:themeColor="text1"/>
          <w:lang w:val="en-US"/>
        </w:rPr>
        <w:t xml:space="preserve"> show that energy, transport (distinguishing between road and non-road transport), industrial processes, the use of solvents and other similar products, as well as the commercial and household sectors have emerged as the key sources of emissions a wide range of air pollutants, including NO</w:t>
      </w:r>
      <w:r w:rsidR="00691E2D" w:rsidRPr="00A90A82">
        <w:rPr>
          <w:color w:val="000000" w:themeColor="text1"/>
          <w:vertAlign w:val="subscript"/>
          <w:lang w:val="en-US"/>
        </w:rPr>
        <w:t>X</w:t>
      </w:r>
      <w:r w:rsidR="00691E2D" w:rsidRPr="0093482F">
        <w:rPr>
          <w:color w:val="000000" w:themeColor="text1"/>
          <w:lang w:val="en-US"/>
        </w:rPr>
        <w:t>, SO</w:t>
      </w:r>
      <w:r w:rsidR="00691E2D" w:rsidRPr="00A90A82">
        <w:rPr>
          <w:color w:val="000000" w:themeColor="text1"/>
          <w:vertAlign w:val="subscript"/>
          <w:lang w:val="en-US"/>
        </w:rPr>
        <w:t>X</w:t>
      </w:r>
      <w:r w:rsidR="00691E2D" w:rsidRPr="0093482F">
        <w:rPr>
          <w:color w:val="000000" w:themeColor="text1"/>
          <w:lang w:val="en-US"/>
        </w:rPr>
        <w:t>, NMVOC, CO, and PM (EEA, 2012a). In particular, the EEA (EEA, 2010 and EEA, 2012a) points out that:</w:t>
      </w:r>
    </w:p>
    <w:p w:rsidR="00691E2D" w:rsidRPr="0093482F" w:rsidRDefault="00691E2D" w:rsidP="00A452A5">
      <w:pPr>
        <w:pStyle w:val="ListParagraph"/>
        <w:numPr>
          <w:ilvl w:val="0"/>
          <w:numId w:val="16"/>
        </w:numPr>
        <w:spacing w:after="120"/>
        <w:ind w:right="96"/>
        <w:jc w:val="both"/>
        <w:rPr>
          <w:color w:val="000000" w:themeColor="text1"/>
          <w:lang w:val="en-US"/>
        </w:rPr>
      </w:pPr>
      <w:r w:rsidRPr="00DA789A">
        <w:rPr>
          <w:color w:val="000000" w:themeColor="text1"/>
          <w:lang w:val="en-US"/>
        </w:rPr>
        <w:t>The</w:t>
      </w:r>
      <w:r w:rsidRPr="0093482F">
        <w:rPr>
          <w:color w:val="000000" w:themeColor="text1"/>
          <w:lang w:val="en-US"/>
        </w:rPr>
        <w:t xml:space="preserve"> energy sector accounts for around three quarters of Europe's sulphur oxides (SO</w:t>
      </w:r>
      <w:r w:rsidRPr="00A90A82">
        <w:rPr>
          <w:color w:val="000000" w:themeColor="text1"/>
          <w:vertAlign w:val="subscript"/>
          <w:lang w:val="en-US"/>
        </w:rPr>
        <w:t>X</w:t>
      </w:r>
      <w:r w:rsidRPr="0093482F">
        <w:rPr>
          <w:color w:val="000000" w:themeColor="text1"/>
          <w:lang w:val="en-US"/>
        </w:rPr>
        <w:t>) emissions and about 20 % of NO</w:t>
      </w:r>
      <w:r w:rsidRPr="00A90A82">
        <w:rPr>
          <w:color w:val="000000" w:themeColor="text1"/>
          <w:vertAlign w:val="subscript"/>
          <w:lang w:val="en-US"/>
        </w:rPr>
        <w:t>X</w:t>
      </w:r>
      <w:r w:rsidRPr="0093482F">
        <w:rPr>
          <w:color w:val="000000" w:themeColor="text1"/>
          <w:lang w:val="en-US"/>
        </w:rPr>
        <w:t xml:space="preserve"> output;</w:t>
      </w:r>
    </w:p>
    <w:p w:rsidR="00691E2D" w:rsidRPr="0093482F" w:rsidRDefault="00691E2D" w:rsidP="00A452A5">
      <w:pPr>
        <w:pStyle w:val="ListParagraph"/>
        <w:numPr>
          <w:ilvl w:val="0"/>
          <w:numId w:val="16"/>
        </w:numPr>
        <w:spacing w:after="120"/>
        <w:ind w:right="96"/>
        <w:jc w:val="both"/>
        <w:rPr>
          <w:color w:val="000000" w:themeColor="text1"/>
          <w:lang w:val="en-US"/>
        </w:rPr>
      </w:pPr>
      <w:r w:rsidRPr="0093482F">
        <w:rPr>
          <w:color w:val="000000" w:themeColor="text1"/>
          <w:lang w:val="en-US"/>
        </w:rPr>
        <w:t>Transport (namely road transport) vehicles are important emitters of NO</w:t>
      </w:r>
      <w:r w:rsidRPr="00A90A82">
        <w:rPr>
          <w:color w:val="000000" w:themeColor="text1"/>
          <w:vertAlign w:val="subscript"/>
          <w:lang w:val="en-US"/>
        </w:rPr>
        <w:t>X</w:t>
      </w:r>
      <w:r w:rsidRPr="0093482F">
        <w:rPr>
          <w:color w:val="000000" w:themeColor="text1"/>
          <w:lang w:val="en-US"/>
        </w:rPr>
        <w:t>, carbon monoxide (CO), PM and NMVOCs</w:t>
      </w:r>
      <w:r w:rsidRPr="00DA789A">
        <w:rPr>
          <w:color w:val="000000" w:themeColor="text1"/>
          <w:lang w:val="en-US"/>
        </w:rPr>
        <w:t>. Road</w:t>
      </w:r>
      <w:r w:rsidRPr="0093482F">
        <w:rPr>
          <w:color w:val="000000" w:themeColor="text1"/>
          <w:lang w:val="en-US"/>
        </w:rPr>
        <w:t xml:space="preserve"> transport is the biggest emitting economic sector only for NO</w:t>
      </w:r>
      <w:r w:rsidRPr="00A90A82">
        <w:rPr>
          <w:color w:val="000000" w:themeColor="text1"/>
          <w:vertAlign w:val="subscript"/>
          <w:lang w:val="en-US"/>
        </w:rPr>
        <w:t>X</w:t>
      </w:r>
      <w:r w:rsidRPr="0093482F">
        <w:rPr>
          <w:color w:val="000000" w:themeColor="text1"/>
          <w:lang w:val="en-US"/>
        </w:rPr>
        <w:t>;</w:t>
      </w:r>
    </w:p>
    <w:p w:rsidR="00691E2D" w:rsidRPr="0093482F" w:rsidRDefault="00691E2D" w:rsidP="00A452A5">
      <w:pPr>
        <w:pStyle w:val="ListParagraph"/>
        <w:numPr>
          <w:ilvl w:val="0"/>
          <w:numId w:val="16"/>
        </w:numPr>
        <w:spacing w:after="120"/>
        <w:ind w:right="96"/>
        <w:jc w:val="both"/>
        <w:rPr>
          <w:color w:val="000000" w:themeColor="text1"/>
          <w:lang w:val="en-US"/>
        </w:rPr>
      </w:pPr>
      <w:r w:rsidRPr="0093482F">
        <w:rPr>
          <w:color w:val="000000" w:themeColor="text1"/>
          <w:lang w:val="en-US"/>
        </w:rPr>
        <w:t>Energy combustion from households and commercial/institutional buildings - burning fuels such as wood and coal - is the main source of directly emitted PM (especially primary PM2.5</w:t>
      </w:r>
      <w:r w:rsidRPr="00DA789A">
        <w:rPr>
          <w:color w:val="000000" w:themeColor="text1"/>
          <w:lang w:val="en-US"/>
        </w:rPr>
        <w:t>);</w:t>
      </w:r>
    </w:p>
    <w:p w:rsidR="00691E2D" w:rsidRPr="0093482F" w:rsidRDefault="00691E2D" w:rsidP="00A452A5">
      <w:pPr>
        <w:pStyle w:val="ListParagraph"/>
        <w:numPr>
          <w:ilvl w:val="0"/>
          <w:numId w:val="16"/>
        </w:numPr>
        <w:spacing w:after="120"/>
        <w:ind w:right="96"/>
        <w:jc w:val="both"/>
        <w:rPr>
          <w:color w:val="000000" w:themeColor="text1"/>
          <w:lang w:val="en-US"/>
        </w:rPr>
      </w:pPr>
      <w:r w:rsidRPr="0093482F">
        <w:rPr>
          <w:color w:val="000000" w:themeColor="text1"/>
          <w:lang w:val="en-US"/>
        </w:rPr>
        <w:t>Agriculture accounts for most (about 95 %) of Europe's NH</w:t>
      </w:r>
      <w:r w:rsidRPr="00A90A82">
        <w:rPr>
          <w:color w:val="000000" w:themeColor="text1"/>
          <w:vertAlign w:val="subscript"/>
          <w:lang w:val="en-US"/>
        </w:rPr>
        <w:t>3</w:t>
      </w:r>
      <w:r w:rsidRPr="0093482F">
        <w:rPr>
          <w:color w:val="000000" w:themeColor="text1"/>
          <w:lang w:val="en-US"/>
        </w:rPr>
        <w:t xml:space="preserve"> emissions (not shown in Figure 2).</w:t>
      </w:r>
    </w:p>
    <w:p w:rsidR="00691E2D" w:rsidRPr="00561491" w:rsidRDefault="00691E2D" w:rsidP="00561491">
      <w:pPr>
        <w:keepNext/>
        <w:spacing w:after="120" w:line="240" w:lineRule="auto"/>
        <w:ind w:right="96"/>
        <w:jc w:val="both"/>
        <w:rPr>
          <w:b/>
          <w:color w:val="000000" w:themeColor="text1"/>
          <w:lang w:val="en-US"/>
        </w:rPr>
      </w:pPr>
      <w:r w:rsidRPr="00561491">
        <w:rPr>
          <w:b/>
          <w:color w:val="000000" w:themeColor="text1"/>
          <w:lang w:val="en-US"/>
        </w:rPr>
        <w:t>Figure 2. Share of EU-27 emissions of the main pollutants by sector group</w:t>
      </w:r>
    </w:p>
    <w:p w:rsidR="00691E2D" w:rsidRPr="006846B5" w:rsidRDefault="00691E2D" w:rsidP="00561491">
      <w:pPr>
        <w:keepNext/>
        <w:spacing w:after="120" w:line="240" w:lineRule="auto"/>
        <w:ind w:right="96"/>
        <w:jc w:val="both"/>
        <w:rPr>
          <w:color w:val="0070C0"/>
          <w:lang w:val="en-US"/>
        </w:rPr>
      </w:pPr>
      <w:r w:rsidRPr="006846B5">
        <w:rPr>
          <w:noProof/>
          <w:color w:val="0070C0"/>
          <w:lang w:eastAsia="en-GB"/>
        </w:rPr>
        <w:drawing>
          <wp:inline distT="0" distB="0" distL="0" distR="0" wp14:anchorId="22E6BD15" wp14:editId="08F094B1">
            <wp:extent cx="5731510" cy="1580165"/>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731510" cy="1580165"/>
                    </a:xfrm>
                    <a:prstGeom prst="rect">
                      <a:avLst/>
                    </a:prstGeom>
                  </pic:spPr>
                </pic:pic>
              </a:graphicData>
            </a:graphic>
          </wp:inline>
        </w:drawing>
      </w:r>
    </w:p>
    <w:p w:rsidR="00691E2D" w:rsidRPr="006846B5" w:rsidRDefault="00691E2D" w:rsidP="00691E2D">
      <w:pPr>
        <w:spacing w:after="120" w:line="240" w:lineRule="auto"/>
        <w:ind w:right="95"/>
        <w:jc w:val="both"/>
        <w:rPr>
          <w:color w:val="0070C0"/>
          <w:lang w:val="en-US"/>
        </w:rPr>
      </w:pPr>
      <w:r w:rsidRPr="006846B5">
        <w:rPr>
          <w:noProof/>
          <w:color w:val="0070C0"/>
          <w:lang w:eastAsia="en-GB"/>
        </w:rPr>
        <w:drawing>
          <wp:inline distT="0" distB="0" distL="0" distR="0" wp14:anchorId="1084F769" wp14:editId="581437F5">
            <wp:extent cx="1866667" cy="147619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1866667" cy="1476191"/>
                    </a:xfrm>
                    <a:prstGeom prst="rect">
                      <a:avLst/>
                    </a:prstGeom>
                  </pic:spPr>
                </pic:pic>
              </a:graphicData>
            </a:graphic>
          </wp:inline>
        </w:drawing>
      </w:r>
      <w:r w:rsidRPr="006846B5">
        <w:rPr>
          <w:noProof/>
          <w:color w:val="0070C0"/>
          <w:lang w:eastAsia="en-GB"/>
        </w:rPr>
        <w:drawing>
          <wp:inline distT="0" distB="0" distL="0" distR="0" wp14:anchorId="1AB3906B" wp14:editId="75B80740">
            <wp:extent cx="3800000" cy="1438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800000" cy="1438095"/>
                    </a:xfrm>
                    <a:prstGeom prst="rect">
                      <a:avLst/>
                    </a:prstGeom>
                  </pic:spPr>
                </pic:pic>
              </a:graphicData>
            </a:graphic>
          </wp:inline>
        </w:drawing>
      </w:r>
    </w:p>
    <w:p w:rsidR="00691E2D" w:rsidRPr="00E71EDE" w:rsidRDefault="00691E2D" w:rsidP="0093482F">
      <w:pPr>
        <w:spacing w:after="120" w:line="240" w:lineRule="auto"/>
        <w:ind w:right="95"/>
        <w:jc w:val="both"/>
        <w:rPr>
          <w:lang w:val="en-US"/>
        </w:rPr>
      </w:pPr>
      <w:r w:rsidRPr="00E71EDE">
        <w:rPr>
          <w:lang w:val="en-US"/>
        </w:rPr>
        <w:t>Source: EEA, 2012a</w:t>
      </w:r>
    </w:p>
    <w:p w:rsidR="005E086D" w:rsidRPr="00EF6963" w:rsidRDefault="005E086D" w:rsidP="005E086D">
      <w:pPr>
        <w:ind w:right="95"/>
        <w:jc w:val="both"/>
        <w:rPr>
          <w:color w:val="FF0000"/>
          <w:lang w:val="en-US"/>
        </w:rPr>
      </w:pPr>
      <w:r>
        <w:rPr>
          <w:lang w:val="en-US"/>
        </w:rPr>
        <w:t>29</w:t>
      </w:r>
      <w:r w:rsidRPr="00DA789A">
        <w:rPr>
          <w:lang w:val="en-US"/>
        </w:rPr>
        <w:t>.</w:t>
      </w:r>
      <w:r>
        <w:rPr>
          <w:lang w:val="en-US"/>
        </w:rPr>
        <w:tab/>
      </w:r>
      <w:r w:rsidRPr="00DA789A">
        <w:rPr>
          <w:lang w:val="en-US"/>
        </w:rPr>
        <w:t xml:space="preserve"> </w:t>
      </w:r>
      <w:r>
        <w:rPr>
          <w:lang w:val="en-US"/>
        </w:rPr>
        <w:t>The EEA report</w:t>
      </w:r>
      <w:r w:rsidRPr="00E03BA2">
        <w:rPr>
          <w:lang w:val="en-US"/>
        </w:rPr>
        <w:t xml:space="preserve"> shows tha</w:t>
      </w:r>
      <w:r>
        <w:rPr>
          <w:lang w:val="en-US"/>
        </w:rPr>
        <w:t xml:space="preserve">t a </w:t>
      </w:r>
      <w:r w:rsidRPr="00E03BA2">
        <w:rPr>
          <w:lang w:val="en-US"/>
        </w:rPr>
        <w:t xml:space="preserve">number of </w:t>
      </w:r>
      <w:r>
        <w:rPr>
          <w:lang w:val="en-US"/>
        </w:rPr>
        <w:t xml:space="preserve">key </w:t>
      </w:r>
      <w:r w:rsidRPr="00E03BA2">
        <w:rPr>
          <w:lang w:val="en-US"/>
        </w:rPr>
        <w:t>source categories were identified as being key categories for more than one of the 15 pollutants assessed</w:t>
      </w:r>
      <w:r w:rsidRPr="00DA789A">
        <w:rPr>
          <w:lang w:val="en-US"/>
        </w:rPr>
        <w:t xml:space="preserve"> (</w:t>
      </w:r>
      <w:r>
        <w:rPr>
          <w:lang w:val="en-US"/>
        </w:rPr>
        <w:t>T</w:t>
      </w:r>
      <w:r w:rsidRPr="00DA789A">
        <w:rPr>
          <w:lang w:val="en-US"/>
        </w:rPr>
        <w:t>able 3)</w:t>
      </w:r>
      <w:r>
        <w:rPr>
          <w:lang w:val="en-US"/>
        </w:rPr>
        <w:t>. The</w:t>
      </w:r>
      <w:r w:rsidR="003E1CE9">
        <w:rPr>
          <w:lang w:val="en-US"/>
        </w:rPr>
        <w:t>se ke</w:t>
      </w:r>
      <w:r>
        <w:rPr>
          <w:lang w:val="en-US"/>
        </w:rPr>
        <w:t>y</w:t>
      </w:r>
      <w:r w:rsidR="003E1CE9">
        <w:rPr>
          <w:lang w:val="en-US"/>
        </w:rPr>
        <w:t xml:space="preserve"> categories</w:t>
      </w:r>
      <w:r w:rsidRPr="00DA789A">
        <w:rPr>
          <w:lang w:val="en-US"/>
        </w:rPr>
        <w:t xml:space="preserve"> are </w:t>
      </w:r>
      <w:r>
        <w:rPr>
          <w:lang w:val="en-US"/>
        </w:rPr>
        <w:t xml:space="preserve">defined as </w:t>
      </w:r>
      <w:r w:rsidRPr="00DA789A">
        <w:rPr>
          <w:lang w:val="en-US"/>
        </w:rPr>
        <w:t xml:space="preserve">the individual sources that overall contributed most to 2010 emissions of pollutants, determined by a level assessment for each of the main air pollutants, PM, </w:t>
      </w:r>
      <w:r w:rsidR="003E1CE9">
        <w:rPr>
          <w:lang w:val="en-US"/>
        </w:rPr>
        <w:t>heavy metals (</w:t>
      </w:r>
      <w:r w:rsidRPr="00DA789A">
        <w:rPr>
          <w:lang w:val="en-US"/>
        </w:rPr>
        <w:t>HMs</w:t>
      </w:r>
      <w:r w:rsidR="003E1CE9">
        <w:rPr>
          <w:lang w:val="en-US"/>
        </w:rPr>
        <w:t>)</w:t>
      </w:r>
      <w:r w:rsidRPr="00DA789A">
        <w:rPr>
          <w:lang w:val="en-US"/>
        </w:rPr>
        <w:t xml:space="preserve"> and </w:t>
      </w:r>
      <w:r w:rsidR="00561491" w:rsidRPr="00561491">
        <w:rPr>
          <w:lang w:val="en-US"/>
        </w:rPr>
        <w:t>persistent organic pollutant</w:t>
      </w:r>
      <w:r w:rsidR="00561491">
        <w:rPr>
          <w:lang w:val="en-US"/>
        </w:rPr>
        <w:t>s</w:t>
      </w:r>
      <w:r w:rsidR="00561491" w:rsidRPr="00561491">
        <w:rPr>
          <w:lang w:val="en-US"/>
        </w:rPr>
        <w:t xml:space="preserve"> </w:t>
      </w:r>
      <w:r w:rsidR="00561491">
        <w:rPr>
          <w:lang w:val="en-US"/>
        </w:rPr>
        <w:t>(</w:t>
      </w:r>
      <w:r w:rsidRPr="00DA789A">
        <w:rPr>
          <w:lang w:val="en-US"/>
        </w:rPr>
        <w:t>POPs</w:t>
      </w:r>
      <w:r w:rsidR="00561491">
        <w:rPr>
          <w:lang w:val="en-US"/>
        </w:rPr>
        <w:t>)</w:t>
      </w:r>
      <w:r w:rsidRPr="00DA789A">
        <w:rPr>
          <w:lang w:val="en-US"/>
        </w:rPr>
        <w:t xml:space="preserve">. From a total of 109 source categories, 49 source categories </w:t>
      </w:r>
      <w:r w:rsidRPr="00DA789A">
        <w:rPr>
          <w:lang w:val="en-US"/>
        </w:rPr>
        <w:lastRenderedPageBreak/>
        <w:t xml:space="preserve">were identified as being key categories for at least 1 pollutant. A number of source categories were identified as being key categories for more than 1 of the 15 </w:t>
      </w:r>
      <w:r w:rsidRPr="00E71EDE">
        <w:rPr>
          <w:lang w:val="en-US"/>
        </w:rPr>
        <w:t>pollutants assessed</w:t>
      </w:r>
      <w:r w:rsidRPr="00E71EDE">
        <w:rPr>
          <w:color w:val="FF0000"/>
          <w:lang w:val="en-US"/>
        </w:rPr>
        <w:t>.</w:t>
      </w:r>
      <w:r>
        <w:rPr>
          <w:color w:val="FF0000"/>
          <w:lang w:val="en-US"/>
        </w:rPr>
        <w:t xml:space="preserve"> </w:t>
      </w:r>
    </w:p>
    <w:tbl>
      <w:tblPr>
        <w:tblStyle w:val="ColorfulShading-Accent5"/>
        <w:tblW w:w="0" w:type="auto"/>
        <w:tblLook w:val="04A0" w:firstRow="1" w:lastRow="0" w:firstColumn="1" w:lastColumn="0" w:noHBand="0" w:noVBand="1"/>
      </w:tblPr>
      <w:tblGrid>
        <w:gridCol w:w="4621"/>
        <w:gridCol w:w="4621"/>
      </w:tblGrid>
      <w:tr w:rsidR="005E086D" w:rsidTr="005E08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gridSpan w:val="2"/>
          </w:tcPr>
          <w:p w:rsidR="005E086D" w:rsidRDefault="005E086D" w:rsidP="00522CCF">
            <w:pPr>
              <w:keepNext/>
              <w:spacing w:after="120" w:line="276" w:lineRule="auto"/>
              <w:ind w:right="96"/>
              <w:jc w:val="both"/>
              <w:rPr>
                <w:b w:val="0"/>
                <w:bCs w:val="0"/>
                <w:color w:val="auto"/>
                <w:lang w:val="en-US"/>
              </w:rPr>
            </w:pPr>
            <w:r>
              <w:rPr>
                <w:lang w:val="en-US"/>
              </w:rPr>
              <w:t xml:space="preserve">Table 3. </w:t>
            </w:r>
            <w:r w:rsidRPr="00DF4AA2">
              <w:rPr>
                <w:lang w:val="en-US"/>
              </w:rPr>
              <w:t>Most relevant key categories for air emissions</w:t>
            </w:r>
          </w:p>
        </w:tc>
      </w:tr>
      <w:tr w:rsidR="005E086D" w:rsidRPr="00DF4AA2" w:rsidTr="005E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E086D" w:rsidRPr="00DF4AA2" w:rsidRDefault="005E086D" w:rsidP="00522CCF">
            <w:pPr>
              <w:keepNext/>
              <w:ind w:right="96"/>
              <w:jc w:val="center"/>
              <w:rPr>
                <w:b/>
                <w:color w:val="auto"/>
                <w:sz w:val="24"/>
                <w:szCs w:val="24"/>
                <w:lang w:val="en-US"/>
              </w:rPr>
            </w:pPr>
            <w:r w:rsidRPr="00DF4AA2">
              <w:rPr>
                <w:b/>
                <w:sz w:val="24"/>
                <w:szCs w:val="24"/>
                <w:lang w:val="en-US"/>
              </w:rPr>
              <w:t>Name of key category</w:t>
            </w:r>
          </w:p>
        </w:tc>
        <w:tc>
          <w:tcPr>
            <w:tcW w:w="4621" w:type="dxa"/>
          </w:tcPr>
          <w:p w:rsidR="005E086D" w:rsidRPr="00DF4AA2" w:rsidRDefault="005E086D" w:rsidP="00522CCF">
            <w:pPr>
              <w:keepNext/>
              <w:ind w:right="96"/>
              <w:jc w:val="center"/>
              <w:cnfStyle w:val="000000100000" w:firstRow="0" w:lastRow="0" w:firstColumn="0" w:lastColumn="0" w:oddVBand="0" w:evenVBand="0" w:oddHBand="1" w:evenHBand="0" w:firstRowFirstColumn="0" w:firstRowLastColumn="0" w:lastRowFirstColumn="0" w:lastRowLastColumn="0"/>
              <w:rPr>
                <w:b/>
                <w:color w:val="auto"/>
                <w:sz w:val="24"/>
                <w:szCs w:val="24"/>
                <w:lang w:val="en-US"/>
              </w:rPr>
            </w:pPr>
            <w:r w:rsidRPr="00DF4AA2">
              <w:rPr>
                <w:b/>
                <w:sz w:val="24"/>
                <w:szCs w:val="24"/>
                <w:lang w:val="en-US"/>
              </w:rPr>
              <w:t>Number of occurrences as key category</w:t>
            </w:r>
          </w:p>
        </w:tc>
      </w:tr>
      <w:tr w:rsidR="005E086D" w:rsidTr="005E086D">
        <w:tc>
          <w:tcPr>
            <w:cnfStyle w:val="001000000000" w:firstRow="0" w:lastRow="0" w:firstColumn="1" w:lastColumn="0" w:oddVBand="0" w:evenVBand="0" w:oddHBand="0" w:evenHBand="0" w:firstRowFirstColumn="0" w:firstRowLastColumn="0" w:lastRowFirstColumn="0" w:lastRowLastColumn="0"/>
            <w:tcW w:w="4621" w:type="dxa"/>
          </w:tcPr>
          <w:p w:rsidR="005E086D" w:rsidRDefault="005E086D" w:rsidP="00522CCF">
            <w:pPr>
              <w:keepNext/>
              <w:ind w:right="96"/>
              <w:jc w:val="both"/>
              <w:rPr>
                <w:color w:val="auto"/>
                <w:lang w:val="en-US"/>
              </w:rPr>
            </w:pPr>
            <w:r w:rsidRPr="00DF4AA2">
              <w:rPr>
                <w:lang w:val="en-US"/>
              </w:rPr>
              <w:t xml:space="preserve">1 A 4 b i Residential: </w:t>
            </w:r>
            <w:r>
              <w:rPr>
                <w:lang w:val="en-US"/>
              </w:rPr>
              <w:t>s</w:t>
            </w:r>
            <w:r w:rsidRPr="00DF4AA2">
              <w:rPr>
                <w:lang w:val="en-US"/>
              </w:rPr>
              <w:t>tationary plants</w:t>
            </w:r>
          </w:p>
        </w:tc>
        <w:tc>
          <w:tcPr>
            <w:tcW w:w="4621" w:type="dxa"/>
          </w:tcPr>
          <w:p w:rsidR="00561491" w:rsidRPr="00561491" w:rsidRDefault="005E086D" w:rsidP="00522CCF">
            <w:pPr>
              <w:keepNext/>
              <w:ind w:right="96"/>
              <w:jc w:val="both"/>
              <w:cnfStyle w:val="000000000000" w:firstRow="0" w:lastRow="0" w:firstColumn="0" w:lastColumn="0" w:oddVBand="0" w:evenVBand="0" w:oddHBand="0" w:evenHBand="0" w:firstRowFirstColumn="0" w:firstRowLastColumn="0" w:lastRowFirstColumn="0" w:lastRowLastColumn="0"/>
              <w:rPr>
                <w:color w:val="auto"/>
                <w:lang w:val="en-US"/>
              </w:rPr>
            </w:pPr>
            <w:r w:rsidRPr="00DF4AA2">
              <w:rPr>
                <w:b/>
                <w:u w:val="single"/>
                <w:lang w:val="en-US"/>
              </w:rPr>
              <w:t>13 times</w:t>
            </w:r>
            <w:r w:rsidR="00561491" w:rsidRPr="00561491">
              <w:rPr>
                <w:b/>
                <w:lang w:val="en-US"/>
              </w:rPr>
              <w:t>:</w:t>
            </w:r>
            <w:r w:rsidRPr="00DF4AA2">
              <w:rPr>
                <w:lang w:val="en-US"/>
              </w:rPr>
              <w:t xml:space="preserve"> NO</w:t>
            </w:r>
            <w:r w:rsidRPr="00A90A82">
              <w:rPr>
                <w:vertAlign w:val="subscript"/>
                <w:lang w:val="en-US"/>
              </w:rPr>
              <w:t>X</w:t>
            </w:r>
            <w:r w:rsidRPr="00DF4AA2">
              <w:rPr>
                <w:lang w:val="en-US"/>
              </w:rPr>
              <w:t>, SO</w:t>
            </w:r>
            <w:r w:rsidRPr="00A90A82">
              <w:rPr>
                <w:vertAlign w:val="subscript"/>
                <w:lang w:val="en-US"/>
              </w:rPr>
              <w:t>X</w:t>
            </w:r>
            <w:r w:rsidRPr="00DF4AA2">
              <w:rPr>
                <w:lang w:val="en-US"/>
              </w:rPr>
              <w:t xml:space="preserve">, CO, NMVOC, Cd, Hg, </w:t>
            </w:r>
            <w:proofErr w:type="spellStart"/>
            <w:r w:rsidRPr="00DF4AA2">
              <w:rPr>
                <w:lang w:val="en-US"/>
              </w:rPr>
              <w:t>Pb</w:t>
            </w:r>
            <w:proofErr w:type="spellEnd"/>
            <w:r w:rsidRPr="00DF4AA2">
              <w:rPr>
                <w:lang w:val="en-US"/>
              </w:rPr>
              <w:t xml:space="preserve">, </w:t>
            </w:r>
            <w:r w:rsidR="00561491">
              <w:rPr>
                <w:lang w:val="en-US"/>
              </w:rPr>
              <w:t xml:space="preserve">POPs including </w:t>
            </w:r>
            <w:proofErr w:type="spellStart"/>
            <w:r w:rsidR="00561491" w:rsidRPr="00561491">
              <w:rPr>
                <w:lang w:val="en-US"/>
              </w:rPr>
              <w:t>hexachlorobenzene</w:t>
            </w:r>
            <w:proofErr w:type="spellEnd"/>
            <w:r w:rsidR="00561491" w:rsidRPr="00561491">
              <w:rPr>
                <w:lang w:val="en-US"/>
              </w:rPr>
              <w:t xml:space="preserve"> </w:t>
            </w:r>
            <w:r w:rsidR="00561491">
              <w:rPr>
                <w:lang w:val="en-US"/>
              </w:rPr>
              <w:t>(</w:t>
            </w:r>
            <w:r w:rsidRPr="00DF4AA2">
              <w:rPr>
                <w:lang w:val="en-US"/>
              </w:rPr>
              <w:t>HCB</w:t>
            </w:r>
            <w:r w:rsidR="00561491">
              <w:rPr>
                <w:lang w:val="en-US"/>
              </w:rPr>
              <w:t>) and</w:t>
            </w:r>
            <w:r w:rsidR="00561491" w:rsidRPr="00DF4AA2">
              <w:rPr>
                <w:lang w:val="en-US"/>
              </w:rPr>
              <w:t xml:space="preserve"> </w:t>
            </w:r>
            <w:r w:rsidR="00561491" w:rsidRPr="00561491">
              <w:rPr>
                <w:lang w:val="en-US"/>
              </w:rPr>
              <w:t xml:space="preserve">polychlorinated </w:t>
            </w:r>
            <w:proofErr w:type="spellStart"/>
            <w:r w:rsidR="00561491" w:rsidRPr="00561491">
              <w:rPr>
                <w:lang w:val="en-US"/>
              </w:rPr>
              <w:t>dibenzodioxins</w:t>
            </w:r>
            <w:proofErr w:type="spellEnd"/>
            <w:r w:rsidR="00561491" w:rsidRPr="00561491">
              <w:rPr>
                <w:lang w:val="en-US"/>
              </w:rPr>
              <w:t>/</w:t>
            </w:r>
          </w:p>
          <w:p w:rsidR="00561491" w:rsidRPr="00561491" w:rsidRDefault="00561491" w:rsidP="00522CCF">
            <w:pPr>
              <w:keepNext/>
              <w:ind w:right="96"/>
              <w:jc w:val="both"/>
              <w:cnfStyle w:val="000000000000" w:firstRow="0" w:lastRow="0" w:firstColumn="0" w:lastColumn="0" w:oddVBand="0" w:evenVBand="0" w:oddHBand="0" w:evenHBand="0" w:firstRowFirstColumn="0" w:firstRowLastColumn="0" w:lastRowFirstColumn="0" w:lastRowLastColumn="0"/>
              <w:rPr>
                <w:color w:val="auto"/>
                <w:lang w:val="en-US"/>
              </w:rPr>
            </w:pPr>
            <w:proofErr w:type="spellStart"/>
            <w:r w:rsidRPr="00561491">
              <w:rPr>
                <w:lang w:val="en-US"/>
              </w:rPr>
              <w:t>dibenzofurans</w:t>
            </w:r>
            <w:proofErr w:type="spellEnd"/>
            <w:r w:rsidRPr="00561491">
              <w:rPr>
                <w:lang w:val="en-US"/>
              </w:rPr>
              <w:t xml:space="preserve"> </w:t>
            </w:r>
            <w:r>
              <w:rPr>
                <w:lang w:val="en-US"/>
              </w:rPr>
              <w:t>(</w:t>
            </w:r>
            <w:r w:rsidR="005E086D" w:rsidRPr="00DF4AA2">
              <w:rPr>
                <w:lang w:val="en-US"/>
              </w:rPr>
              <w:t>PCDD/</w:t>
            </w:r>
            <w:proofErr w:type="spellStart"/>
            <w:r w:rsidR="005E086D" w:rsidRPr="00DF4AA2">
              <w:rPr>
                <w:lang w:val="en-US"/>
              </w:rPr>
              <w:t>Fs</w:t>
            </w:r>
            <w:proofErr w:type="spellEnd"/>
            <w:r>
              <w:rPr>
                <w:lang w:val="en-US"/>
              </w:rPr>
              <w:t>)</w:t>
            </w:r>
            <w:r w:rsidR="005E086D" w:rsidRPr="00DF4AA2">
              <w:rPr>
                <w:lang w:val="en-US"/>
              </w:rPr>
              <w:t>,</w:t>
            </w:r>
            <w:r w:rsidR="005E086D">
              <w:rPr>
                <w:lang w:val="en-US"/>
              </w:rPr>
              <w:t xml:space="preserve"> </w:t>
            </w:r>
            <w:r w:rsidR="005E086D" w:rsidRPr="00DF4AA2">
              <w:rPr>
                <w:lang w:val="en-US"/>
              </w:rPr>
              <w:t xml:space="preserve">PM10, PM2.5 </w:t>
            </w:r>
            <w:proofErr w:type="spellStart"/>
            <w:r w:rsidR="005E086D" w:rsidRPr="00DF4AA2">
              <w:rPr>
                <w:lang w:val="en-US"/>
              </w:rPr>
              <w:t>Pb</w:t>
            </w:r>
            <w:proofErr w:type="spellEnd"/>
            <w:r w:rsidR="005E086D" w:rsidRPr="00DF4AA2">
              <w:rPr>
                <w:lang w:val="en-US"/>
              </w:rPr>
              <w:t xml:space="preserve">, PCBs, </w:t>
            </w:r>
            <w:r w:rsidRPr="00561491">
              <w:rPr>
                <w:lang w:val="en-US"/>
              </w:rPr>
              <w:t>polycyclic aromatic</w:t>
            </w:r>
          </w:p>
          <w:p w:rsidR="005E086D" w:rsidRDefault="00561491" w:rsidP="00522CCF">
            <w:pPr>
              <w:keepNext/>
              <w:ind w:right="96"/>
              <w:jc w:val="both"/>
              <w:cnfStyle w:val="000000000000" w:firstRow="0" w:lastRow="0" w:firstColumn="0" w:lastColumn="0" w:oddVBand="0" w:evenVBand="0" w:oddHBand="0" w:evenHBand="0" w:firstRowFirstColumn="0" w:firstRowLastColumn="0" w:lastRowFirstColumn="0" w:lastRowLastColumn="0"/>
              <w:rPr>
                <w:color w:val="auto"/>
                <w:lang w:val="en-US"/>
              </w:rPr>
            </w:pPr>
            <w:r w:rsidRPr="00561491">
              <w:rPr>
                <w:lang w:val="en-US"/>
              </w:rPr>
              <w:t xml:space="preserve">hydrocarbons </w:t>
            </w:r>
            <w:r>
              <w:rPr>
                <w:lang w:val="en-US"/>
              </w:rPr>
              <w:t>(</w:t>
            </w:r>
            <w:r w:rsidR="005E086D" w:rsidRPr="00DF4AA2">
              <w:rPr>
                <w:lang w:val="en-US"/>
              </w:rPr>
              <w:t>PAH)</w:t>
            </w:r>
          </w:p>
        </w:tc>
      </w:tr>
      <w:tr w:rsidR="005E086D" w:rsidTr="005E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E086D" w:rsidRDefault="005E086D" w:rsidP="00522CCF">
            <w:pPr>
              <w:keepNext/>
              <w:ind w:right="96"/>
              <w:jc w:val="both"/>
              <w:rPr>
                <w:color w:val="auto"/>
                <w:lang w:val="en-US"/>
              </w:rPr>
            </w:pPr>
            <w:r w:rsidRPr="00DF4AA2">
              <w:rPr>
                <w:lang w:val="en-US"/>
              </w:rPr>
              <w:t>1 A 1 a Public electricity and heat production</w:t>
            </w:r>
          </w:p>
        </w:tc>
        <w:tc>
          <w:tcPr>
            <w:tcW w:w="4621" w:type="dxa"/>
          </w:tcPr>
          <w:p w:rsidR="005E086D" w:rsidRDefault="005E086D" w:rsidP="00522CCF">
            <w:pPr>
              <w:keepNext/>
              <w:ind w:right="96"/>
              <w:jc w:val="both"/>
              <w:cnfStyle w:val="000000100000" w:firstRow="0" w:lastRow="0" w:firstColumn="0" w:lastColumn="0" w:oddVBand="0" w:evenVBand="0" w:oddHBand="1" w:evenHBand="0" w:firstRowFirstColumn="0" w:firstRowLastColumn="0" w:lastRowFirstColumn="0" w:lastRowLastColumn="0"/>
              <w:rPr>
                <w:color w:val="auto"/>
                <w:lang w:val="en-US"/>
              </w:rPr>
            </w:pPr>
            <w:r w:rsidRPr="00DF4AA2">
              <w:rPr>
                <w:b/>
                <w:u w:val="single"/>
                <w:lang w:val="en-US"/>
              </w:rPr>
              <w:t>11 times</w:t>
            </w:r>
            <w:r w:rsidR="00561491" w:rsidRPr="00561491">
              <w:rPr>
                <w:b/>
                <w:lang w:val="en-US"/>
              </w:rPr>
              <w:t>:</w:t>
            </w:r>
            <w:r w:rsidRPr="00DF4AA2">
              <w:rPr>
                <w:lang w:val="en-US"/>
              </w:rPr>
              <w:t xml:space="preserve"> NO</w:t>
            </w:r>
            <w:r w:rsidRPr="00A90A82">
              <w:rPr>
                <w:vertAlign w:val="subscript"/>
                <w:lang w:val="en-US"/>
              </w:rPr>
              <w:t>X</w:t>
            </w:r>
            <w:r w:rsidRPr="00DF4AA2">
              <w:rPr>
                <w:lang w:val="en-US"/>
              </w:rPr>
              <w:t>, SO</w:t>
            </w:r>
            <w:r w:rsidRPr="00A90A82">
              <w:rPr>
                <w:vertAlign w:val="subscript"/>
                <w:lang w:val="en-US"/>
              </w:rPr>
              <w:t>X</w:t>
            </w:r>
            <w:r w:rsidRPr="00DF4AA2">
              <w:rPr>
                <w:lang w:val="en-US"/>
              </w:rPr>
              <w:t>, CO, Cd, Hg, HCB, PCDD/</w:t>
            </w:r>
            <w:proofErr w:type="spellStart"/>
            <w:r w:rsidRPr="00DF4AA2">
              <w:rPr>
                <w:lang w:val="en-US"/>
              </w:rPr>
              <w:t>Fs</w:t>
            </w:r>
            <w:proofErr w:type="spellEnd"/>
            <w:r w:rsidRPr="00DF4AA2">
              <w:rPr>
                <w:lang w:val="en-US"/>
              </w:rPr>
              <w:t xml:space="preserve">, PM10, PM2.5, </w:t>
            </w:r>
            <w:proofErr w:type="spellStart"/>
            <w:r w:rsidRPr="00DF4AA2">
              <w:rPr>
                <w:lang w:val="en-US"/>
              </w:rPr>
              <w:t>Pb</w:t>
            </w:r>
            <w:proofErr w:type="spellEnd"/>
            <w:r w:rsidRPr="00DF4AA2">
              <w:rPr>
                <w:lang w:val="en-US"/>
              </w:rPr>
              <w:t>,</w:t>
            </w:r>
            <w:r w:rsidR="00A90A82">
              <w:rPr>
                <w:lang w:val="en-US"/>
              </w:rPr>
              <w:t xml:space="preserve"> </w:t>
            </w:r>
            <w:r w:rsidR="00561491" w:rsidRPr="00561491">
              <w:rPr>
                <w:lang w:val="en-US"/>
              </w:rPr>
              <w:t xml:space="preserve">polychlorinated biphenyls </w:t>
            </w:r>
            <w:r w:rsidR="00561491">
              <w:rPr>
                <w:lang w:val="en-US"/>
              </w:rPr>
              <w:t>(</w:t>
            </w:r>
            <w:r w:rsidRPr="00DF4AA2">
              <w:rPr>
                <w:lang w:val="en-US"/>
              </w:rPr>
              <w:t>PCBs)</w:t>
            </w:r>
          </w:p>
        </w:tc>
      </w:tr>
      <w:tr w:rsidR="005E086D" w:rsidTr="005E086D">
        <w:tc>
          <w:tcPr>
            <w:cnfStyle w:val="001000000000" w:firstRow="0" w:lastRow="0" w:firstColumn="1" w:lastColumn="0" w:oddVBand="0" w:evenVBand="0" w:oddHBand="0" w:evenHBand="0" w:firstRowFirstColumn="0" w:firstRowLastColumn="0" w:lastRowFirstColumn="0" w:lastRowLastColumn="0"/>
            <w:tcW w:w="4621" w:type="dxa"/>
          </w:tcPr>
          <w:p w:rsidR="005E086D" w:rsidRDefault="005E086D" w:rsidP="00522CCF">
            <w:pPr>
              <w:keepNext/>
              <w:ind w:right="96"/>
              <w:jc w:val="both"/>
              <w:rPr>
                <w:color w:val="auto"/>
                <w:lang w:val="en-US"/>
              </w:rPr>
            </w:pPr>
            <w:r w:rsidRPr="00DF4AA2">
              <w:rPr>
                <w:lang w:val="en-US"/>
              </w:rPr>
              <w:t>1 A 2 Stationary combustion in manufacturing industries and</w:t>
            </w:r>
            <w:r>
              <w:rPr>
                <w:lang w:val="en-US"/>
              </w:rPr>
              <w:t xml:space="preserve"> </w:t>
            </w:r>
            <w:r w:rsidRPr="00DF4AA2">
              <w:rPr>
                <w:lang w:val="en-US"/>
              </w:rPr>
              <w:t>construction (includes 1 A 2 a — 1 A 2 f)</w:t>
            </w:r>
          </w:p>
        </w:tc>
        <w:tc>
          <w:tcPr>
            <w:tcW w:w="4621" w:type="dxa"/>
          </w:tcPr>
          <w:p w:rsidR="005E086D" w:rsidRDefault="005E086D" w:rsidP="00522CCF">
            <w:pPr>
              <w:keepNext/>
              <w:ind w:right="96"/>
              <w:jc w:val="both"/>
              <w:cnfStyle w:val="000000000000" w:firstRow="0" w:lastRow="0" w:firstColumn="0" w:lastColumn="0" w:oddVBand="0" w:evenVBand="0" w:oddHBand="0" w:evenHBand="0" w:firstRowFirstColumn="0" w:firstRowLastColumn="0" w:lastRowFirstColumn="0" w:lastRowLastColumn="0"/>
              <w:rPr>
                <w:color w:val="auto"/>
                <w:lang w:val="en-US"/>
              </w:rPr>
            </w:pPr>
            <w:r w:rsidRPr="00DF4AA2">
              <w:rPr>
                <w:b/>
                <w:u w:val="single"/>
                <w:lang w:val="en-US"/>
              </w:rPr>
              <w:t>10 times</w:t>
            </w:r>
            <w:r w:rsidR="00561491" w:rsidRPr="00561491">
              <w:rPr>
                <w:b/>
                <w:lang w:val="en-US"/>
              </w:rPr>
              <w:t>:</w:t>
            </w:r>
            <w:r w:rsidRPr="00DF4AA2">
              <w:rPr>
                <w:lang w:val="en-US"/>
              </w:rPr>
              <w:t xml:space="preserve"> NO</w:t>
            </w:r>
            <w:r w:rsidRPr="00A90A82">
              <w:rPr>
                <w:vertAlign w:val="subscript"/>
                <w:lang w:val="en-US"/>
              </w:rPr>
              <w:t>X</w:t>
            </w:r>
            <w:r w:rsidRPr="00DF4AA2">
              <w:rPr>
                <w:lang w:val="en-US"/>
              </w:rPr>
              <w:t>, SO</w:t>
            </w:r>
            <w:r w:rsidRPr="00A90A82">
              <w:rPr>
                <w:vertAlign w:val="subscript"/>
                <w:lang w:val="en-US"/>
              </w:rPr>
              <w:t>X</w:t>
            </w:r>
            <w:r w:rsidRPr="00DF4AA2">
              <w:rPr>
                <w:lang w:val="en-US"/>
              </w:rPr>
              <w:t xml:space="preserve">, CO, Hg, </w:t>
            </w:r>
            <w:proofErr w:type="spellStart"/>
            <w:r w:rsidRPr="00DF4AA2">
              <w:rPr>
                <w:lang w:val="en-US"/>
              </w:rPr>
              <w:t>Pb</w:t>
            </w:r>
            <w:proofErr w:type="spellEnd"/>
            <w:r w:rsidRPr="00DF4AA2">
              <w:rPr>
                <w:lang w:val="en-US"/>
              </w:rPr>
              <w:t>, Cd, PCDD/</w:t>
            </w:r>
            <w:proofErr w:type="spellStart"/>
            <w:r w:rsidRPr="00DF4AA2">
              <w:rPr>
                <w:lang w:val="en-US"/>
              </w:rPr>
              <w:t>Fs</w:t>
            </w:r>
            <w:proofErr w:type="spellEnd"/>
            <w:r w:rsidRPr="00DF4AA2">
              <w:rPr>
                <w:lang w:val="en-US"/>
              </w:rPr>
              <w:t>, PAHs, PM10, PM2.5</w:t>
            </w:r>
          </w:p>
        </w:tc>
      </w:tr>
      <w:tr w:rsidR="005E086D" w:rsidTr="005E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5E086D" w:rsidRDefault="005E086D" w:rsidP="00522CCF">
            <w:pPr>
              <w:keepNext/>
              <w:ind w:right="96"/>
              <w:jc w:val="both"/>
              <w:rPr>
                <w:color w:val="auto"/>
                <w:lang w:val="en-US"/>
              </w:rPr>
            </w:pPr>
            <w:r w:rsidRPr="00DF4AA2">
              <w:rPr>
                <w:lang w:val="en-US"/>
              </w:rPr>
              <w:t>2 C 1 Iron and steel production</w:t>
            </w:r>
          </w:p>
        </w:tc>
        <w:tc>
          <w:tcPr>
            <w:tcW w:w="4621" w:type="dxa"/>
          </w:tcPr>
          <w:p w:rsidR="005E086D" w:rsidRDefault="005E086D" w:rsidP="00522CCF">
            <w:pPr>
              <w:keepNext/>
              <w:ind w:right="96"/>
              <w:jc w:val="both"/>
              <w:cnfStyle w:val="000000100000" w:firstRow="0" w:lastRow="0" w:firstColumn="0" w:lastColumn="0" w:oddVBand="0" w:evenVBand="0" w:oddHBand="1" w:evenHBand="0" w:firstRowFirstColumn="0" w:firstRowLastColumn="0" w:lastRowFirstColumn="0" w:lastRowLastColumn="0"/>
              <w:rPr>
                <w:color w:val="auto"/>
                <w:lang w:val="en-US"/>
              </w:rPr>
            </w:pPr>
            <w:r w:rsidRPr="00DF4AA2">
              <w:rPr>
                <w:b/>
                <w:u w:val="single"/>
                <w:lang w:val="en-US"/>
              </w:rPr>
              <w:t>10 times</w:t>
            </w:r>
            <w:r w:rsidR="00561491" w:rsidRPr="00561491">
              <w:rPr>
                <w:b/>
                <w:lang w:val="en-US"/>
              </w:rPr>
              <w:t>:</w:t>
            </w:r>
            <w:r w:rsidRPr="00DF4AA2">
              <w:rPr>
                <w:lang w:val="en-US"/>
              </w:rPr>
              <w:t xml:space="preserve"> CO, Cd, Hg, </w:t>
            </w:r>
            <w:proofErr w:type="spellStart"/>
            <w:r w:rsidRPr="00DF4AA2">
              <w:rPr>
                <w:lang w:val="en-US"/>
              </w:rPr>
              <w:t>Pb</w:t>
            </w:r>
            <w:proofErr w:type="spellEnd"/>
            <w:r w:rsidRPr="00DF4AA2">
              <w:rPr>
                <w:lang w:val="en-US"/>
              </w:rPr>
              <w:t>, HCB, PCDD/</w:t>
            </w:r>
            <w:proofErr w:type="spellStart"/>
            <w:r w:rsidRPr="00DF4AA2">
              <w:rPr>
                <w:lang w:val="en-US"/>
              </w:rPr>
              <w:t>Fs</w:t>
            </w:r>
            <w:proofErr w:type="spellEnd"/>
            <w:r w:rsidRPr="00DF4AA2">
              <w:rPr>
                <w:lang w:val="en-US"/>
              </w:rPr>
              <w:t>, PM10, PM2.5, PCBs,</w:t>
            </w:r>
            <w:r w:rsidR="00A90A82">
              <w:rPr>
                <w:lang w:val="en-US"/>
              </w:rPr>
              <w:t xml:space="preserve"> </w:t>
            </w:r>
            <w:r w:rsidRPr="00DF4AA2">
              <w:rPr>
                <w:lang w:val="en-US"/>
              </w:rPr>
              <w:t>PAHs</w:t>
            </w:r>
          </w:p>
        </w:tc>
      </w:tr>
      <w:tr w:rsidR="005E086D" w:rsidTr="005E086D">
        <w:tc>
          <w:tcPr>
            <w:cnfStyle w:val="001000000000" w:firstRow="0" w:lastRow="0" w:firstColumn="1" w:lastColumn="0" w:oddVBand="0" w:evenVBand="0" w:oddHBand="0" w:evenHBand="0" w:firstRowFirstColumn="0" w:firstRowLastColumn="0" w:lastRowFirstColumn="0" w:lastRowLastColumn="0"/>
            <w:tcW w:w="4621" w:type="dxa"/>
          </w:tcPr>
          <w:p w:rsidR="005E086D" w:rsidRDefault="005E086D" w:rsidP="005E086D">
            <w:pPr>
              <w:ind w:right="95"/>
              <w:jc w:val="both"/>
              <w:rPr>
                <w:lang w:val="en-US"/>
              </w:rPr>
            </w:pPr>
            <w:r w:rsidRPr="00DF4AA2">
              <w:rPr>
                <w:lang w:val="en-US"/>
              </w:rPr>
              <w:t>1 A 3 b Road transport (includes 1 A 3 b i — 1 A 3 b vii)</w:t>
            </w:r>
          </w:p>
        </w:tc>
        <w:tc>
          <w:tcPr>
            <w:tcW w:w="4621" w:type="dxa"/>
          </w:tcPr>
          <w:p w:rsidR="005E086D" w:rsidRDefault="005E086D" w:rsidP="00561491">
            <w:pPr>
              <w:ind w:right="95"/>
              <w:jc w:val="both"/>
              <w:cnfStyle w:val="000000000000" w:firstRow="0" w:lastRow="0" w:firstColumn="0" w:lastColumn="0" w:oddVBand="0" w:evenVBand="0" w:oddHBand="0" w:evenHBand="0" w:firstRowFirstColumn="0" w:firstRowLastColumn="0" w:lastRowFirstColumn="0" w:lastRowLastColumn="0"/>
              <w:rPr>
                <w:lang w:val="en-US"/>
              </w:rPr>
            </w:pPr>
            <w:r w:rsidRPr="00DF4AA2">
              <w:rPr>
                <w:b/>
                <w:u w:val="single"/>
                <w:lang w:val="en-US"/>
              </w:rPr>
              <w:t>6 times</w:t>
            </w:r>
            <w:r w:rsidR="00561491" w:rsidRPr="00561491">
              <w:rPr>
                <w:b/>
                <w:lang w:val="en-US"/>
              </w:rPr>
              <w:t>:</w:t>
            </w:r>
            <w:r w:rsidRPr="00DF4AA2">
              <w:rPr>
                <w:lang w:val="en-US"/>
              </w:rPr>
              <w:t xml:space="preserve"> NO</w:t>
            </w:r>
            <w:r w:rsidRPr="00A90A82">
              <w:rPr>
                <w:vertAlign w:val="subscript"/>
                <w:lang w:val="en-US"/>
              </w:rPr>
              <w:t>X</w:t>
            </w:r>
            <w:r w:rsidRPr="00DF4AA2">
              <w:rPr>
                <w:lang w:val="en-US"/>
              </w:rPr>
              <w:t xml:space="preserve">, CO, NMVOC, </w:t>
            </w:r>
            <w:proofErr w:type="spellStart"/>
            <w:r w:rsidRPr="00DF4AA2">
              <w:rPr>
                <w:lang w:val="en-US"/>
              </w:rPr>
              <w:t>Pb</w:t>
            </w:r>
            <w:proofErr w:type="spellEnd"/>
            <w:r w:rsidRPr="00DF4AA2">
              <w:rPr>
                <w:lang w:val="en-US"/>
              </w:rPr>
              <w:t>, PM10, PM2.5</w:t>
            </w:r>
          </w:p>
        </w:tc>
      </w:tr>
    </w:tbl>
    <w:p w:rsidR="00511DFA" w:rsidRPr="00C61948" w:rsidRDefault="005E086D" w:rsidP="005E086D">
      <w:pPr>
        <w:spacing w:before="120" w:after="120"/>
        <w:ind w:right="96"/>
        <w:jc w:val="both"/>
        <w:rPr>
          <w:lang w:val="en-US"/>
        </w:rPr>
      </w:pPr>
      <w:r>
        <w:rPr>
          <w:lang w:val="en-US"/>
        </w:rPr>
        <w:t>30</w:t>
      </w:r>
      <w:r w:rsidR="00E71EDE" w:rsidRPr="00C61948">
        <w:rPr>
          <w:lang w:val="en-US"/>
        </w:rPr>
        <w:t>.</w:t>
      </w:r>
      <w:r w:rsidR="00E71EDE">
        <w:rPr>
          <w:lang w:val="en-US"/>
        </w:rPr>
        <w:tab/>
      </w:r>
      <w:r>
        <w:rPr>
          <w:lang w:val="en-US"/>
        </w:rPr>
        <w:t xml:space="preserve">The </w:t>
      </w:r>
      <w:r w:rsidR="00E71EDE" w:rsidRPr="00C61948">
        <w:rPr>
          <w:lang w:val="en-US"/>
        </w:rPr>
        <w:t>major source category for NO</w:t>
      </w:r>
      <w:r w:rsidR="00E71EDE" w:rsidRPr="00C61948">
        <w:rPr>
          <w:vertAlign w:val="subscript"/>
          <w:lang w:val="en-US"/>
        </w:rPr>
        <w:t>X</w:t>
      </w:r>
      <w:r w:rsidR="00E71EDE" w:rsidRPr="00C61948">
        <w:rPr>
          <w:lang w:val="en-US"/>
        </w:rPr>
        <w:t xml:space="preserve"> this is road transport</w:t>
      </w:r>
      <w:r w:rsidR="003E1CE9">
        <w:rPr>
          <w:lang w:val="en-US"/>
        </w:rPr>
        <w:t xml:space="preserve"> (Table 2)</w:t>
      </w:r>
      <w:r>
        <w:rPr>
          <w:lang w:val="en-US"/>
        </w:rPr>
        <w:t>. Similarly</w:t>
      </w:r>
      <w:r w:rsidR="00E71EDE" w:rsidRPr="00C61948">
        <w:rPr>
          <w:lang w:val="en-US"/>
        </w:rPr>
        <w:t>, energy production</w:t>
      </w:r>
      <w:r>
        <w:rPr>
          <w:lang w:val="en-US"/>
        </w:rPr>
        <w:t xml:space="preserve"> is the main source </w:t>
      </w:r>
      <w:r w:rsidRPr="00C61948">
        <w:rPr>
          <w:lang w:val="en-US"/>
        </w:rPr>
        <w:t>for SO</w:t>
      </w:r>
      <w:r w:rsidRPr="00511DFA">
        <w:rPr>
          <w:vertAlign w:val="subscript"/>
          <w:lang w:val="en-US"/>
        </w:rPr>
        <w:t>X</w:t>
      </w:r>
      <w:r w:rsidR="00E71EDE" w:rsidRPr="00C61948">
        <w:rPr>
          <w:lang w:val="en-US"/>
        </w:rPr>
        <w:t>; agriculture</w:t>
      </w:r>
      <w:r w:rsidRPr="005E086D">
        <w:rPr>
          <w:lang w:val="en-US"/>
        </w:rPr>
        <w:t xml:space="preserve"> </w:t>
      </w:r>
      <w:r w:rsidRPr="00C61948">
        <w:rPr>
          <w:lang w:val="en-US"/>
        </w:rPr>
        <w:t>for NH</w:t>
      </w:r>
      <w:r w:rsidRPr="00511DFA">
        <w:rPr>
          <w:vertAlign w:val="subscript"/>
          <w:lang w:val="en-US"/>
        </w:rPr>
        <w:t>3</w:t>
      </w:r>
      <w:r w:rsidR="00E71EDE" w:rsidRPr="00C61948">
        <w:rPr>
          <w:lang w:val="en-US"/>
        </w:rPr>
        <w:t>; solvent and product use</w:t>
      </w:r>
      <w:r>
        <w:rPr>
          <w:lang w:val="en-US"/>
        </w:rPr>
        <w:t xml:space="preserve"> </w:t>
      </w:r>
      <w:r w:rsidRPr="00C61948">
        <w:rPr>
          <w:lang w:val="en-US"/>
        </w:rPr>
        <w:t>for NMVOC</w:t>
      </w:r>
      <w:r w:rsidR="00E71EDE" w:rsidRPr="00C61948">
        <w:rPr>
          <w:lang w:val="en-US"/>
        </w:rPr>
        <w:t>; and</w:t>
      </w:r>
      <w:r w:rsidR="00A452A5">
        <w:rPr>
          <w:lang w:val="en-US"/>
        </w:rPr>
        <w:t xml:space="preserve"> </w:t>
      </w:r>
      <w:r>
        <w:rPr>
          <w:lang w:val="en-US"/>
        </w:rPr>
        <w:t>the</w:t>
      </w:r>
      <w:r w:rsidR="00E71EDE" w:rsidRPr="00C61948">
        <w:rPr>
          <w:lang w:val="en-US"/>
        </w:rPr>
        <w:t xml:space="preserve"> commercial, institutional and household</w:t>
      </w:r>
      <w:r>
        <w:rPr>
          <w:lang w:val="en-US"/>
        </w:rPr>
        <w:t xml:space="preserve"> </w:t>
      </w:r>
      <w:r w:rsidR="00E71EDE" w:rsidRPr="00C61948">
        <w:rPr>
          <w:lang w:val="en-US"/>
        </w:rPr>
        <w:t>s</w:t>
      </w:r>
      <w:r>
        <w:rPr>
          <w:lang w:val="en-US"/>
        </w:rPr>
        <w:t xml:space="preserve">ector </w:t>
      </w:r>
      <w:r w:rsidRPr="00C61948">
        <w:rPr>
          <w:lang w:val="en-US"/>
        </w:rPr>
        <w:t>for CO</w:t>
      </w:r>
      <w:r w:rsidR="00E71EDE" w:rsidRPr="00C61948">
        <w:rPr>
          <w:lang w:val="en-US"/>
        </w:rPr>
        <w:t>. NO</w:t>
      </w:r>
      <w:r w:rsidR="00E71EDE" w:rsidRPr="00C61948">
        <w:rPr>
          <w:vertAlign w:val="subscript"/>
          <w:lang w:val="en-US"/>
        </w:rPr>
        <w:t>X</w:t>
      </w:r>
      <w:r w:rsidR="00E71EDE" w:rsidRPr="00C61948">
        <w:rPr>
          <w:lang w:val="en-US"/>
        </w:rPr>
        <w:t xml:space="preserve"> emissions from the road transport sector have decreased by 46 % since 1990, mainly as a result of the introduction of three-way catalytic converters on passenger cars and stricter regulation of emissions from heavy-duty vehicles across Europe.</w:t>
      </w:r>
    </w:p>
    <w:tbl>
      <w:tblPr>
        <w:tblStyle w:val="ColorfulShading-Accent5"/>
        <w:tblW w:w="9322" w:type="dxa"/>
        <w:tblLook w:val="04A0" w:firstRow="1" w:lastRow="0" w:firstColumn="1" w:lastColumn="0" w:noHBand="0" w:noVBand="1"/>
      </w:tblPr>
      <w:tblGrid>
        <w:gridCol w:w="1843"/>
        <w:gridCol w:w="4050"/>
        <w:gridCol w:w="941"/>
        <w:gridCol w:w="1204"/>
        <w:gridCol w:w="1284"/>
      </w:tblGrid>
      <w:tr w:rsidR="00E71EDE" w:rsidTr="00E71E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22" w:type="dxa"/>
            <w:gridSpan w:val="5"/>
          </w:tcPr>
          <w:p w:rsidR="00E71EDE" w:rsidRDefault="00E71EDE" w:rsidP="0074384F">
            <w:pPr>
              <w:keepNext/>
              <w:spacing w:after="120" w:line="276" w:lineRule="auto"/>
              <w:ind w:right="96"/>
              <w:jc w:val="both"/>
              <w:rPr>
                <w:lang w:val="en-US"/>
              </w:rPr>
            </w:pPr>
            <w:r>
              <w:rPr>
                <w:lang w:val="en-US"/>
              </w:rPr>
              <w:t>Table 2.</w:t>
            </w:r>
            <w:r w:rsidR="00511DFA">
              <w:rPr>
                <w:lang w:val="en-US"/>
              </w:rPr>
              <w:t xml:space="preserve"> </w:t>
            </w:r>
            <w:r w:rsidRPr="00AB33EA">
              <w:rPr>
                <w:lang w:val="en-US"/>
              </w:rPr>
              <w:t>Share of EU-27 emissions of the main pollutants by sector group</w:t>
            </w:r>
          </w:p>
        </w:tc>
      </w:tr>
      <w:tr w:rsidR="00E71EDE" w:rsidTr="00E71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rsidR="00E71EDE" w:rsidRPr="004B658E" w:rsidRDefault="00E71EDE" w:rsidP="0093482F">
            <w:pPr>
              <w:ind w:right="95"/>
              <w:jc w:val="center"/>
              <w:rPr>
                <w:b/>
                <w:lang w:val="en-US"/>
              </w:rPr>
            </w:pPr>
            <w:r w:rsidRPr="004B658E">
              <w:rPr>
                <w:b/>
                <w:lang w:val="en-US"/>
              </w:rPr>
              <w:t>Pollutants</w:t>
            </w:r>
          </w:p>
        </w:tc>
        <w:tc>
          <w:tcPr>
            <w:tcW w:w="4991" w:type="dxa"/>
            <w:gridSpan w:val="2"/>
            <w:shd w:val="clear" w:color="auto" w:fill="31849B" w:themeFill="accent5" w:themeFillShade="BF"/>
          </w:tcPr>
          <w:p w:rsidR="00E71EDE" w:rsidRPr="004B658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b/>
                <w:lang w:val="en-US"/>
              </w:rPr>
            </w:pPr>
            <w:r w:rsidRPr="004B658E">
              <w:rPr>
                <w:b/>
                <w:color w:val="FFFFFF" w:themeColor="background1"/>
                <w:lang w:val="en-US"/>
              </w:rPr>
              <w:t>Sector with highest share per pollutant</w:t>
            </w:r>
          </w:p>
        </w:tc>
        <w:tc>
          <w:tcPr>
            <w:tcW w:w="1204" w:type="dxa"/>
            <w:vMerge w:val="restart"/>
            <w:shd w:val="clear" w:color="auto" w:fill="31849B" w:themeFill="accent5" w:themeFillShade="BF"/>
          </w:tcPr>
          <w:p w:rsidR="00E71EDE" w:rsidRPr="004B658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b/>
                <w:color w:val="FFFFFF" w:themeColor="background1"/>
                <w:lang w:val="en-US"/>
              </w:rPr>
            </w:pPr>
            <w:r w:rsidRPr="004B658E">
              <w:rPr>
                <w:b/>
                <w:color w:val="FFFFFF" w:themeColor="background1"/>
                <w:lang w:val="en-US"/>
              </w:rPr>
              <w:t>Road Transport</w:t>
            </w:r>
          </w:p>
        </w:tc>
        <w:tc>
          <w:tcPr>
            <w:tcW w:w="1284" w:type="dxa"/>
            <w:vMerge w:val="restart"/>
            <w:shd w:val="clear" w:color="auto" w:fill="31849B" w:themeFill="accent5" w:themeFillShade="BF"/>
          </w:tcPr>
          <w:p w:rsidR="00E71EDE" w:rsidRPr="004B658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b/>
                <w:color w:val="FFFFFF" w:themeColor="background1"/>
                <w:lang w:val="en-US"/>
              </w:rPr>
            </w:pPr>
            <w:r w:rsidRPr="004B658E">
              <w:rPr>
                <w:b/>
                <w:color w:val="FFFFFF" w:themeColor="background1"/>
                <w:lang w:val="en-US"/>
              </w:rPr>
              <w:t>Non Road Transport</w:t>
            </w:r>
          </w:p>
        </w:tc>
      </w:tr>
      <w:tr w:rsidR="00E71EDE" w:rsidTr="00E71EDE">
        <w:tc>
          <w:tcPr>
            <w:cnfStyle w:val="001000000000" w:firstRow="0" w:lastRow="0" w:firstColumn="1" w:lastColumn="0" w:oddVBand="0" w:evenVBand="0" w:oddHBand="0" w:evenHBand="0" w:firstRowFirstColumn="0" w:firstRowLastColumn="0" w:lastRowFirstColumn="0" w:lastRowLastColumn="0"/>
            <w:tcW w:w="1843" w:type="dxa"/>
            <w:vMerge/>
          </w:tcPr>
          <w:p w:rsidR="00E71EDE" w:rsidRDefault="00E71EDE" w:rsidP="0093482F">
            <w:pPr>
              <w:ind w:right="95"/>
              <w:jc w:val="center"/>
              <w:rPr>
                <w:lang w:val="en-US"/>
              </w:rPr>
            </w:pPr>
          </w:p>
        </w:tc>
        <w:tc>
          <w:tcPr>
            <w:tcW w:w="4050" w:type="dxa"/>
            <w:shd w:val="clear" w:color="auto" w:fill="3DA5C1"/>
          </w:tcPr>
          <w:p w:rsidR="00E71EDE" w:rsidRPr="004B658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b/>
                <w:lang w:val="en-US"/>
              </w:rPr>
            </w:pPr>
            <w:r w:rsidRPr="004B658E">
              <w:rPr>
                <w:b/>
                <w:lang w:val="en-US"/>
              </w:rPr>
              <w:t>Sector</w:t>
            </w:r>
          </w:p>
        </w:tc>
        <w:tc>
          <w:tcPr>
            <w:tcW w:w="941" w:type="dxa"/>
            <w:shd w:val="clear" w:color="auto" w:fill="3DA5C1"/>
          </w:tcPr>
          <w:p w:rsidR="00E71EDE" w:rsidRPr="004B658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b/>
                <w:lang w:val="en-US"/>
              </w:rPr>
            </w:pPr>
            <w:r w:rsidRPr="004B658E">
              <w:rPr>
                <w:b/>
                <w:lang w:val="en-US"/>
              </w:rPr>
              <w:t>Share</w:t>
            </w:r>
          </w:p>
        </w:tc>
        <w:tc>
          <w:tcPr>
            <w:tcW w:w="1204" w:type="dxa"/>
            <w:vMerge/>
            <w:shd w:val="clear" w:color="auto" w:fill="31849B" w:themeFill="accent5" w:themeFillShade="BF"/>
          </w:tcPr>
          <w:p w:rsidR="00E71EDE" w:rsidRDefault="00E71EDE" w:rsidP="00561491">
            <w:pPr>
              <w:keepNext/>
              <w:ind w:right="95"/>
              <w:jc w:val="both"/>
              <w:cnfStyle w:val="000000000000" w:firstRow="0" w:lastRow="0" w:firstColumn="0" w:lastColumn="0" w:oddVBand="0" w:evenVBand="0" w:oddHBand="0" w:evenHBand="0" w:firstRowFirstColumn="0" w:firstRowLastColumn="0" w:lastRowFirstColumn="0" w:lastRowLastColumn="0"/>
              <w:rPr>
                <w:lang w:val="en-US"/>
              </w:rPr>
            </w:pPr>
          </w:p>
        </w:tc>
        <w:tc>
          <w:tcPr>
            <w:tcW w:w="1284" w:type="dxa"/>
            <w:vMerge/>
            <w:shd w:val="clear" w:color="auto" w:fill="31849B" w:themeFill="accent5" w:themeFillShade="BF"/>
          </w:tcPr>
          <w:p w:rsidR="00E71EDE" w:rsidRDefault="00E71EDE" w:rsidP="00561491">
            <w:pPr>
              <w:keepNext/>
              <w:ind w:right="95"/>
              <w:jc w:val="both"/>
              <w:cnfStyle w:val="000000000000" w:firstRow="0" w:lastRow="0" w:firstColumn="0" w:lastColumn="0" w:oddVBand="0" w:evenVBand="0" w:oddHBand="0" w:evenHBand="0" w:firstRowFirstColumn="0" w:firstRowLastColumn="0" w:lastRowFirstColumn="0" w:lastRowLastColumn="0"/>
              <w:rPr>
                <w:lang w:val="en-US"/>
              </w:rPr>
            </w:pPr>
          </w:p>
        </w:tc>
      </w:tr>
      <w:tr w:rsidR="00E71EDE" w:rsidTr="00E71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AB33EA">
              <w:rPr>
                <w:lang w:val="en-US"/>
              </w:rPr>
              <w:t>NO</w:t>
            </w:r>
            <w:r w:rsidRPr="00AB33EA">
              <w:rPr>
                <w:vertAlign w:val="subscript"/>
                <w:lang w:val="en-US"/>
              </w:rPr>
              <w:t>X</w:t>
            </w:r>
          </w:p>
        </w:tc>
        <w:tc>
          <w:tcPr>
            <w:tcW w:w="4050"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Road Transport</w:t>
            </w:r>
          </w:p>
        </w:tc>
        <w:tc>
          <w:tcPr>
            <w:tcW w:w="941"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42%</w:t>
            </w:r>
          </w:p>
        </w:tc>
        <w:tc>
          <w:tcPr>
            <w:tcW w:w="120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c>
          <w:tcPr>
            <w:tcW w:w="128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w:t>
            </w:r>
          </w:p>
        </w:tc>
      </w:tr>
      <w:tr w:rsidR="00E71EDE" w:rsidTr="00E71EDE">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AB33EA">
              <w:rPr>
                <w:lang w:val="en-US"/>
              </w:rPr>
              <w:t>NMVOC</w:t>
            </w:r>
          </w:p>
        </w:tc>
        <w:tc>
          <w:tcPr>
            <w:tcW w:w="4050"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sidRPr="00437B30">
              <w:rPr>
                <w:lang w:val="en-US"/>
              </w:rPr>
              <w:t>Solvent and</w:t>
            </w:r>
            <w:r>
              <w:rPr>
                <w:lang w:val="en-US"/>
              </w:rPr>
              <w:t xml:space="preserve"> </w:t>
            </w:r>
            <w:r w:rsidRPr="00437B30">
              <w:rPr>
                <w:lang w:val="en-US"/>
              </w:rPr>
              <w:t>product use</w:t>
            </w:r>
          </w:p>
        </w:tc>
        <w:tc>
          <w:tcPr>
            <w:tcW w:w="941"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43%</w:t>
            </w:r>
          </w:p>
        </w:tc>
        <w:tc>
          <w:tcPr>
            <w:tcW w:w="120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16%</w:t>
            </w:r>
          </w:p>
        </w:tc>
        <w:tc>
          <w:tcPr>
            <w:tcW w:w="128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r>
      <w:tr w:rsidR="00E71EDE" w:rsidTr="00E71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437B30">
              <w:rPr>
                <w:lang w:val="en-US"/>
              </w:rPr>
              <w:t>SO</w:t>
            </w:r>
            <w:r w:rsidRPr="00437B30">
              <w:rPr>
                <w:vertAlign w:val="subscript"/>
                <w:lang w:val="en-US"/>
              </w:rPr>
              <w:t>X</w:t>
            </w:r>
          </w:p>
        </w:tc>
        <w:tc>
          <w:tcPr>
            <w:tcW w:w="4050"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sidRPr="00437B30">
              <w:rPr>
                <w:lang w:val="en-US"/>
              </w:rPr>
              <w:t>Energy</w:t>
            </w:r>
            <w:r>
              <w:rPr>
                <w:lang w:val="en-US"/>
              </w:rPr>
              <w:t xml:space="preserve"> </w:t>
            </w:r>
            <w:r w:rsidRPr="00437B30">
              <w:rPr>
                <w:lang w:val="en-US"/>
              </w:rPr>
              <w:t>production</w:t>
            </w:r>
            <w:r>
              <w:rPr>
                <w:lang w:val="en-US"/>
              </w:rPr>
              <w:t xml:space="preserve"> </w:t>
            </w:r>
            <w:r w:rsidRPr="00437B30">
              <w:rPr>
                <w:lang w:val="en-US"/>
              </w:rPr>
              <w:t>and</w:t>
            </w:r>
            <w:r>
              <w:rPr>
                <w:lang w:val="en-US"/>
              </w:rPr>
              <w:t xml:space="preserve"> </w:t>
            </w:r>
            <w:r w:rsidRPr="00437B30">
              <w:rPr>
                <w:lang w:val="en-US"/>
              </w:rPr>
              <w:t>distribution</w:t>
            </w:r>
          </w:p>
        </w:tc>
        <w:tc>
          <w:tcPr>
            <w:tcW w:w="941"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58%</w:t>
            </w:r>
          </w:p>
        </w:tc>
        <w:tc>
          <w:tcPr>
            <w:tcW w:w="120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28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w:t>
            </w:r>
          </w:p>
        </w:tc>
      </w:tr>
      <w:tr w:rsidR="00E71EDE" w:rsidTr="00E71EDE">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437B30">
              <w:rPr>
                <w:lang w:val="en-US"/>
              </w:rPr>
              <w:t>NH</w:t>
            </w:r>
            <w:r w:rsidRPr="00437B30">
              <w:rPr>
                <w:vertAlign w:val="subscript"/>
                <w:lang w:val="en-US"/>
              </w:rPr>
              <w:t>3</w:t>
            </w:r>
          </w:p>
        </w:tc>
        <w:tc>
          <w:tcPr>
            <w:tcW w:w="4050"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sidRPr="00437B30">
              <w:rPr>
                <w:lang w:val="en-US"/>
              </w:rPr>
              <w:t>Agriculture</w:t>
            </w:r>
          </w:p>
        </w:tc>
        <w:tc>
          <w:tcPr>
            <w:tcW w:w="941"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94%</w:t>
            </w:r>
          </w:p>
        </w:tc>
        <w:tc>
          <w:tcPr>
            <w:tcW w:w="120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128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E71EDE" w:rsidTr="00E71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437B30">
              <w:rPr>
                <w:lang w:val="en-US"/>
              </w:rPr>
              <w:t>PM</w:t>
            </w:r>
            <w:r w:rsidRPr="00A90A82">
              <w:rPr>
                <w:lang w:val="en-US"/>
              </w:rPr>
              <w:t>2.5</w:t>
            </w:r>
          </w:p>
        </w:tc>
        <w:tc>
          <w:tcPr>
            <w:tcW w:w="4050"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sidRPr="00437B30">
              <w:rPr>
                <w:lang w:val="en-US"/>
              </w:rPr>
              <w:t>Commercial,</w:t>
            </w:r>
            <w:r>
              <w:rPr>
                <w:lang w:val="en-US"/>
              </w:rPr>
              <w:t xml:space="preserve"> </w:t>
            </w:r>
            <w:r w:rsidRPr="00437B30">
              <w:rPr>
                <w:lang w:val="en-US"/>
              </w:rPr>
              <w:t>institutional</w:t>
            </w:r>
            <w:r>
              <w:rPr>
                <w:lang w:val="en-US"/>
              </w:rPr>
              <w:t xml:space="preserve"> </w:t>
            </w:r>
            <w:r w:rsidRPr="00437B30">
              <w:rPr>
                <w:lang w:val="en-US"/>
              </w:rPr>
              <w:t>and</w:t>
            </w:r>
            <w:r>
              <w:rPr>
                <w:lang w:val="en-US"/>
              </w:rPr>
              <w:t xml:space="preserve"> </w:t>
            </w:r>
            <w:r w:rsidRPr="00437B30">
              <w:rPr>
                <w:lang w:val="en-US"/>
              </w:rPr>
              <w:t>households</w:t>
            </w:r>
          </w:p>
        </w:tc>
        <w:tc>
          <w:tcPr>
            <w:tcW w:w="941"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52%</w:t>
            </w:r>
          </w:p>
        </w:tc>
        <w:tc>
          <w:tcPr>
            <w:tcW w:w="120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16%</w:t>
            </w:r>
          </w:p>
        </w:tc>
        <w:tc>
          <w:tcPr>
            <w:tcW w:w="128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r>
      <w:tr w:rsidR="00E71EDE" w:rsidTr="00E71EDE">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437B30">
              <w:rPr>
                <w:lang w:val="en-US"/>
              </w:rPr>
              <w:t>PM</w:t>
            </w:r>
            <w:r w:rsidRPr="00A90A82">
              <w:rPr>
                <w:lang w:val="en-US"/>
              </w:rPr>
              <w:t>10</w:t>
            </w:r>
          </w:p>
        </w:tc>
        <w:tc>
          <w:tcPr>
            <w:tcW w:w="4050"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sidRPr="00437B30">
              <w:rPr>
                <w:lang w:val="en-US"/>
              </w:rPr>
              <w:t>Commercial,</w:t>
            </w:r>
            <w:r>
              <w:rPr>
                <w:lang w:val="en-US"/>
              </w:rPr>
              <w:t xml:space="preserve"> </w:t>
            </w:r>
            <w:r w:rsidRPr="00437B30">
              <w:rPr>
                <w:lang w:val="en-US"/>
              </w:rPr>
              <w:t>institutional and</w:t>
            </w:r>
            <w:r>
              <w:rPr>
                <w:lang w:val="en-US"/>
              </w:rPr>
              <w:t xml:space="preserve"> </w:t>
            </w:r>
            <w:r w:rsidRPr="00437B30">
              <w:rPr>
                <w:lang w:val="en-US"/>
              </w:rPr>
              <w:t>households</w:t>
            </w:r>
          </w:p>
        </w:tc>
        <w:tc>
          <w:tcPr>
            <w:tcW w:w="941"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41%</w:t>
            </w:r>
          </w:p>
        </w:tc>
        <w:tc>
          <w:tcPr>
            <w:tcW w:w="120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15%</w:t>
            </w:r>
          </w:p>
        </w:tc>
        <w:tc>
          <w:tcPr>
            <w:tcW w:w="128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r>
      <w:tr w:rsidR="00E71EDE" w:rsidTr="00E71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437B30">
              <w:rPr>
                <w:lang w:val="en-US"/>
              </w:rPr>
              <w:t>CO</w:t>
            </w:r>
          </w:p>
        </w:tc>
        <w:tc>
          <w:tcPr>
            <w:tcW w:w="4050"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sidRPr="00437B30">
              <w:rPr>
                <w:lang w:val="en-US"/>
              </w:rPr>
              <w:t>Commercial,</w:t>
            </w:r>
            <w:r>
              <w:rPr>
                <w:lang w:val="en-US"/>
              </w:rPr>
              <w:t xml:space="preserve"> </w:t>
            </w:r>
            <w:r w:rsidRPr="00437B30">
              <w:rPr>
                <w:lang w:val="en-US"/>
              </w:rPr>
              <w:t>institutional and</w:t>
            </w:r>
            <w:r>
              <w:rPr>
                <w:lang w:val="en-US"/>
              </w:rPr>
              <w:t xml:space="preserve"> </w:t>
            </w:r>
            <w:r w:rsidRPr="00437B30">
              <w:rPr>
                <w:lang w:val="en-US"/>
              </w:rPr>
              <w:t>households</w:t>
            </w:r>
          </w:p>
        </w:tc>
        <w:tc>
          <w:tcPr>
            <w:tcW w:w="941"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41%</w:t>
            </w:r>
          </w:p>
        </w:tc>
        <w:tc>
          <w:tcPr>
            <w:tcW w:w="120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29%</w:t>
            </w:r>
          </w:p>
        </w:tc>
        <w:tc>
          <w:tcPr>
            <w:tcW w:w="128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r>
      <w:tr w:rsidR="00E71EDE" w:rsidTr="00E71EDE">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proofErr w:type="spellStart"/>
            <w:r w:rsidRPr="00437B30">
              <w:rPr>
                <w:lang w:val="en-US"/>
              </w:rPr>
              <w:t>Pb</w:t>
            </w:r>
            <w:proofErr w:type="spellEnd"/>
          </w:p>
        </w:tc>
        <w:tc>
          <w:tcPr>
            <w:tcW w:w="4050"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sidRPr="00437B30">
              <w:rPr>
                <w:lang w:val="en-US"/>
              </w:rPr>
              <w:t>Energy use</w:t>
            </w:r>
            <w:r>
              <w:rPr>
                <w:lang w:val="en-US"/>
              </w:rPr>
              <w:t xml:space="preserve"> </w:t>
            </w:r>
            <w:r w:rsidRPr="00437B30">
              <w:rPr>
                <w:lang w:val="en-US"/>
              </w:rPr>
              <w:t>in industry</w:t>
            </w:r>
          </w:p>
        </w:tc>
        <w:tc>
          <w:tcPr>
            <w:tcW w:w="941"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36%</w:t>
            </w:r>
          </w:p>
        </w:tc>
        <w:tc>
          <w:tcPr>
            <w:tcW w:w="120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c>
          <w:tcPr>
            <w:tcW w:w="128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r>
      <w:tr w:rsidR="00E71EDE" w:rsidTr="00E71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437B30">
              <w:rPr>
                <w:lang w:val="en-US"/>
              </w:rPr>
              <w:t>Cd</w:t>
            </w:r>
          </w:p>
        </w:tc>
        <w:tc>
          <w:tcPr>
            <w:tcW w:w="4050"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sidRPr="00437B30">
              <w:rPr>
                <w:lang w:val="en-US"/>
              </w:rPr>
              <w:t>Commercial,</w:t>
            </w:r>
            <w:r>
              <w:rPr>
                <w:lang w:val="en-US"/>
              </w:rPr>
              <w:t xml:space="preserve"> </w:t>
            </w:r>
            <w:r w:rsidRPr="00437B30">
              <w:rPr>
                <w:lang w:val="en-US"/>
              </w:rPr>
              <w:t>institutional and</w:t>
            </w:r>
            <w:r>
              <w:rPr>
                <w:lang w:val="en-US"/>
              </w:rPr>
              <w:t xml:space="preserve"> </w:t>
            </w:r>
            <w:r w:rsidRPr="00437B30">
              <w:rPr>
                <w:lang w:val="en-US"/>
              </w:rPr>
              <w:t>households</w:t>
            </w:r>
          </w:p>
        </w:tc>
        <w:tc>
          <w:tcPr>
            <w:tcW w:w="941"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39%</w:t>
            </w:r>
          </w:p>
        </w:tc>
        <w:tc>
          <w:tcPr>
            <w:tcW w:w="120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128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r>
      <w:tr w:rsidR="00E71EDE" w:rsidTr="00E71EDE">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437B30">
              <w:rPr>
                <w:lang w:val="en-US"/>
              </w:rPr>
              <w:t>Hg</w:t>
            </w:r>
          </w:p>
        </w:tc>
        <w:tc>
          <w:tcPr>
            <w:tcW w:w="4050"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sidRPr="00437B30">
              <w:rPr>
                <w:lang w:val="en-US"/>
              </w:rPr>
              <w:t>Energy</w:t>
            </w:r>
            <w:r>
              <w:rPr>
                <w:lang w:val="en-US"/>
              </w:rPr>
              <w:t xml:space="preserve"> </w:t>
            </w:r>
            <w:r w:rsidRPr="00437B30">
              <w:rPr>
                <w:lang w:val="en-US"/>
              </w:rPr>
              <w:t>production</w:t>
            </w:r>
            <w:r>
              <w:rPr>
                <w:lang w:val="en-US"/>
              </w:rPr>
              <w:t xml:space="preserve"> </w:t>
            </w:r>
            <w:r w:rsidRPr="00437B30">
              <w:rPr>
                <w:lang w:val="en-US"/>
              </w:rPr>
              <w:t>and distribution</w:t>
            </w:r>
          </w:p>
        </w:tc>
        <w:tc>
          <w:tcPr>
            <w:tcW w:w="941"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41%</w:t>
            </w:r>
          </w:p>
        </w:tc>
        <w:tc>
          <w:tcPr>
            <w:tcW w:w="120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28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w:t>
            </w:r>
          </w:p>
        </w:tc>
      </w:tr>
      <w:tr w:rsidR="00E71EDE" w:rsidTr="00E71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437B30">
              <w:rPr>
                <w:lang w:val="en-US"/>
              </w:rPr>
              <w:t>PCDD/</w:t>
            </w:r>
            <w:proofErr w:type="spellStart"/>
            <w:r w:rsidRPr="00437B30">
              <w:rPr>
                <w:lang w:val="en-US"/>
              </w:rPr>
              <w:t>Fs</w:t>
            </w:r>
            <w:proofErr w:type="spellEnd"/>
          </w:p>
        </w:tc>
        <w:tc>
          <w:tcPr>
            <w:tcW w:w="4050"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sidRPr="00437B30">
              <w:rPr>
                <w:lang w:val="en-US"/>
              </w:rPr>
              <w:t>Commercial,</w:t>
            </w:r>
            <w:r>
              <w:rPr>
                <w:lang w:val="en-US"/>
              </w:rPr>
              <w:t xml:space="preserve"> </w:t>
            </w:r>
            <w:r w:rsidRPr="00437B30">
              <w:rPr>
                <w:lang w:val="en-US"/>
              </w:rPr>
              <w:t>institutional and</w:t>
            </w:r>
            <w:r>
              <w:rPr>
                <w:lang w:val="en-US"/>
              </w:rPr>
              <w:t xml:space="preserve"> </w:t>
            </w:r>
            <w:r w:rsidRPr="00437B30">
              <w:rPr>
                <w:lang w:val="en-US"/>
              </w:rPr>
              <w:t>households</w:t>
            </w:r>
          </w:p>
        </w:tc>
        <w:tc>
          <w:tcPr>
            <w:tcW w:w="941"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37%</w:t>
            </w:r>
          </w:p>
        </w:tc>
        <w:tc>
          <w:tcPr>
            <w:tcW w:w="120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128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r>
      <w:tr w:rsidR="00E71EDE" w:rsidTr="00E71EDE">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437B30">
              <w:rPr>
                <w:lang w:val="en-US"/>
              </w:rPr>
              <w:t>Total PAHs</w:t>
            </w:r>
          </w:p>
        </w:tc>
        <w:tc>
          <w:tcPr>
            <w:tcW w:w="4050"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sidRPr="00437B30">
              <w:rPr>
                <w:lang w:val="en-US"/>
              </w:rPr>
              <w:t>Commercial,</w:t>
            </w:r>
            <w:r>
              <w:rPr>
                <w:lang w:val="en-US"/>
              </w:rPr>
              <w:t xml:space="preserve"> </w:t>
            </w:r>
            <w:r w:rsidRPr="00437B30">
              <w:rPr>
                <w:lang w:val="en-US"/>
              </w:rPr>
              <w:t>institutional and</w:t>
            </w:r>
            <w:r>
              <w:rPr>
                <w:lang w:val="en-US"/>
              </w:rPr>
              <w:t xml:space="preserve"> </w:t>
            </w:r>
            <w:r w:rsidRPr="00437B30">
              <w:rPr>
                <w:lang w:val="en-US"/>
              </w:rPr>
              <w:t>households</w:t>
            </w:r>
          </w:p>
        </w:tc>
        <w:tc>
          <w:tcPr>
            <w:tcW w:w="941"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59%</w:t>
            </w:r>
          </w:p>
        </w:tc>
        <w:tc>
          <w:tcPr>
            <w:tcW w:w="120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128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E71EDE" w:rsidTr="00E71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71EDE" w:rsidRDefault="00E71EDE" w:rsidP="0093482F">
            <w:pPr>
              <w:ind w:right="95"/>
              <w:jc w:val="center"/>
              <w:rPr>
                <w:lang w:val="en-US"/>
              </w:rPr>
            </w:pPr>
            <w:r w:rsidRPr="00437B30">
              <w:rPr>
                <w:lang w:val="en-US"/>
              </w:rPr>
              <w:t>HCB</w:t>
            </w:r>
          </w:p>
        </w:tc>
        <w:tc>
          <w:tcPr>
            <w:tcW w:w="4050"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sidRPr="00437B30">
              <w:rPr>
                <w:lang w:val="en-US"/>
              </w:rPr>
              <w:t>Industrial</w:t>
            </w:r>
            <w:r>
              <w:rPr>
                <w:lang w:val="en-US"/>
              </w:rPr>
              <w:t xml:space="preserve"> </w:t>
            </w:r>
            <w:r w:rsidRPr="00437B30">
              <w:rPr>
                <w:lang w:val="en-US"/>
              </w:rPr>
              <w:t>processes</w:t>
            </w:r>
          </w:p>
        </w:tc>
        <w:tc>
          <w:tcPr>
            <w:tcW w:w="941"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70%</w:t>
            </w:r>
          </w:p>
        </w:tc>
        <w:tc>
          <w:tcPr>
            <w:tcW w:w="120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1284" w:type="dxa"/>
            <w:vAlign w:val="center"/>
          </w:tcPr>
          <w:p w:rsidR="00E71EDE" w:rsidRDefault="00E71EDE" w:rsidP="00561491">
            <w:pPr>
              <w:keepNext/>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r>
      <w:tr w:rsidR="00E71EDE" w:rsidTr="00E71EDE">
        <w:tc>
          <w:tcPr>
            <w:cnfStyle w:val="001000000000" w:firstRow="0" w:lastRow="0" w:firstColumn="1" w:lastColumn="0" w:oddVBand="0" w:evenVBand="0" w:oddHBand="0" w:evenHBand="0" w:firstRowFirstColumn="0" w:firstRowLastColumn="0" w:lastRowFirstColumn="0" w:lastRowLastColumn="0"/>
            <w:tcW w:w="1843" w:type="dxa"/>
          </w:tcPr>
          <w:p w:rsidR="00E71EDE" w:rsidRPr="00437B30" w:rsidRDefault="00E71EDE" w:rsidP="0093482F">
            <w:pPr>
              <w:ind w:right="95"/>
              <w:jc w:val="center"/>
              <w:rPr>
                <w:lang w:val="en-US"/>
              </w:rPr>
            </w:pPr>
            <w:r w:rsidRPr="00437B30">
              <w:rPr>
                <w:lang w:val="en-US"/>
              </w:rPr>
              <w:t>HCH</w:t>
            </w:r>
          </w:p>
        </w:tc>
        <w:tc>
          <w:tcPr>
            <w:tcW w:w="4050"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sidRPr="00437B30">
              <w:rPr>
                <w:lang w:val="en-US"/>
              </w:rPr>
              <w:t>Industrial</w:t>
            </w:r>
            <w:r>
              <w:rPr>
                <w:lang w:val="en-US"/>
              </w:rPr>
              <w:t xml:space="preserve"> </w:t>
            </w:r>
            <w:r w:rsidRPr="00437B30">
              <w:rPr>
                <w:lang w:val="en-US"/>
              </w:rPr>
              <w:t>processes</w:t>
            </w:r>
          </w:p>
        </w:tc>
        <w:tc>
          <w:tcPr>
            <w:tcW w:w="941"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66%</w:t>
            </w:r>
          </w:p>
        </w:tc>
        <w:tc>
          <w:tcPr>
            <w:tcW w:w="120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284" w:type="dxa"/>
            <w:vAlign w:val="center"/>
          </w:tcPr>
          <w:p w:rsidR="00E71EDE" w:rsidRDefault="00E71EDE" w:rsidP="00561491">
            <w:pPr>
              <w:keepNext/>
              <w:ind w:right="95"/>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E71EDE" w:rsidTr="00E71E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E71EDE" w:rsidRPr="00437B30" w:rsidRDefault="00E71EDE" w:rsidP="00E71EDE">
            <w:pPr>
              <w:ind w:right="95"/>
              <w:jc w:val="center"/>
              <w:rPr>
                <w:lang w:val="en-US"/>
              </w:rPr>
            </w:pPr>
            <w:r w:rsidRPr="00437B30">
              <w:rPr>
                <w:lang w:val="en-US"/>
              </w:rPr>
              <w:t>PCBs</w:t>
            </w:r>
          </w:p>
        </w:tc>
        <w:tc>
          <w:tcPr>
            <w:tcW w:w="4050" w:type="dxa"/>
            <w:vAlign w:val="center"/>
          </w:tcPr>
          <w:p w:rsidR="00E71EDE" w:rsidRDefault="00E71EDE" w:rsidP="00E71EDE">
            <w:pPr>
              <w:ind w:right="95"/>
              <w:jc w:val="center"/>
              <w:cnfStyle w:val="000000100000" w:firstRow="0" w:lastRow="0" w:firstColumn="0" w:lastColumn="0" w:oddVBand="0" w:evenVBand="0" w:oddHBand="1" w:evenHBand="0" w:firstRowFirstColumn="0" w:firstRowLastColumn="0" w:lastRowFirstColumn="0" w:lastRowLastColumn="0"/>
              <w:rPr>
                <w:lang w:val="en-US"/>
              </w:rPr>
            </w:pPr>
            <w:r w:rsidRPr="00437B30">
              <w:rPr>
                <w:lang w:val="en-US"/>
              </w:rPr>
              <w:t>Waste</w:t>
            </w:r>
          </w:p>
        </w:tc>
        <w:tc>
          <w:tcPr>
            <w:tcW w:w="941" w:type="dxa"/>
            <w:vAlign w:val="center"/>
          </w:tcPr>
          <w:p w:rsidR="00E71EDE" w:rsidRDefault="00E71EDE" w:rsidP="00E71EDE">
            <w:pPr>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35%</w:t>
            </w:r>
          </w:p>
        </w:tc>
        <w:tc>
          <w:tcPr>
            <w:tcW w:w="1204" w:type="dxa"/>
            <w:vAlign w:val="center"/>
          </w:tcPr>
          <w:p w:rsidR="00E71EDE" w:rsidRDefault="00E71EDE" w:rsidP="00E71EDE">
            <w:pPr>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w:t>
            </w:r>
          </w:p>
        </w:tc>
        <w:tc>
          <w:tcPr>
            <w:tcW w:w="1284" w:type="dxa"/>
            <w:vAlign w:val="center"/>
          </w:tcPr>
          <w:p w:rsidR="00E71EDE" w:rsidRDefault="00E71EDE" w:rsidP="00E71EDE">
            <w:pPr>
              <w:ind w:right="95"/>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r>
    </w:tbl>
    <w:p w:rsidR="00373E5F" w:rsidRDefault="0072560D" w:rsidP="00373E5F">
      <w:pPr>
        <w:spacing w:after="120"/>
        <w:ind w:right="96"/>
        <w:jc w:val="both"/>
        <w:rPr>
          <w:lang w:val="en-US"/>
        </w:rPr>
      </w:pPr>
      <w:r>
        <w:rPr>
          <w:lang w:val="en-US"/>
        </w:rPr>
        <w:t>Source: EEA, 2012</w:t>
      </w:r>
      <w:r w:rsidR="00430CB9">
        <w:rPr>
          <w:lang w:val="en-US"/>
        </w:rPr>
        <w:t>a</w:t>
      </w:r>
    </w:p>
    <w:p w:rsidR="00C50379" w:rsidRDefault="00A90A82" w:rsidP="00C50379">
      <w:pPr>
        <w:rPr>
          <w:lang w:val="en-US"/>
        </w:rPr>
      </w:pPr>
      <w:r>
        <w:rPr>
          <w:lang w:val="en-US"/>
        </w:rPr>
        <w:lastRenderedPageBreak/>
        <w:t>31</w:t>
      </w:r>
      <w:r w:rsidR="00E71EDE" w:rsidRPr="00DA789A">
        <w:rPr>
          <w:lang w:val="en-US"/>
        </w:rPr>
        <w:t>.</w:t>
      </w:r>
      <w:r w:rsidR="00E71EDE">
        <w:rPr>
          <w:lang w:val="en-US"/>
        </w:rPr>
        <w:tab/>
      </w:r>
      <w:r w:rsidR="00E71EDE" w:rsidRPr="00DA789A">
        <w:rPr>
          <w:lang w:val="en-US"/>
        </w:rPr>
        <w:t xml:space="preserve">Among the top five key categories, the highest relative reductions in emissions between 1990 and 2010 were achieved </w:t>
      </w:r>
      <w:r w:rsidR="005E086D" w:rsidRPr="00377586">
        <w:rPr>
          <w:lang w:val="en-US"/>
        </w:rPr>
        <w:t>for passenger cars</w:t>
      </w:r>
      <w:r>
        <w:rPr>
          <w:lang w:val="en-US"/>
        </w:rPr>
        <w:t xml:space="preserve"> </w:t>
      </w:r>
      <w:r w:rsidR="00A452A5">
        <w:rPr>
          <w:lang w:val="en-US"/>
        </w:rPr>
        <w:t>(-</w:t>
      </w:r>
      <w:r w:rsidR="00E71EDE" w:rsidRPr="00DA789A">
        <w:rPr>
          <w:lang w:val="en-US"/>
        </w:rPr>
        <w:t>82.9 %)</w:t>
      </w:r>
      <w:r w:rsidR="005E086D">
        <w:rPr>
          <w:lang w:val="en-US"/>
        </w:rPr>
        <w:t>,</w:t>
      </w:r>
      <w:r w:rsidR="005E086D" w:rsidRPr="005E086D">
        <w:rPr>
          <w:lang w:val="en-US"/>
        </w:rPr>
        <w:t xml:space="preserve"> </w:t>
      </w:r>
      <w:r w:rsidR="005E086D" w:rsidRPr="00377586">
        <w:rPr>
          <w:lang w:val="en-US"/>
        </w:rPr>
        <w:t>largely reflecting</w:t>
      </w:r>
      <w:r w:rsidR="005E086D">
        <w:rPr>
          <w:lang w:val="en-US"/>
        </w:rPr>
        <w:t xml:space="preserve"> the</w:t>
      </w:r>
      <w:r w:rsidR="00C50379">
        <w:rPr>
          <w:lang w:val="en-US"/>
        </w:rPr>
        <w:t xml:space="preserve"> </w:t>
      </w:r>
      <w:r w:rsidR="00E71EDE" w:rsidRPr="00DA789A">
        <w:rPr>
          <w:lang w:val="en-US"/>
        </w:rPr>
        <w:t xml:space="preserve">successful </w:t>
      </w:r>
      <w:r w:rsidR="00A452A5" w:rsidRPr="00DA789A">
        <w:rPr>
          <w:lang w:val="en-US"/>
        </w:rPr>
        <w:t>i</w:t>
      </w:r>
      <w:r w:rsidR="00A452A5">
        <w:rPr>
          <w:lang w:val="en-US"/>
        </w:rPr>
        <w:t>ntroduction</w:t>
      </w:r>
      <w:r w:rsidR="00E71EDE" w:rsidRPr="00DA789A">
        <w:rPr>
          <w:lang w:val="en-US"/>
        </w:rPr>
        <w:t xml:space="preserve"> of vehicle emission standards and use of vehicle exhaust catalytic converters (</w:t>
      </w:r>
      <w:r w:rsidR="00D41BF6">
        <w:rPr>
          <w:lang w:val="en-US"/>
        </w:rPr>
        <w:t>Figure 3</w:t>
      </w:r>
      <w:r w:rsidR="00E71EDE" w:rsidRPr="00DA789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41BF6" w:rsidTr="00D41BF6">
        <w:tc>
          <w:tcPr>
            <w:tcW w:w="9242" w:type="dxa"/>
          </w:tcPr>
          <w:p w:rsidR="00D41BF6" w:rsidRPr="00D41BF6" w:rsidRDefault="00F93239" w:rsidP="006212DE">
            <w:pPr>
              <w:spacing w:after="120"/>
              <w:ind w:right="96"/>
              <w:rPr>
                <w:b/>
                <w:lang w:val="en-US"/>
              </w:rPr>
            </w:pPr>
            <w:r>
              <w:rPr>
                <w:b/>
                <w:lang w:val="en-US"/>
              </w:rPr>
              <w:t>Figure 4.</w:t>
            </w:r>
            <w:r w:rsidR="006212DE">
              <w:rPr>
                <w:b/>
                <w:lang w:val="en-US"/>
              </w:rPr>
              <w:t>Regulatory instruments affecting pollutant emission of heavy duty vehicles</w:t>
            </w:r>
          </w:p>
        </w:tc>
      </w:tr>
      <w:tr w:rsidR="00D41BF6" w:rsidTr="00D41BF6">
        <w:tc>
          <w:tcPr>
            <w:tcW w:w="9242" w:type="dxa"/>
          </w:tcPr>
          <w:p w:rsidR="00D41BF6" w:rsidRDefault="00D41BF6" w:rsidP="0074384F">
            <w:pPr>
              <w:spacing w:after="120" w:line="276" w:lineRule="auto"/>
              <w:ind w:right="96"/>
              <w:jc w:val="center"/>
              <w:rPr>
                <w:lang w:val="en-US"/>
              </w:rPr>
            </w:pPr>
            <w:r w:rsidRPr="000D7885">
              <w:rPr>
                <w:noProof/>
                <w:lang w:eastAsia="en-GB"/>
              </w:rPr>
              <w:drawing>
                <wp:inline distT="0" distB="0" distL="0" distR="0" wp14:anchorId="2FFB0CCD" wp14:editId="4D26D356">
                  <wp:extent cx="4238588" cy="28814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45522" cy="2886138"/>
                          </a:xfrm>
                          <a:prstGeom prst="rect">
                            <a:avLst/>
                          </a:prstGeom>
                        </pic:spPr>
                      </pic:pic>
                    </a:graphicData>
                  </a:graphic>
                </wp:inline>
              </w:drawing>
            </w:r>
          </w:p>
        </w:tc>
      </w:tr>
      <w:tr w:rsidR="00D41BF6" w:rsidTr="00D41BF6">
        <w:trPr>
          <w:trHeight w:val="87"/>
        </w:trPr>
        <w:tc>
          <w:tcPr>
            <w:tcW w:w="9242" w:type="dxa"/>
          </w:tcPr>
          <w:p w:rsidR="00D41BF6" w:rsidRDefault="00D41BF6" w:rsidP="006212DE">
            <w:pPr>
              <w:ind w:right="95"/>
              <w:jc w:val="both"/>
              <w:rPr>
                <w:lang w:val="en-US"/>
              </w:rPr>
            </w:pPr>
            <w:r>
              <w:rPr>
                <w:lang w:val="en-US"/>
              </w:rPr>
              <w:t xml:space="preserve">Source: </w:t>
            </w:r>
            <w:r w:rsidR="006212DE">
              <w:rPr>
                <w:lang w:val="en-US"/>
              </w:rPr>
              <w:t>IRU (2012)</w:t>
            </w:r>
          </w:p>
        </w:tc>
      </w:tr>
    </w:tbl>
    <w:p w:rsidR="001A2518" w:rsidRPr="00DA789A" w:rsidRDefault="001A2518" w:rsidP="0074384F">
      <w:pPr>
        <w:pStyle w:val="Heading1"/>
        <w:rPr>
          <w:lang w:val="en-US"/>
        </w:rPr>
      </w:pPr>
      <w:bookmarkStart w:id="8" w:name="_Toc343595878"/>
      <w:r w:rsidRPr="00DA789A">
        <w:rPr>
          <w:lang w:val="en-US"/>
        </w:rPr>
        <w:t>VI.</w:t>
      </w:r>
      <w:r w:rsidRPr="00DA789A">
        <w:rPr>
          <w:lang w:val="en-US"/>
        </w:rPr>
        <w:tab/>
        <w:t xml:space="preserve">Compliance with existing </w:t>
      </w:r>
      <w:r w:rsidR="002B6407" w:rsidRPr="00DA789A">
        <w:rPr>
          <w:lang w:val="en-US"/>
        </w:rPr>
        <w:t>international agreements and regional legal obligations</w:t>
      </w:r>
      <w:bookmarkEnd w:id="8"/>
    </w:p>
    <w:p w:rsidR="001A2518" w:rsidRPr="0074384F" w:rsidRDefault="001A2518" w:rsidP="00A452A5">
      <w:pPr>
        <w:keepNext/>
        <w:tabs>
          <w:tab w:val="left" w:pos="6279"/>
        </w:tabs>
        <w:spacing w:after="120"/>
        <w:ind w:right="96"/>
        <w:jc w:val="both"/>
        <w:rPr>
          <w:b/>
          <w:color w:val="000000" w:themeColor="text1"/>
          <w:lang w:val="en-US"/>
        </w:rPr>
      </w:pPr>
      <w:r w:rsidRPr="0074384F">
        <w:rPr>
          <w:b/>
          <w:color w:val="000000" w:themeColor="text1"/>
          <w:lang w:val="en-US"/>
        </w:rPr>
        <w:t xml:space="preserve">Figure </w:t>
      </w:r>
      <w:r w:rsidR="00D41BF6" w:rsidRPr="0074384F">
        <w:rPr>
          <w:b/>
          <w:color w:val="000000" w:themeColor="text1"/>
          <w:lang w:val="en-US"/>
        </w:rPr>
        <w:t>4</w:t>
      </w:r>
      <w:r w:rsidRPr="0074384F">
        <w:rPr>
          <w:b/>
          <w:color w:val="000000" w:themeColor="text1"/>
          <w:lang w:val="en-US"/>
        </w:rPr>
        <w:t>. Indexed trends in air quality</w:t>
      </w:r>
      <w:r w:rsidR="00A452A5">
        <w:rPr>
          <w:b/>
          <w:color w:val="000000" w:themeColor="text1"/>
          <w:lang w:val="en-US"/>
        </w:rPr>
        <w:tab/>
      </w:r>
    </w:p>
    <w:p w:rsidR="001A2518" w:rsidRPr="001A2518" w:rsidRDefault="001A2518" w:rsidP="0074384F">
      <w:pPr>
        <w:keepNext/>
        <w:spacing w:after="120"/>
        <w:ind w:right="96"/>
        <w:jc w:val="center"/>
        <w:rPr>
          <w:color w:val="4F6228" w:themeColor="accent3" w:themeShade="80"/>
          <w:lang w:val="en-US"/>
        </w:rPr>
      </w:pPr>
      <w:r w:rsidRPr="001A2518">
        <w:rPr>
          <w:noProof/>
          <w:lang w:eastAsia="en-GB"/>
        </w:rPr>
        <w:drawing>
          <wp:inline distT="0" distB="0" distL="0" distR="0" wp14:anchorId="6586734A" wp14:editId="7201D10B">
            <wp:extent cx="3476847" cy="26744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3488225" cy="2683251"/>
                    </a:xfrm>
                    <a:prstGeom prst="rect">
                      <a:avLst/>
                    </a:prstGeom>
                    <a:ln>
                      <a:noFill/>
                    </a:ln>
                    <a:effectLst>
                      <a:outerShdw dist="139700" sx="1000" sy="1000" algn="tl" rotWithShape="0">
                        <a:srgbClr val="333333"/>
                      </a:outerShdw>
                    </a:effectLst>
                  </pic:spPr>
                </pic:pic>
              </a:graphicData>
            </a:graphic>
          </wp:inline>
        </w:drawing>
      </w:r>
    </w:p>
    <w:p w:rsidR="001A2518" w:rsidRPr="0093482F" w:rsidRDefault="001A2518" w:rsidP="0074384F">
      <w:pPr>
        <w:spacing w:after="120"/>
        <w:ind w:right="95"/>
        <w:jc w:val="both"/>
        <w:rPr>
          <w:color w:val="000000" w:themeColor="text1"/>
          <w:lang w:val="en-US"/>
        </w:rPr>
      </w:pPr>
      <w:r w:rsidRPr="0093482F">
        <w:rPr>
          <w:color w:val="000000" w:themeColor="text1"/>
          <w:lang w:val="en-US"/>
        </w:rPr>
        <w:t>Source: EEA, 2010</w:t>
      </w:r>
    </w:p>
    <w:p w:rsidR="00A452A5" w:rsidRDefault="00A452A5" w:rsidP="00A452A5">
      <w:pPr>
        <w:ind w:right="95"/>
        <w:jc w:val="both"/>
        <w:rPr>
          <w:color w:val="000000" w:themeColor="text1"/>
          <w:lang w:val="en-US"/>
        </w:rPr>
      </w:pPr>
      <w:r>
        <w:rPr>
          <w:color w:val="000000" w:themeColor="text1"/>
          <w:lang w:val="en-US"/>
        </w:rPr>
        <w:t>32</w:t>
      </w:r>
      <w:r w:rsidRPr="0093482F">
        <w:rPr>
          <w:color w:val="000000" w:themeColor="text1"/>
          <w:lang w:val="en-US"/>
        </w:rPr>
        <w:t>.</w:t>
      </w:r>
      <w:r w:rsidRPr="0093482F">
        <w:rPr>
          <w:color w:val="000000" w:themeColor="text1"/>
          <w:lang w:val="en-US"/>
        </w:rPr>
        <w:tab/>
        <w:t xml:space="preserve">As already pointed out in Section III, changes in the emissions of air pollutants and their precursors do not necessarily lead to corresponding changes in the concentrations of health- and environment-relevant air pollutants. This is confirmed by the fact, reported by the EEA (EEA, 2010) and illustrated here in Figure </w:t>
      </w:r>
      <w:r>
        <w:rPr>
          <w:color w:val="000000" w:themeColor="text1"/>
          <w:lang w:val="en-US"/>
        </w:rPr>
        <w:t>4</w:t>
      </w:r>
      <w:r w:rsidRPr="0093482F">
        <w:rPr>
          <w:color w:val="000000" w:themeColor="text1"/>
          <w:lang w:val="en-US"/>
        </w:rPr>
        <w:t xml:space="preserve">, that the emission reductions documented in Section V were not </w:t>
      </w:r>
      <w:r w:rsidRPr="0093482F">
        <w:rPr>
          <w:color w:val="000000" w:themeColor="text1"/>
          <w:lang w:val="en-US"/>
        </w:rPr>
        <w:lastRenderedPageBreak/>
        <w:t>necessarily coupled with a corresponding improvement in the atmospheric concentration of related air pollutants.</w:t>
      </w:r>
    </w:p>
    <w:p w:rsidR="00A452A5" w:rsidRPr="0093482F" w:rsidRDefault="00A452A5" w:rsidP="00A452A5">
      <w:pPr>
        <w:ind w:right="95"/>
        <w:jc w:val="both"/>
        <w:rPr>
          <w:color w:val="000000" w:themeColor="text1"/>
          <w:lang w:val="en-US"/>
        </w:rPr>
      </w:pPr>
      <w:r>
        <w:rPr>
          <w:color w:val="000000" w:themeColor="text1"/>
          <w:lang w:val="en-US"/>
        </w:rPr>
        <w:t>33</w:t>
      </w:r>
      <w:r w:rsidRPr="0093482F">
        <w:rPr>
          <w:color w:val="000000" w:themeColor="text1"/>
          <w:lang w:val="en-US"/>
        </w:rPr>
        <w:t>.</w:t>
      </w:r>
      <w:r w:rsidRPr="0093482F">
        <w:rPr>
          <w:color w:val="000000" w:themeColor="text1"/>
          <w:lang w:val="en-US"/>
        </w:rPr>
        <w:tab/>
        <w:t>In the case of PM10, the EEA points out that the majority of EU Member States have not attained the limit values required by the Air Quality Directive by 2005 (EEA, 2010). In particular, the exceedance of the daily mean PM10 limit is considered by the EEA as the biggest PM compliance problem in most urban environments (EEA, 2010).</w:t>
      </w:r>
    </w:p>
    <w:p w:rsidR="00A452A5" w:rsidRDefault="00A452A5" w:rsidP="00A452A5">
      <w:pPr>
        <w:ind w:right="95"/>
        <w:jc w:val="both"/>
        <w:rPr>
          <w:color w:val="000000" w:themeColor="text1"/>
          <w:lang w:val="en-US"/>
        </w:rPr>
      </w:pPr>
      <w:r>
        <w:rPr>
          <w:color w:val="000000" w:themeColor="text1"/>
          <w:lang w:val="en-US"/>
        </w:rPr>
        <w:t>34</w:t>
      </w:r>
      <w:r w:rsidRPr="0093482F">
        <w:rPr>
          <w:color w:val="000000" w:themeColor="text1"/>
          <w:lang w:val="en-US"/>
        </w:rPr>
        <w:t>.</w:t>
      </w:r>
      <w:r w:rsidRPr="0093482F">
        <w:rPr>
          <w:color w:val="000000" w:themeColor="text1"/>
          <w:lang w:val="en-US"/>
        </w:rPr>
        <w:tab/>
        <w:t>Critical issues also emerge looking at the emission of air pollutants with respect to the limits included in the relevant European and international legislation.</w:t>
      </w:r>
    </w:p>
    <w:p w:rsidR="00477571" w:rsidRPr="00561491" w:rsidRDefault="00477571" w:rsidP="0074384F">
      <w:pPr>
        <w:keepNext/>
        <w:spacing w:before="120" w:after="120"/>
        <w:ind w:right="96"/>
        <w:jc w:val="both"/>
        <w:rPr>
          <w:b/>
          <w:lang w:val="en-US"/>
        </w:rPr>
      </w:pPr>
      <w:r w:rsidRPr="00561491">
        <w:rPr>
          <w:b/>
          <w:lang w:val="en-US"/>
        </w:rPr>
        <w:t xml:space="preserve">Table </w:t>
      </w:r>
      <w:r w:rsidR="000054D4" w:rsidRPr="00561491">
        <w:rPr>
          <w:b/>
          <w:lang w:val="en-US"/>
        </w:rPr>
        <w:t>4</w:t>
      </w:r>
      <w:r w:rsidRPr="00561491">
        <w:rPr>
          <w:b/>
          <w:lang w:val="en-US"/>
        </w:rPr>
        <w:t xml:space="preserve">. </w:t>
      </w:r>
      <w:r w:rsidR="00A511E7" w:rsidRPr="00561491">
        <w:rPr>
          <w:b/>
          <w:lang w:val="en-US"/>
        </w:rPr>
        <w:t xml:space="preserve">Distance of 2010 </w:t>
      </w:r>
      <w:r w:rsidR="0050119F" w:rsidRPr="00561491">
        <w:rPr>
          <w:b/>
          <w:lang w:val="en-US"/>
        </w:rPr>
        <w:t>NO</w:t>
      </w:r>
      <w:r w:rsidR="0091135B" w:rsidRPr="00561491">
        <w:rPr>
          <w:b/>
          <w:vertAlign w:val="subscript"/>
          <w:lang w:val="en-US"/>
        </w:rPr>
        <w:t>X</w:t>
      </w:r>
      <w:r w:rsidR="00A511E7" w:rsidRPr="00561491">
        <w:rPr>
          <w:b/>
          <w:lang w:val="en-US"/>
        </w:rPr>
        <w:t xml:space="preserve"> emissions (reported in 2012) to the Gothenburg Protocol ceilings</w:t>
      </w:r>
    </w:p>
    <w:tbl>
      <w:tblPr>
        <w:tblStyle w:val="ColorfulShading-Accent5"/>
        <w:tblW w:w="8612" w:type="dxa"/>
        <w:jc w:val="center"/>
        <w:tblInd w:w="-1402" w:type="dxa"/>
        <w:tblLook w:val="04A0" w:firstRow="1" w:lastRow="0" w:firstColumn="1" w:lastColumn="0" w:noHBand="0" w:noVBand="1"/>
      </w:tblPr>
      <w:tblGrid>
        <w:gridCol w:w="2345"/>
        <w:gridCol w:w="1843"/>
        <w:gridCol w:w="1525"/>
        <w:gridCol w:w="1717"/>
        <w:gridCol w:w="1182"/>
      </w:tblGrid>
      <w:tr w:rsidR="008375C0" w:rsidRPr="002F7FAF" w:rsidTr="0074384F">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100" w:firstRow="0" w:lastRow="0" w:firstColumn="1" w:lastColumn="0" w:oddVBand="0" w:evenVBand="0" w:oddHBand="0" w:evenHBand="0" w:firstRowFirstColumn="1" w:firstRowLastColumn="0" w:lastRowFirstColumn="0" w:lastRowLastColumn="0"/>
            <w:tcW w:w="2345" w:type="dxa"/>
            <w:noWrap/>
            <w:vAlign w:val="center"/>
            <w:hideMark/>
          </w:tcPr>
          <w:p w:rsidR="008375C0" w:rsidRPr="002F7FAF" w:rsidRDefault="009D1B2C" w:rsidP="00561491">
            <w:pPr>
              <w:keepNext/>
              <w:jc w:val="center"/>
              <w:rPr>
                <w:rFonts w:eastAsia="Times New Roman" w:cstheme="minorHAnsi"/>
                <w:bCs w:val="0"/>
                <w:i/>
                <w:sz w:val="20"/>
                <w:szCs w:val="20"/>
                <w:lang w:val="en-US" w:eastAsia="pl-PL"/>
              </w:rPr>
            </w:pPr>
            <w:r w:rsidRPr="002F7FAF">
              <w:rPr>
                <w:rFonts w:eastAsia="Times New Roman" w:cstheme="minorHAnsi"/>
                <w:i/>
                <w:sz w:val="20"/>
                <w:szCs w:val="20"/>
                <w:lang w:val="en-US" w:eastAsia="pl-PL"/>
              </w:rPr>
              <w:t>NO</w:t>
            </w:r>
            <w:r w:rsidRPr="009D1B2C">
              <w:rPr>
                <w:rFonts w:eastAsia="Times New Roman" w:cstheme="minorHAnsi"/>
                <w:i/>
                <w:sz w:val="20"/>
                <w:szCs w:val="20"/>
                <w:vertAlign w:val="subscript"/>
                <w:lang w:val="en-US" w:eastAsia="pl-PL"/>
              </w:rPr>
              <w:t>X</w:t>
            </w:r>
          </w:p>
        </w:tc>
        <w:tc>
          <w:tcPr>
            <w:tcW w:w="1843" w:type="dxa"/>
            <w:vAlign w:val="center"/>
            <w:hideMark/>
          </w:tcPr>
          <w:p w:rsidR="008375C0" w:rsidRPr="002F7FAF" w:rsidRDefault="008375C0" w:rsidP="00561491">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i/>
                <w:sz w:val="20"/>
                <w:szCs w:val="20"/>
                <w:lang w:val="en-US" w:eastAsia="pl-PL"/>
              </w:rPr>
            </w:pPr>
            <w:r w:rsidRPr="002F7FAF">
              <w:rPr>
                <w:rFonts w:eastAsia="Times New Roman" w:cstheme="minorHAnsi"/>
                <w:i/>
                <w:sz w:val="20"/>
                <w:szCs w:val="20"/>
                <w:lang w:val="en-US" w:eastAsia="pl-PL"/>
              </w:rPr>
              <w:t>2010 emission [</w:t>
            </w:r>
            <w:proofErr w:type="spellStart"/>
            <w:r w:rsidRPr="002F7FAF">
              <w:rPr>
                <w:rFonts w:eastAsia="Times New Roman" w:cstheme="minorHAnsi"/>
                <w:i/>
                <w:sz w:val="20"/>
                <w:szCs w:val="20"/>
                <w:lang w:val="en-US" w:eastAsia="pl-PL"/>
              </w:rPr>
              <w:t>Gg</w:t>
            </w:r>
            <w:proofErr w:type="spellEnd"/>
            <w:r w:rsidRPr="002F7FAF">
              <w:rPr>
                <w:rFonts w:eastAsia="Times New Roman" w:cstheme="minorHAnsi"/>
                <w:i/>
                <w:sz w:val="20"/>
                <w:szCs w:val="20"/>
                <w:lang w:val="en-US" w:eastAsia="pl-PL"/>
              </w:rPr>
              <w:t>]</w:t>
            </w:r>
          </w:p>
        </w:tc>
        <w:tc>
          <w:tcPr>
            <w:tcW w:w="1525" w:type="dxa"/>
            <w:vAlign w:val="center"/>
            <w:hideMark/>
          </w:tcPr>
          <w:p w:rsidR="008375C0" w:rsidRPr="002F7FAF" w:rsidRDefault="008375C0" w:rsidP="00561491">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i/>
                <w:sz w:val="20"/>
                <w:szCs w:val="20"/>
                <w:lang w:val="en-US" w:eastAsia="pl-PL"/>
              </w:rPr>
            </w:pPr>
            <w:r w:rsidRPr="002F7FAF">
              <w:rPr>
                <w:rFonts w:eastAsia="Times New Roman" w:cstheme="minorHAnsi"/>
                <w:i/>
                <w:sz w:val="20"/>
                <w:szCs w:val="20"/>
                <w:lang w:val="en-US" w:eastAsia="pl-PL"/>
              </w:rPr>
              <w:t>GP ceilings [</w:t>
            </w:r>
            <w:proofErr w:type="spellStart"/>
            <w:r w:rsidRPr="002F7FAF">
              <w:rPr>
                <w:rFonts w:eastAsia="Times New Roman" w:cstheme="minorHAnsi"/>
                <w:i/>
                <w:sz w:val="20"/>
                <w:szCs w:val="20"/>
                <w:lang w:val="en-US" w:eastAsia="pl-PL"/>
              </w:rPr>
              <w:t>Gg</w:t>
            </w:r>
            <w:proofErr w:type="spellEnd"/>
            <w:r w:rsidRPr="002F7FAF">
              <w:rPr>
                <w:rFonts w:eastAsia="Times New Roman" w:cstheme="minorHAnsi"/>
                <w:i/>
                <w:sz w:val="20"/>
                <w:szCs w:val="20"/>
                <w:lang w:val="en-US" w:eastAsia="pl-PL"/>
              </w:rPr>
              <w:t>]</w:t>
            </w:r>
          </w:p>
        </w:tc>
        <w:tc>
          <w:tcPr>
            <w:tcW w:w="1717" w:type="dxa"/>
            <w:vAlign w:val="center"/>
            <w:hideMark/>
          </w:tcPr>
          <w:p w:rsidR="008375C0" w:rsidRPr="002F7FAF" w:rsidRDefault="008375C0" w:rsidP="00561491">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i/>
                <w:sz w:val="20"/>
                <w:szCs w:val="20"/>
                <w:lang w:val="en-US" w:eastAsia="pl-PL"/>
              </w:rPr>
            </w:pPr>
            <w:r w:rsidRPr="002F7FAF">
              <w:rPr>
                <w:rFonts w:eastAsia="Times New Roman" w:cstheme="minorHAnsi"/>
                <w:i/>
                <w:sz w:val="20"/>
                <w:szCs w:val="20"/>
                <w:lang w:val="en-US" w:eastAsia="pl-PL"/>
              </w:rPr>
              <w:t>Distance to target</w:t>
            </w:r>
          </w:p>
        </w:tc>
        <w:tc>
          <w:tcPr>
            <w:tcW w:w="1182" w:type="dxa"/>
            <w:noWrap/>
            <w:vAlign w:val="center"/>
            <w:hideMark/>
          </w:tcPr>
          <w:p w:rsidR="008375C0" w:rsidRPr="002F7FAF" w:rsidRDefault="008375C0" w:rsidP="00561491">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i/>
                <w:sz w:val="20"/>
                <w:szCs w:val="20"/>
                <w:lang w:val="en-US" w:eastAsia="pl-PL"/>
              </w:rPr>
            </w:pPr>
            <w:r w:rsidRPr="002F7FAF">
              <w:rPr>
                <w:rFonts w:eastAsia="Times New Roman" w:cstheme="minorHAnsi"/>
                <w:i/>
                <w:sz w:val="20"/>
                <w:szCs w:val="20"/>
                <w:lang w:val="en-US" w:eastAsia="pl-PL"/>
              </w:rPr>
              <w:t>Compliance</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Belgium</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221</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181</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22%</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0000"/>
                <w:sz w:val="20"/>
                <w:szCs w:val="20"/>
                <w:lang w:val="en-US" w:eastAsia="pl-PL"/>
              </w:rPr>
            </w:pPr>
            <w:r w:rsidRPr="002F7FAF">
              <w:rPr>
                <w:rFonts w:eastAsia="Times New Roman" w:cstheme="minorHAnsi"/>
                <w:b/>
                <w:bCs/>
                <w:color w:val="FF0000"/>
                <w:sz w:val="20"/>
                <w:szCs w:val="20"/>
                <w:lang w:val="en-US" w:eastAsia="pl-PL"/>
              </w:rPr>
              <w:t>No</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Bulgaria</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115</w:t>
            </w: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266</w:t>
            </w:r>
          </w:p>
        </w:tc>
        <w:tc>
          <w:tcPr>
            <w:tcW w:w="1717" w:type="dxa"/>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-57%</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Croatia</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71</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87</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-19%</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Cyprus</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18</w:t>
            </w: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23</w:t>
            </w:r>
          </w:p>
        </w:tc>
        <w:tc>
          <w:tcPr>
            <w:tcW w:w="1717" w:type="dxa"/>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-22%</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Czech Republic</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239</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286</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-16%</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Denmark</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129</w:t>
            </w: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127</w:t>
            </w:r>
          </w:p>
        </w:tc>
        <w:tc>
          <w:tcPr>
            <w:tcW w:w="1717" w:type="dxa"/>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0000"/>
                <w:sz w:val="20"/>
                <w:szCs w:val="20"/>
                <w:lang w:val="en-US" w:eastAsia="pl-PL"/>
              </w:rPr>
            </w:pPr>
            <w:r w:rsidRPr="002F7FAF">
              <w:rPr>
                <w:rFonts w:eastAsia="Times New Roman" w:cstheme="minorHAnsi"/>
                <w:b/>
                <w:bCs/>
                <w:color w:val="FF0000"/>
                <w:sz w:val="20"/>
                <w:szCs w:val="20"/>
                <w:lang w:val="en-US" w:eastAsia="pl-PL"/>
              </w:rPr>
              <w:t>No</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Finland</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167</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170</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France</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1080</w:t>
            </w: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860</w:t>
            </w:r>
          </w:p>
        </w:tc>
        <w:tc>
          <w:tcPr>
            <w:tcW w:w="1717" w:type="dxa"/>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26%</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0000"/>
                <w:sz w:val="20"/>
                <w:szCs w:val="20"/>
                <w:lang w:val="en-US" w:eastAsia="pl-PL"/>
              </w:rPr>
            </w:pPr>
            <w:r w:rsidRPr="002F7FAF">
              <w:rPr>
                <w:rFonts w:eastAsia="Times New Roman" w:cstheme="minorHAnsi"/>
                <w:b/>
                <w:bCs/>
                <w:color w:val="FF0000"/>
                <w:sz w:val="20"/>
                <w:szCs w:val="20"/>
                <w:lang w:val="en-US" w:eastAsia="pl-PL"/>
              </w:rPr>
              <w:t>No</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Germany</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1323</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1081</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22%</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0000"/>
                <w:sz w:val="20"/>
                <w:szCs w:val="20"/>
                <w:lang w:val="en-US" w:eastAsia="pl-PL"/>
              </w:rPr>
            </w:pPr>
            <w:r w:rsidRPr="002F7FAF">
              <w:rPr>
                <w:rFonts w:eastAsia="Times New Roman" w:cstheme="minorHAnsi"/>
                <w:b/>
                <w:bCs/>
                <w:color w:val="FF0000"/>
                <w:sz w:val="20"/>
                <w:szCs w:val="20"/>
                <w:lang w:val="en-US" w:eastAsia="pl-PL"/>
              </w:rPr>
              <w:t>No</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Hungary</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162</w:t>
            </w: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198</w:t>
            </w:r>
          </w:p>
        </w:tc>
        <w:tc>
          <w:tcPr>
            <w:tcW w:w="1717" w:type="dxa"/>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-18%</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Latvia</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34</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84</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-60%</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Lithuania</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58</w:t>
            </w: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110</w:t>
            </w:r>
          </w:p>
        </w:tc>
        <w:tc>
          <w:tcPr>
            <w:tcW w:w="1717" w:type="dxa"/>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-47%</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Luxembourg</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46</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11</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320%</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0000"/>
                <w:sz w:val="20"/>
                <w:szCs w:val="20"/>
                <w:lang w:val="en-US" w:eastAsia="pl-PL"/>
              </w:rPr>
            </w:pPr>
            <w:r w:rsidRPr="002F7FAF">
              <w:rPr>
                <w:rFonts w:eastAsia="Times New Roman" w:cstheme="minorHAnsi"/>
                <w:b/>
                <w:bCs/>
                <w:color w:val="FF0000"/>
                <w:sz w:val="20"/>
                <w:szCs w:val="20"/>
                <w:lang w:val="en-US" w:eastAsia="pl-PL"/>
              </w:rPr>
              <w:t>No</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Netherlands</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276</w:t>
            </w: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266</w:t>
            </w:r>
          </w:p>
        </w:tc>
        <w:tc>
          <w:tcPr>
            <w:tcW w:w="1717" w:type="dxa"/>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4%</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0000"/>
                <w:sz w:val="20"/>
                <w:szCs w:val="20"/>
                <w:lang w:val="en-US" w:eastAsia="pl-PL"/>
              </w:rPr>
            </w:pPr>
            <w:r w:rsidRPr="002F7FAF">
              <w:rPr>
                <w:rFonts w:eastAsia="Times New Roman" w:cstheme="minorHAnsi"/>
                <w:b/>
                <w:bCs/>
                <w:color w:val="FF0000"/>
                <w:sz w:val="20"/>
                <w:szCs w:val="20"/>
                <w:lang w:val="en-US" w:eastAsia="pl-PL"/>
              </w:rPr>
              <w:t>No</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Norway</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184</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156</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18%</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0000"/>
                <w:sz w:val="20"/>
                <w:szCs w:val="20"/>
                <w:lang w:val="en-US" w:eastAsia="pl-PL"/>
              </w:rPr>
            </w:pPr>
            <w:r w:rsidRPr="002F7FAF">
              <w:rPr>
                <w:rFonts w:eastAsia="Times New Roman" w:cstheme="minorHAnsi"/>
                <w:b/>
                <w:bCs/>
                <w:color w:val="FF0000"/>
                <w:sz w:val="20"/>
                <w:szCs w:val="20"/>
                <w:lang w:val="en-US" w:eastAsia="pl-PL"/>
              </w:rPr>
              <w:t>No</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Portugal</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186</w:t>
            </w: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260</w:t>
            </w:r>
          </w:p>
        </w:tc>
        <w:tc>
          <w:tcPr>
            <w:tcW w:w="1717" w:type="dxa"/>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-28%</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Romania</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272</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437</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-38%</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Slovakia</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89</w:t>
            </w: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130</w:t>
            </w:r>
          </w:p>
        </w:tc>
        <w:tc>
          <w:tcPr>
            <w:tcW w:w="1717" w:type="dxa"/>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-32%</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Slovenia</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45</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45</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0%</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Spain</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890</w:t>
            </w: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847</w:t>
            </w:r>
          </w:p>
        </w:tc>
        <w:tc>
          <w:tcPr>
            <w:tcW w:w="1717" w:type="dxa"/>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5%</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0000"/>
                <w:sz w:val="20"/>
                <w:szCs w:val="20"/>
                <w:lang w:val="en-US" w:eastAsia="pl-PL"/>
              </w:rPr>
            </w:pPr>
            <w:r w:rsidRPr="002F7FAF">
              <w:rPr>
                <w:rFonts w:eastAsia="Times New Roman" w:cstheme="minorHAnsi"/>
                <w:b/>
                <w:bCs/>
                <w:color w:val="FF0000"/>
                <w:sz w:val="20"/>
                <w:szCs w:val="20"/>
                <w:lang w:val="en-US" w:eastAsia="pl-PL"/>
              </w:rPr>
              <w:t>No</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Sweden</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161</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148</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9%</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0000"/>
                <w:sz w:val="20"/>
                <w:szCs w:val="20"/>
                <w:lang w:val="en-US" w:eastAsia="pl-PL"/>
              </w:rPr>
            </w:pPr>
            <w:r w:rsidRPr="002F7FAF">
              <w:rPr>
                <w:rFonts w:eastAsia="Times New Roman" w:cstheme="minorHAnsi"/>
                <w:b/>
                <w:bCs/>
                <w:color w:val="FF0000"/>
                <w:sz w:val="20"/>
                <w:szCs w:val="20"/>
                <w:lang w:val="en-US" w:eastAsia="pl-PL"/>
              </w:rPr>
              <w:t>No</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Switzerland</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79</w:t>
            </w: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79</w:t>
            </w:r>
          </w:p>
        </w:tc>
        <w:tc>
          <w:tcPr>
            <w:tcW w:w="1717" w:type="dxa"/>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0%</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United Kingdom</w:t>
            </w:r>
          </w:p>
        </w:tc>
        <w:tc>
          <w:tcPr>
            <w:tcW w:w="1843"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1106</w:t>
            </w:r>
          </w:p>
        </w:tc>
        <w:tc>
          <w:tcPr>
            <w:tcW w:w="1525"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1181</w:t>
            </w:r>
          </w:p>
        </w:tc>
        <w:tc>
          <w:tcPr>
            <w:tcW w:w="1717" w:type="dxa"/>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-6%</w:t>
            </w:r>
          </w:p>
        </w:tc>
        <w:tc>
          <w:tcPr>
            <w:tcW w:w="1182" w:type="dxa"/>
            <w:noWrap/>
            <w:vAlign w:val="center"/>
            <w:hideMark/>
          </w:tcPr>
          <w:p w:rsidR="008375C0" w:rsidRPr="002F7FAF" w:rsidRDefault="008375C0" w:rsidP="00561491">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00B050"/>
                <w:sz w:val="20"/>
                <w:szCs w:val="20"/>
                <w:lang w:val="en-US" w:eastAsia="pl-PL"/>
              </w:rPr>
              <w:t>Yes</w:t>
            </w:r>
          </w:p>
        </w:tc>
      </w:tr>
      <w:tr w:rsidR="008375C0" w:rsidRPr="002F7FAF" w:rsidTr="0074384F">
        <w:trPr>
          <w:trHeight w:val="255"/>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561491">
            <w:pPr>
              <w:keepNext/>
              <w:jc w:val="center"/>
              <w:rPr>
                <w:rFonts w:eastAsia="Times New Roman" w:cstheme="minorHAnsi"/>
                <w:sz w:val="20"/>
                <w:szCs w:val="20"/>
                <w:lang w:val="en-US" w:eastAsia="pl-PL"/>
              </w:rPr>
            </w:pPr>
            <w:r w:rsidRPr="002F7FAF">
              <w:rPr>
                <w:rFonts w:eastAsia="Times New Roman" w:cstheme="minorHAnsi"/>
                <w:sz w:val="20"/>
                <w:szCs w:val="20"/>
                <w:lang w:val="en-US" w:eastAsia="pl-PL"/>
              </w:rPr>
              <w:t>U</w:t>
            </w:r>
            <w:r w:rsidR="00496414" w:rsidRPr="002F7FAF">
              <w:rPr>
                <w:rFonts w:eastAsia="Times New Roman" w:cstheme="minorHAnsi"/>
                <w:sz w:val="20"/>
                <w:szCs w:val="20"/>
                <w:lang w:val="en-US" w:eastAsia="pl-PL"/>
              </w:rPr>
              <w:t xml:space="preserve">nited </w:t>
            </w:r>
            <w:r w:rsidRPr="002F7FAF">
              <w:rPr>
                <w:rFonts w:eastAsia="Times New Roman" w:cstheme="minorHAnsi"/>
                <w:sz w:val="20"/>
                <w:szCs w:val="20"/>
                <w:lang w:val="en-US" w:eastAsia="pl-PL"/>
              </w:rPr>
              <w:t>S</w:t>
            </w:r>
            <w:r w:rsidR="00496414" w:rsidRPr="002F7FAF">
              <w:rPr>
                <w:rFonts w:eastAsia="Times New Roman" w:cstheme="minorHAnsi"/>
                <w:sz w:val="20"/>
                <w:szCs w:val="20"/>
                <w:lang w:val="en-US" w:eastAsia="pl-PL"/>
              </w:rPr>
              <w:t>tates of America</w:t>
            </w:r>
          </w:p>
        </w:tc>
        <w:tc>
          <w:tcPr>
            <w:tcW w:w="1843"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p>
        </w:tc>
        <w:tc>
          <w:tcPr>
            <w:tcW w:w="1525"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6897</w:t>
            </w:r>
          </w:p>
        </w:tc>
        <w:tc>
          <w:tcPr>
            <w:tcW w:w="1717"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w:t>
            </w:r>
          </w:p>
        </w:tc>
        <w:tc>
          <w:tcPr>
            <w:tcW w:w="1182" w:type="dxa"/>
            <w:noWrap/>
            <w:vAlign w:val="center"/>
            <w:hideMark/>
          </w:tcPr>
          <w:p w:rsidR="008375C0" w:rsidRPr="002F7FAF" w:rsidRDefault="008375C0" w:rsidP="00561491">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w:t>
            </w:r>
          </w:p>
        </w:tc>
      </w:tr>
      <w:tr w:rsidR="008375C0" w:rsidRPr="002F7FAF" w:rsidTr="0074384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rsidR="008375C0" w:rsidRPr="002F7FAF" w:rsidRDefault="008375C0" w:rsidP="002F7FAF">
            <w:pPr>
              <w:jc w:val="center"/>
              <w:rPr>
                <w:rFonts w:eastAsia="Times New Roman" w:cstheme="minorHAnsi"/>
                <w:sz w:val="20"/>
                <w:szCs w:val="20"/>
                <w:lang w:val="en-US" w:eastAsia="pl-PL"/>
              </w:rPr>
            </w:pPr>
            <w:r w:rsidRPr="002F7FAF">
              <w:rPr>
                <w:rFonts w:eastAsia="Times New Roman" w:cstheme="minorHAnsi"/>
                <w:sz w:val="20"/>
                <w:szCs w:val="20"/>
                <w:lang w:val="en-US" w:eastAsia="pl-PL"/>
              </w:rPr>
              <w:t>EU-15</w:t>
            </w:r>
          </w:p>
        </w:tc>
        <w:tc>
          <w:tcPr>
            <w:tcW w:w="1843" w:type="dxa"/>
            <w:noWrap/>
            <w:vAlign w:val="center"/>
            <w:hideMark/>
          </w:tcPr>
          <w:p w:rsidR="008375C0" w:rsidRPr="002F7FAF" w:rsidRDefault="008375C0" w:rsidP="002F7F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7219</w:t>
            </w:r>
          </w:p>
        </w:tc>
        <w:tc>
          <w:tcPr>
            <w:tcW w:w="1525" w:type="dxa"/>
            <w:noWrap/>
            <w:vAlign w:val="center"/>
            <w:hideMark/>
          </w:tcPr>
          <w:p w:rsidR="008375C0" w:rsidRPr="002F7FAF" w:rsidRDefault="008375C0" w:rsidP="002F7F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6671</w:t>
            </w:r>
          </w:p>
        </w:tc>
        <w:tc>
          <w:tcPr>
            <w:tcW w:w="1717" w:type="dxa"/>
            <w:vAlign w:val="center"/>
            <w:hideMark/>
          </w:tcPr>
          <w:p w:rsidR="008375C0" w:rsidRPr="002F7FAF" w:rsidRDefault="008375C0" w:rsidP="002F7F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2F7FAF">
              <w:rPr>
                <w:rFonts w:eastAsia="Times New Roman" w:cstheme="minorHAnsi"/>
                <w:sz w:val="20"/>
                <w:szCs w:val="20"/>
                <w:lang w:val="en-US" w:eastAsia="pl-PL"/>
              </w:rPr>
              <w:t>8%</w:t>
            </w:r>
          </w:p>
        </w:tc>
        <w:tc>
          <w:tcPr>
            <w:tcW w:w="1182" w:type="dxa"/>
            <w:noWrap/>
            <w:vAlign w:val="center"/>
            <w:hideMark/>
          </w:tcPr>
          <w:p w:rsidR="008375C0" w:rsidRPr="002F7FAF" w:rsidRDefault="002D2B04" w:rsidP="002F7F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20"/>
                <w:szCs w:val="20"/>
                <w:lang w:val="en-US" w:eastAsia="pl-PL"/>
              </w:rPr>
            </w:pPr>
            <w:r w:rsidRPr="002F7FAF">
              <w:rPr>
                <w:rFonts w:eastAsia="Times New Roman" w:cstheme="minorHAnsi"/>
                <w:b/>
                <w:bCs/>
                <w:color w:val="FF0000"/>
                <w:sz w:val="20"/>
                <w:szCs w:val="20"/>
                <w:lang w:val="en-US" w:eastAsia="pl-PL"/>
              </w:rPr>
              <w:t>No</w:t>
            </w:r>
          </w:p>
        </w:tc>
      </w:tr>
    </w:tbl>
    <w:p w:rsidR="00A452A5" w:rsidRDefault="00A452A5" w:rsidP="00A452A5">
      <w:pPr>
        <w:spacing w:before="120" w:after="120"/>
        <w:ind w:right="96"/>
        <w:jc w:val="both"/>
        <w:rPr>
          <w:color w:val="000000" w:themeColor="text1"/>
          <w:lang w:val="en-US"/>
        </w:rPr>
      </w:pPr>
      <w:r>
        <w:rPr>
          <w:color w:val="000000" w:themeColor="text1"/>
          <w:lang w:val="en-US"/>
        </w:rPr>
        <w:t>35.</w:t>
      </w:r>
      <w:r>
        <w:rPr>
          <w:color w:val="000000" w:themeColor="text1"/>
          <w:lang w:val="en-US"/>
        </w:rPr>
        <w:tab/>
      </w:r>
      <w:r w:rsidRPr="0093482F">
        <w:rPr>
          <w:color w:val="000000" w:themeColor="text1"/>
          <w:lang w:val="en-US"/>
        </w:rPr>
        <w:t xml:space="preserve">According to the recently reported data (CEIP, 2012) nine Parties to the CLRTAP, including eight EU Member States, failed to reduce their nitrogen oxides emissions below the 2010 national ceilings (Table </w:t>
      </w:r>
      <w:r>
        <w:rPr>
          <w:color w:val="000000" w:themeColor="text1"/>
          <w:lang w:val="en-US"/>
        </w:rPr>
        <w:t>4</w:t>
      </w:r>
      <w:r w:rsidRPr="0093482F">
        <w:rPr>
          <w:color w:val="000000" w:themeColor="text1"/>
          <w:lang w:val="en-US"/>
        </w:rPr>
        <w:t>) set in the Gothenburg Protocol. On the same issue, EEA announced that eleven Member States failed to reduce their air pollutant emissions set in the NEC Directive (EEA, 2012b). A few EU-15 “old” Member States also missed their targets for the other pollutants included in the Gothenburg Protocol. On the other hand, all new EU Member States (EU-12) have met their emission ceilings for all pollutants covered in it.</w:t>
      </w:r>
    </w:p>
    <w:p w:rsidR="00A452A5" w:rsidRDefault="00A452A5" w:rsidP="00A452A5">
      <w:pPr>
        <w:spacing w:before="120" w:after="120"/>
        <w:ind w:right="96"/>
        <w:jc w:val="both"/>
        <w:rPr>
          <w:color w:val="000000" w:themeColor="text1"/>
          <w:lang w:val="en-US"/>
        </w:rPr>
      </w:pPr>
      <w:r>
        <w:rPr>
          <w:color w:val="000000" w:themeColor="text1"/>
          <w:lang w:val="en-US"/>
        </w:rPr>
        <w:t>36</w:t>
      </w:r>
      <w:r w:rsidRPr="0093482F">
        <w:rPr>
          <w:color w:val="000000" w:themeColor="text1"/>
          <w:lang w:val="en-US"/>
        </w:rPr>
        <w:t>.</w:t>
      </w:r>
      <w:r w:rsidRPr="0093482F">
        <w:rPr>
          <w:color w:val="000000" w:themeColor="text1"/>
          <w:lang w:val="en-US"/>
        </w:rPr>
        <w:tab/>
        <w:t>The tenth Party that missed its NO</w:t>
      </w:r>
      <w:r w:rsidRPr="00511DFA">
        <w:rPr>
          <w:color w:val="000000" w:themeColor="text1"/>
          <w:vertAlign w:val="subscript"/>
          <w:lang w:val="en-US"/>
        </w:rPr>
        <w:t>X</w:t>
      </w:r>
      <w:r w:rsidRPr="0093482F">
        <w:rPr>
          <w:color w:val="000000" w:themeColor="text1"/>
          <w:lang w:val="en-US"/>
        </w:rPr>
        <w:t xml:space="preserve"> target is the EU-15 that itself is a Party to the Gothenburg Protocol. Moreover, Austria and Ireland that - up till now - have not ratified the Protocol and therefore are not listed in Table 6, also missed their 2010 NO</w:t>
      </w:r>
      <w:r w:rsidRPr="00A90A82">
        <w:rPr>
          <w:color w:val="000000" w:themeColor="text1"/>
          <w:vertAlign w:val="subscript"/>
          <w:lang w:val="en-US"/>
        </w:rPr>
        <w:t>X</w:t>
      </w:r>
      <w:r w:rsidRPr="0093482F">
        <w:rPr>
          <w:color w:val="000000" w:themeColor="text1"/>
          <w:lang w:val="en-US"/>
        </w:rPr>
        <w:t xml:space="preserve"> ceilings by 76 and 15%, </w:t>
      </w:r>
      <w:r w:rsidRPr="0093482F">
        <w:rPr>
          <w:color w:val="000000" w:themeColor="text1"/>
          <w:lang w:val="en-US"/>
        </w:rPr>
        <w:lastRenderedPageBreak/>
        <w:t xml:space="preserve">respectively. The two Parties provided their respective ceilings (107 and 65 </w:t>
      </w:r>
      <w:proofErr w:type="spellStart"/>
      <w:r w:rsidRPr="0093482F">
        <w:rPr>
          <w:color w:val="000000" w:themeColor="text1"/>
          <w:lang w:val="en-US"/>
        </w:rPr>
        <w:t>Gg</w:t>
      </w:r>
      <w:proofErr w:type="spellEnd"/>
      <w:r w:rsidRPr="0093482F">
        <w:rPr>
          <w:color w:val="000000" w:themeColor="text1"/>
          <w:lang w:val="en-US"/>
        </w:rPr>
        <w:t>) when signing the Gothenburg Protocol (GP) in 1999.</w:t>
      </w:r>
    </w:p>
    <w:p w:rsidR="00A452A5" w:rsidRPr="0093482F" w:rsidRDefault="00A452A5" w:rsidP="00A452A5">
      <w:pPr>
        <w:spacing w:before="120" w:after="120"/>
        <w:ind w:right="96"/>
        <w:jc w:val="both"/>
        <w:rPr>
          <w:color w:val="000000" w:themeColor="text1"/>
          <w:lang w:val="en-US"/>
        </w:rPr>
      </w:pPr>
      <w:r>
        <w:rPr>
          <w:color w:val="000000" w:themeColor="text1"/>
          <w:lang w:val="en-US"/>
        </w:rPr>
        <w:t>37</w:t>
      </w:r>
      <w:r w:rsidRPr="0093482F">
        <w:rPr>
          <w:color w:val="000000" w:themeColor="text1"/>
          <w:lang w:val="en-US"/>
        </w:rPr>
        <w:t>.</w:t>
      </w:r>
      <w:r w:rsidRPr="0093482F">
        <w:rPr>
          <w:color w:val="000000" w:themeColor="text1"/>
          <w:lang w:val="en-US"/>
        </w:rPr>
        <w:tab/>
        <w:t>The figures for EU-15, ten EU Member States, and Norway that missed their GP ceilings for NO</w:t>
      </w:r>
      <w:r w:rsidRPr="00A90A82">
        <w:rPr>
          <w:color w:val="000000" w:themeColor="text1"/>
          <w:vertAlign w:val="subscript"/>
          <w:lang w:val="en-US"/>
        </w:rPr>
        <w:t>X</w:t>
      </w:r>
      <w:r w:rsidRPr="0093482F">
        <w:rPr>
          <w:color w:val="000000" w:themeColor="text1"/>
          <w:lang w:val="en-US"/>
        </w:rPr>
        <w:t xml:space="preserve"> in 2010 are shown in decreasing order in Table </w:t>
      </w:r>
      <w:r>
        <w:rPr>
          <w:color w:val="000000" w:themeColor="text1"/>
          <w:lang w:val="en-US"/>
        </w:rPr>
        <w:t>5</w:t>
      </w:r>
      <w:r w:rsidRPr="0093482F">
        <w:rPr>
          <w:color w:val="000000" w:themeColor="text1"/>
          <w:lang w:val="en-US"/>
        </w:rPr>
        <w:t xml:space="preserve">. The ten EU Member </w:t>
      </w:r>
      <w:r w:rsidRPr="00827F74">
        <w:rPr>
          <w:color w:val="000000" w:themeColor="text1"/>
          <w:lang w:val="en-US"/>
        </w:rPr>
        <w:t>States</w:t>
      </w:r>
      <w:r w:rsidRPr="0093482F">
        <w:rPr>
          <w:color w:val="000000" w:themeColor="text1"/>
          <w:lang w:val="en-US"/>
        </w:rPr>
        <w:t xml:space="preserve"> listed in Table 7 made up a 49% share of the EU-27 NO</w:t>
      </w:r>
      <w:r w:rsidRPr="00511DFA">
        <w:rPr>
          <w:color w:val="000000" w:themeColor="text1"/>
          <w:vertAlign w:val="subscript"/>
          <w:lang w:val="en-US"/>
        </w:rPr>
        <w:t>X</w:t>
      </w:r>
      <w:r w:rsidRPr="0093482F">
        <w:rPr>
          <w:color w:val="000000" w:themeColor="text1"/>
          <w:lang w:val="en-US"/>
        </w:rPr>
        <w:t xml:space="preserve"> emissions in 2010 (EEA, 2012a).</w:t>
      </w:r>
    </w:p>
    <w:p w:rsidR="00E17725" w:rsidRPr="00C50379" w:rsidRDefault="00E17725" w:rsidP="0074384F">
      <w:pPr>
        <w:keepNext/>
        <w:spacing w:before="120" w:after="120"/>
        <w:ind w:right="96"/>
        <w:jc w:val="both"/>
        <w:rPr>
          <w:b/>
          <w:lang w:val="en-US"/>
        </w:rPr>
      </w:pPr>
      <w:r w:rsidRPr="00C50379">
        <w:rPr>
          <w:b/>
          <w:lang w:val="en-US"/>
        </w:rPr>
        <w:t xml:space="preserve">Table </w:t>
      </w:r>
      <w:r w:rsidR="000054D4" w:rsidRPr="00C50379">
        <w:rPr>
          <w:b/>
          <w:lang w:val="en-US"/>
        </w:rPr>
        <w:t>5</w:t>
      </w:r>
      <w:r w:rsidRPr="00C50379">
        <w:rPr>
          <w:b/>
          <w:lang w:val="en-US"/>
        </w:rPr>
        <w:t>.</w:t>
      </w:r>
      <w:r w:rsidR="00496414" w:rsidRPr="00C50379">
        <w:rPr>
          <w:b/>
          <w:lang w:val="en-US"/>
        </w:rPr>
        <w:t xml:space="preserve"> Distance to target of 2010 </w:t>
      </w:r>
      <w:r w:rsidR="0050119F" w:rsidRPr="00C50379">
        <w:rPr>
          <w:b/>
          <w:lang w:val="en-US"/>
        </w:rPr>
        <w:t>NO</w:t>
      </w:r>
      <w:r w:rsidR="0091135B" w:rsidRPr="00C50379">
        <w:rPr>
          <w:b/>
          <w:vertAlign w:val="subscript"/>
          <w:lang w:val="en-US"/>
        </w:rPr>
        <w:t>X</w:t>
      </w:r>
      <w:r w:rsidR="00496414" w:rsidRPr="00C50379">
        <w:rPr>
          <w:b/>
          <w:lang w:val="en-US"/>
        </w:rPr>
        <w:t xml:space="preserve"> emissions in the Gothenburg Protocol in deceasing order</w:t>
      </w:r>
    </w:p>
    <w:tbl>
      <w:tblPr>
        <w:tblStyle w:val="ColorfulShading-Accent5"/>
        <w:tblW w:w="7935" w:type="dxa"/>
        <w:jc w:val="center"/>
        <w:tblInd w:w="-1993" w:type="dxa"/>
        <w:tblLook w:val="04A0" w:firstRow="1" w:lastRow="0" w:firstColumn="1" w:lastColumn="0" w:noHBand="0" w:noVBand="1"/>
      </w:tblPr>
      <w:tblGrid>
        <w:gridCol w:w="2290"/>
        <w:gridCol w:w="1985"/>
        <w:gridCol w:w="1738"/>
        <w:gridCol w:w="1922"/>
      </w:tblGrid>
      <w:tr w:rsidR="006E798A" w:rsidRPr="00EC427D" w:rsidTr="00C50379">
        <w:trPr>
          <w:cnfStyle w:val="100000000000" w:firstRow="1" w:lastRow="0" w:firstColumn="0" w:lastColumn="0" w:oddVBand="0" w:evenVBand="0" w:oddHBand="0" w:evenHBand="0" w:firstRowFirstColumn="0" w:firstRowLastColumn="0" w:lastRowFirstColumn="0" w:lastRowLastColumn="0"/>
          <w:trHeight w:val="80"/>
          <w:jc w:val="center"/>
        </w:trPr>
        <w:tc>
          <w:tcPr>
            <w:cnfStyle w:val="001000000100" w:firstRow="0" w:lastRow="0" w:firstColumn="1" w:lastColumn="0" w:oddVBand="0" w:evenVBand="0" w:oddHBand="0" w:evenHBand="0" w:firstRowFirstColumn="1" w:firstRowLastColumn="0" w:lastRowFirstColumn="0" w:lastRowLastColumn="0"/>
            <w:tcW w:w="2290" w:type="dxa"/>
            <w:noWrap/>
            <w:vAlign w:val="center"/>
            <w:hideMark/>
          </w:tcPr>
          <w:p w:rsidR="00477571" w:rsidRPr="00EC427D" w:rsidRDefault="00477571" w:rsidP="00C50379">
            <w:pPr>
              <w:keepNext/>
              <w:jc w:val="center"/>
              <w:rPr>
                <w:rFonts w:eastAsia="Times New Roman" w:cstheme="minorHAnsi"/>
                <w:i/>
                <w:iCs/>
                <w:sz w:val="20"/>
                <w:szCs w:val="20"/>
                <w:lang w:val="en-US" w:eastAsia="pl-PL"/>
              </w:rPr>
            </w:pPr>
            <w:r w:rsidRPr="00EC427D">
              <w:rPr>
                <w:rFonts w:eastAsia="Times New Roman" w:cstheme="minorHAnsi"/>
                <w:i/>
                <w:iCs/>
                <w:sz w:val="20"/>
                <w:szCs w:val="20"/>
                <w:lang w:val="en-US" w:eastAsia="pl-PL"/>
              </w:rPr>
              <w:t>NO</w:t>
            </w:r>
            <w:r w:rsidR="00A90A82" w:rsidRPr="00A90A82">
              <w:rPr>
                <w:rFonts w:eastAsia="Times New Roman" w:cstheme="minorHAnsi"/>
                <w:i/>
                <w:iCs/>
                <w:sz w:val="20"/>
                <w:szCs w:val="20"/>
                <w:vertAlign w:val="subscript"/>
                <w:lang w:val="en-US" w:eastAsia="pl-PL"/>
              </w:rPr>
              <w:t>X</w:t>
            </w:r>
          </w:p>
        </w:tc>
        <w:tc>
          <w:tcPr>
            <w:tcW w:w="1985" w:type="dxa"/>
            <w:vAlign w:val="center"/>
            <w:hideMark/>
          </w:tcPr>
          <w:p w:rsidR="00477571" w:rsidRPr="00EC427D" w:rsidRDefault="00477571" w:rsidP="00C50379">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sz w:val="20"/>
                <w:szCs w:val="20"/>
                <w:lang w:val="en-US" w:eastAsia="pl-PL"/>
              </w:rPr>
            </w:pPr>
            <w:r w:rsidRPr="00EC427D">
              <w:rPr>
                <w:rFonts w:eastAsia="Times New Roman" w:cstheme="minorHAnsi"/>
                <w:i/>
                <w:iCs/>
                <w:sz w:val="20"/>
                <w:szCs w:val="20"/>
                <w:lang w:val="en-US" w:eastAsia="pl-PL"/>
              </w:rPr>
              <w:t>2010 emission [</w:t>
            </w:r>
            <w:proofErr w:type="spellStart"/>
            <w:r w:rsidRPr="00EC427D">
              <w:rPr>
                <w:rFonts w:eastAsia="Times New Roman" w:cstheme="minorHAnsi"/>
                <w:i/>
                <w:iCs/>
                <w:sz w:val="20"/>
                <w:szCs w:val="20"/>
                <w:lang w:val="en-US" w:eastAsia="pl-PL"/>
              </w:rPr>
              <w:t>Gg</w:t>
            </w:r>
            <w:proofErr w:type="spellEnd"/>
            <w:r w:rsidRPr="00EC427D">
              <w:rPr>
                <w:rFonts w:eastAsia="Times New Roman" w:cstheme="minorHAnsi"/>
                <w:i/>
                <w:iCs/>
                <w:sz w:val="20"/>
                <w:szCs w:val="20"/>
                <w:lang w:val="en-US" w:eastAsia="pl-PL"/>
              </w:rPr>
              <w:t>]</w:t>
            </w:r>
          </w:p>
        </w:tc>
        <w:tc>
          <w:tcPr>
            <w:tcW w:w="1738" w:type="dxa"/>
            <w:vAlign w:val="center"/>
            <w:hideMark/>
          </w:tcPr>
          <w:p w:rsidR="00477571" w:rsidRPr="00EC427D" w:rsidRDefault="00477571" w:rsidP="00C50379">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sz w:val="20"/>
                <w:szCs w:val="20"/>
                <w:lang w:val="en-US" w:eastAsia="pl-PL"/>
              </w:rPr>
            </w:pPr>
            <w:r w:rsidRPr="00EC427D">
              <w:rPr>
                <w:rFonts w:eastAsia="Times New Roman" w:cstheme="minorHAnsi"/>
                <w:i/>
                <w:iCs/>
                <w:sz w:val="20"/>
                <w:szCs w:val="20"/>
                <w:lang w:val="en-US" w:eastAsia="pl-PL"/>
              </w:rPr>
              <w:t>GP ceilings [</w:t>
            </w:r>
            <w:proofErr w:type="spellStart"/>
            <w:r w:rsidRPr="00EC427D">
              <w:rPr>
                <w:rFonts w:eastAsia="Times New Roman" w:cstheme="minorHAnsi"/>
                <w:i/>
                <w:iCs/>
                <w:sz w:val="20"/>
                <w:szCs w:val="20"/>
                <w:lang w:val="en-US" w:eastAsia="pl-PL"/>
              </w:rPr>
              <w:t>Gg</w:t>
            </w:r>
            <w:proofErr w:type="spellEnd"/>
            <w:r w:rsidRPr="00EC427D">
              <w:rPr>
                <w:rFonts w:eastAsia="Times New Roman" w:cstheme="minorHAnsi"/>
                <w:i/>
                <w:iCs/>
                <w:sz w:val="20"/>
                <w:szCs w:val="20"/>
                <w:lang w:val="en-US" w:eastAsia="pl-PL"/>
              </w:rPr>
              <w:t>]</w:t>
            </w:r>
          </w:p>
        </w:tc>
        <w:tc>
          <w:tcPr>
            <w:tcW w:w="1922" w:type="dxa"/>
            <w:vAlign w:val="center"/>
            <w:hideMark/>
          </w:tcPr>
          <w:p w:rsidR="00477571" w:rsidRPr="00EC427D" w:rsidRDefault="00477571" w:rsidP="00C50379">
            <w:pPr>
              <w:keepNex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sz w:val="20"/>
                <w:szCs w:val="20"/>
                <w:lang w:val="en-US" w:eastAsia="pl-PL"/>
              </w:rPr>
            </w:pPr>
            <w:r w:rsidRPr="00EC427D">
              <w:rPr>
                <w:rFonts w:eastAsia="Times New Roman" w:cstheme="minorHAnsi"/>
                <w:i/>
                <w:iCs/>
                <w:sz w:val="20"/>
                <w:szCs w:val="20"/>
                <w:lang w:val="en-US" w:eastAsia="pl-PL"/>
              </w:rPr>
              <w:t>Distance to target</w:t>
            </w:r>
          </w:p>
        </w:tc>
      </w:tr>
      <w:tr w:rsidR="00477571" w:rsidRPr="00EC427D" w:rsidTr="00C503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hideMark/>
          </w:tcPr>
          <w:p w:rsidR="00477571" w:rsidRPr="00EC427D" w:rsidRDefault="00477571" w:rsidP="00C50379">
            <w:pPr>
              <w:keepNext/>
              <w:jc w:val="center"/>
              <w:rPr>
                <w:rFonts w:eastAsia="Times New Roman" w:cstheme="minorHAnsi"/>
                <w:sz w:val="20"/>
                <w:szCs w:val="20"/>
                <w:lang w:val="en-US" w:eastAsia="pl-PL"/>
              </w:rPr>
            </w:pPr>
            <w:r w:rsidRPr="00EC427D">
              <w:rPr>
                <w:rFonts w:eastAsia="Times New Roman" w:cstheme="minorHAnsi"/>
                <w:sz w:val="20"/>
                <w:szCs w:val="20"/>
                <w:lang w:val="en-US" w:eastAsia="pl-PL"/>
              </w:rPr>
              <w:t>Luxembourg</w:t>
            </w:r>
          </w:p>
        </w:tc>
        <w:tc>
          <w:tcPr>
            <w:tcW w:w="1985" w:type="dxa"/>
            <w:noWrap/>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46</w:t>
            </w:r>
          </w:p>
        </w:tc>
        <w:tc>
          <w:tcPr>
            <w:tcW w:w="1738" w:type="dxa"/>
            <w:noWrap/>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11</w:t>
            </w:r>
          </w:p>
        </w:tc>
        <w:tc>
          <w:tcPr>
            <w:tcW w:w="1922" w:type="dxa"/>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320%</w:t>
            </w:r>
          </w:p>
        </w:tc>
      </w:tr>
      <w:tr w:rsidR="002D2B04" w:rsidRPr="00EC427D" w:rsidTr="00C50379">
        <w:trPr>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tcPr>
          <w:p w:rsidR="002D2B04" w:rsidRPr="00EC427D" w:rsidRDefault="002D2B04" w:rsidP="00C50379">
            <w:pPr>
              <w:keepNext/>
              <w:jc w:val="center"/>
              <w:rPr>
                <w:rFonts w:eastAsia="Times New Roman" w:cstheme="minorHAnsi"/>
                <w:i/>
                <w:sz w:val="20"/>
                <w:szCs w:val="20"/>
                <w:lang w:val="en-US" w:eastAsia="pl-PL"/>
              </w:rPr>
            </w:pPr>
            <w:r w:rsidRPr="00EC427D">
              <w:rPr>
                <w:rFonts w:eastAsia="Times New Roman" w:cstheme="minorHAnsi"/>
                <w:i/>
                <w:sz w:val="20"/>
                <w:szCs w:val="20"/>
                <w:lang w:val="en-US" w:eastAsia="pl-PL"/>
              </w:rPr>
              <w:t>Austria</w:t>
            </w:r>
          </w:p>
        </w:tc>
        <w:tc>
          <w:tcPr>
            <w:tcW w:w="1985" w:type="dxa"/>
            <w:noWrap/>
          </w:tcPr>
          <w:p w:rsidR="002D2B04" w:rsidRPr="00EC427D" w:rsidRDefault="002D2B04"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sz w:val="20"/>
                <w:szCs w:val="20"/>
                <w:lang w:val="en-US" w:eastAsia="pl-PL"/>
              </w:rPr>
            </w:pPr>
            <w:r w:rsidRPr="00EC427D">
              <w:rPr>
                <w:rFonts w:eastAsia="Times New Roman" w:cstheme="minorHAnsi"/>
                <w:i/>
                <w:sz w:val="20"/>
                <w:szCs w:val="20"/>
                <w:lang w:val="en-US" w:eastAsia="pl-PL"/>
              </w:rPr>
              <w:t>189</w:t>
            </w:r>
          </w:p>
        </w:tc>
        <w:tc>
          <w:tcPr>
            <w:tcW w:w="1738" w:type="dxa"/>
            <w:noWrap/>
          </w:tcPr>
          <w:p w:rsidR="002D2B04" w:rsidRPr="00EC427D" w:rsidRDefault="002D2B04"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sz w:val="20"/>
                <w:szCs w:val="20"/>
                <w:lang w:val="en-US" w:eastAsia="pl-PL"/>
              </w:rPr>
            </w:pPr>
            <w:r w:rsidRPr="00EC427D">
              <w:rPr>
                <w:rFonts w:eastAsia="Times New Roman" w:cstheme="minorHAnsi"/>
                <w:i/>
                <w:sz w:val="20"/>
                <w:szCs w:val="20"/>
                <w:lang w:val="en-US" w:eastAsia="pl-PL"/>
              </w:rPr>
              <w:t>107</w:t>
            </w:r>
          </w:p>
        </w:tc>
        <w:tc>
          <w:tcPr>
            <w:tcW w:w="1922" w:type="dxa"/>
          </w:tcPr>
          <w:p w:rsidR="002D2B04" w:rsidRPr="00EC427D" w:rsidRDefault="002D2B04"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sz w:val="20"/>
                <w:szCs w:val="20"/>
                <w:lang w:val="en-US" w:eastAsia="pl-PL"/>
              </w:rPr>
            </w:pPr>
            <w:r w:rsidRPr="00EC427D">
              <w:rPr>
                <w:rFonts w:eastAsia="Times New Roman" w:cstheme="minorHAnsi"/>
                <w:i/>
                <w:sz w:val="20"/>
                <w:szCs w:val="20"/>
                <w:lang w:val="en-US" w:eastAsia="pl-PL"/>
              </w:rPr>
              <w:t>76%</w:t>
            </w:r>
          </w:p>
        </w:tc>
      </w:tr>
      <w:tr w:rsidR="00477571" w:rsidRPr="00EC427D" w:rsidTr="00C503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hideMark/>
          </w:tcPr>
          <w:p w:rsidR="00477571" w:rsidRPr="00EC427D" w:rsidRDefault="00477571" w:rsidP="00C50379">
            <w:pPr>
              <w:keepNext/>
              <w:jc w:val="center"/>
              <w:rPr>
                <w:rFonts w:eastAsia="Times New Roman" w:cstheme="minorHAnsi"/>
                <w:sz w:val="20"/>
                <w:szCs w:val="20"/>
                <w:lang w:val="en-US" w:eastAsia="pl-PL"/>
              </w:rPr>
            </w:pPr>
            <w:r w:rsidRPr="00EC427D">
              <w:rPr>
                <w:rFonts w:eastAsia="Times New Roman" w:cstheme="minorHAnsi"/>
                <w:sz w:val="20"/>
                <w:szCs w:val="20"/>
                <w:lang w:val="en-US" w:eastAsia="pl-PL"/>
              </w:rPr>
              <w:t>France</w:t>
            </w:r>
          </w:p>
        </w:tc>
        <w:tc>
          <w:tcPr>
            <w:tcW w:w="1985" w:type="dxa"/>
            <w:noWrap/>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1080</w:t>
            </w:r>
          </w:p>
        </w:tc>
        <w:tc>
          <w:tcPr>
            <w:tcW w:w="1738" w:type="dxa"/>
            <w:noWrap/>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860</w:t>
            </w:r>
          </w:p>
        </w:tc>
        <w:tc>
          <w:tcPr>
            <w:tcW w:w="1922" w:type="dxa"/>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26%</w:t>
            </w:r>
          </w:p>
        </w:tc>
      </w:tr>
      <w:tr w:rsidR="00477571" w:rsidRPr="00EC427D" w:rsidTr="00C50379">
        <w:trPr>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hideMark/>
          </w:tcPr>
          <w:p w:rsidR="00477571" w:rsidRPr="00EC427D" w:rsidRDefault="00477571" w:rsidP="00C50379">
            <w:pPr>
              <w:keepNext/>
              <w:jc w:val="center"/>
              <w:rPr>
                <w:rFonts w:eastAsia="Times New Roman" w:cstheme="minorHAnsi"/>
                <w:sz w:val="20"/>
                <w:szCs w:val="20"/>
                <w:lang w:val="en-US" w:eastAsia="pl-PL"/>
              </w:rPr>
            </w:pPr>
            <w:r w:rsidRPr="00EC427D">
              <w:rPr>
                <w:rFonts w:eastAsia="Times New Roman" w:cstheme="minorHAnsi"/>
                <w:sz w:val="20"/>
                <w:szCs w:val="20"/>
                <w:lang w:val="en-US" w:eastAsia="pl-PL"/>
              </w:rPr>
              <w:t>Germany</w:t>
            </w:r>
          </w:p>
        </w:tc>
        <w:tc>
          <w:tcPr>
            <w:tcW w:w="1985" w:type="dxa"/>
            <w:noWrap/>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1323</w:t>
            </w:r>
          </w:p>
        </w:tc>
        <w:tc>
          <w:tcPr>
            <w:tcW w:w="1738" w:type="dxa"/>
            <w:noWrap/>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1081</w:t>
            </w:r>
          </w:p>
        </w:tc>
        <w:tc>
          <w:tcPr>
            <w:tcW w:w="1922" w:type="dxa"/>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22%</w:t>
            </w:r>
          </w:p>
        </w:tc>
      </w:tr>
      <w:tr w:rsidR="00477571" w:rsidRPr="00EC427D" w:rsidTr="00C503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hideMark/>
          </w:tcPr>
          <w:p w:rsidR="00477571" w:rsidRPr="00EC427D" w:rsidRDefault="00477571" w:rsidP="00C50379">
            <w:pPr>
              <w:keepNext/>
              <w:jc w:val="center"/>
              <w:rPr>
                <w:rFonts w:eastAsia="Times New Roman" w:cstheme="minorHAnsi"/>
                <w:sz w:val="20"/>
                <w:szCs w:val="20"/>
                <w:lang w:val="en-US" w:eastAsia="pl-PL"/>
              </w:rPr>
            </w:pPr>
            <w:r w:rsidRPr="00EC427D">
              <w:rPr>
                <w:rFonts w:eastAsia="Times New Roman" w:cstheme="minorHAnsi"/>
                <w:sz w:val="20"/>
                <w:szCs w:val="20"/>
                <w:lang w:val="en-US" w:eastAsia="pl-PL"/>
              </w:rPr>
              <w:t>Belgium</w:t>
            </w:r>
          </w:p>
        </w:tc>
        <w:tc>
          <w:tcPr>
            <w:tcW w:w="1985" w:type="dxa"/>
            <w:noWrap/>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221</w:t>
            </w:r>
          </w:p>
        </w:tc>
        <w:tc>
          <w:tcPr>
            <w:tcW w:w="1738" w:type="dxa"/>
            <w:noWrap/>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181</w:t>
            </w:r>
          </w:p>
        </w:tc>
        <w:tc>
          <w:tcPr>
            <w:tcW w:w="1922" w:type="dxa"/>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22%</w:t>
            </w:r>
          </w:p>
        </w:tc>
      </w:tr>
      <w:tr w:rsidR="00477571" w:rsidRPr="00EC427D" w:rsidTr="00C50379">
        <w:trPr>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hideMark/>
          </w:tcPr>
          <w:p w:rsidR="00477571" w:rsidRPr="00EC427D" w:rsidRDefault="00477571" w:rsidP="00C50379">
            <w:pPr>
              <w:keepNext/>
              <w:jc w:val="center"/>
              <w:rPr>
                <w:rFonts w:eastAsia="Times New Roman" w:cstheme="minorHAnsi"/>
                <w:sz w:val="20"/>
                <w:szCs w:val="20"/>
                <w:lang w:val="en-US" w:eastAsia="pl-PL"/>
              </w:rPr>
            </w:pPr>
            <w:r w:rsidRPr="00EC427D">
              <w:rPr>
                <w:rFonts w:eastAsia="Times New Roman" w:cstheme="minorHAnsi"/>
                <w:sz w:val="20"/>
                <w:szCs w:val="20"/>
                <w:lang w:val="en-US" w:eastAsia="pl-PL"/>
              </w:rPr>
              <w:t>Norway</w:t>
            </w:r>
          </w:p>
        </w:tc>
        <w:tc>
          <w:tcPr>
            <w:tcW w:w="1985" w:type="dxa"/>
            <w:noWrap/>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184</w:t>
            </w:r>
          </w:p>
        </w:tc>
        <w:tc>
          <w:tcPr>
            <w:tcW w:w="1738" w:type="dxa"/>
            <w:noWrap/>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156</w:t>
            </w:r>
          </w:p>
        </w:tc>
        <w:tc>
          <w:tcPr>
            <w:tcW w:w="1922" w:type="dxa"/>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18%</w:t>
            </w:r>
          </w:p>
        </w:tc>
      </w:tr>
      <w:tr w:rsidR="002D2B04" w:rsidRPr="00EC427D" w:rsidTr="00C503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tcPr>
          <w:p w:rsidR="002D2B04" w:rsidRPr="00EC427D" w:rsidRDefault="002D2B04" w:rsidP="00C50379">
            <w:pPr>
              <w:keepNext/>
              <w:jc w:val="center"/>
              <w:rPr>
                <w:rFonts w:eastAsia="Times New Roman" w:cstheme="minorHAnsi"/>
                <w:i/>
                <w:sz w:val="20"/>
                <w:szCs w:val="20"/>
                <w:lang w:val="en-US" w:eastAsia="pl-PL"/>
              </w:rPr>
            </w:pPr>
            <w:r w:rsidRPr="00EC427D">
              <w:rPr>
                <w:rFonts w:eastAsia="Times New Roman" w:cstheme="minorHAnsi"/>
                <w:i/>
                <w:sz w:val="20"/>
                <w:szCs w:val="20"/>
                <w:lang w:val="en-US" w:eastAsia="pl-PL"/>
              </w:rPr>
              <w:t>Ireland</w:t>
            </w:r>
          </w:p>
        </w:tc>
        <w:tc>
          <w:tcPr>
            <w:tcW w:w="1985" w:type="dxa"/>
            <w:noWrap/>
          </w:tcPr>
          <w:p w:rsidR="002D2B04" w:rsidRPr="00EC427D" w:rsidRDefault="002D2B04"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sz w:val="20"/>
                <w:szCs w:val="20"/>
                <w:lang w:val="en-US" w:eastAsia="pl-PL"/>
              </w:rPr>
            </w:pPr>
            <w:r w:rsidRPr="00EC427D">
              <w:rPr>
                <w:rFonts w:eastAsia="Times New Roman" w:cstheme="minorHAnsi"/>
                <w:i/>
                <w:sz w:val="20"/>
                <w:szCs w:val="20"/>
                <w:lang w:val="en-US" w:eastAsia="pl-PL"/>
              </w:rPr>
              <w:t>75</w:t>
            </w:r>
          </w:p>
        </w:tc>
        <w:tc>
          <w:tcPr>
            <w:tcW w:w="1738" w:type="dxa"/>
            <w:noWrap/>
          </w:tcPr>
          <w:p w:rsidR="002D2B04" w:rsidRPr="00EC427D" w:rsidRDefault="002D2B04"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sz w:val="20"/>
                <w:szCs w:val="20"/>
                <w:lang w:val="en-US" w:eastAsia="pl-PL"/>
              </w:rPr>
            </w:pPr>
            <w:r w:rsidRPr="00EC427D">
              <w:rPr>
                <w:rFonts w:eastAsia="Times New Roman" w:cstheme="minorHAnsi"/>
                <w:i/>
                <w:sz w:val="20"/>
                <w:szCs w:val="20"/>
                <w:lang w:val="en-US" w:eastAsia="pl-PL"/>
              </w:rPr>
              <w:t>65</w:t>
            </w:r>
          </w:p>
        </w:tc>
        <w:tc>
          <w:tcPr>
            <w:tcW w:w="1922" w:type="dxa"/>
          </w:tcPr>
          <w:p w:rsidR="002D2B04" w:rsidRPr="00EC427D" w:rsidRDefault="002D2B04"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sz w:val="20"/>
                <w:szCs w:val="20"/>
                <w:lang w:val="en-US" w:eastAsia="pl-PL"/>
              </w:rPr>
            </w:pPr>
            <w:r w:rsidRPr="00EC427D">
              <w:rPr>
                <w:rFonts w:eastAsia="Times New Roman" w:cstheme="minorHAnsi"/>
                <w:i/>
                <w:sz w:val="20"/>
                <w:szCs w:val="20"/>
                <w:lang w:val="en-US" w:eastAsia="pl-PL"/>
              </w:rPr>
              <w:t>15%</w:t>
            </w:r>
          </w:p>
        </w:tc>
      </w:tr>
      <w:tr w:rsidR="00477571" w:rsidRPr="00EC427D" w:rsidTr="00C50379">
        <w:trPr>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hideMark/>
          </w:tcPr>
          <w:p w:rsidR="00477571" w:rsidRPr="00EC427D" w:rsidRDefault="00477571" w:rsidP="00C50379">
            <w:pPr>
              <w:keepNext/>
              <w:jc w:val="center"/>
              <w:rPr>
                <w:rFonts w:eastAsia="Times New Roman" w:cstheme="minorHAnsi"/>
                <w:sz w:val="20"/>
                <w:szCs w:val="20"/>
                <w:lang w:val="en-US" w:eastAsia="pl-PL"/>
              </w:rPr>
            </w:pPr>
            <w:r w:rsidRPr="00EC427D">
              <w:rPr>
                <w:rFonts w:eastAsia="Times New Roman" w:cstheme="minorHAnsi"/>
                <w:sz w:val="20"/>
                <w:szCs w:val="20"/>
                <w:lang w:val="en-US" w:eastAsia="pl-PL"/>
              </w:rPr>
              <w:t>Sweden</w:t>
            </w:r>
          </w:p>
        </w:tc>
        <w:tc>
          <w:tcPr>
            <w:tcW w:w="1985" w:type="dxa"/>
            <w:noWrap/>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161</w:t>
            </w:r>
          </w:p>
        </w:tc>
        <w:tc>
          <w:tcPr>
            <w:tcW w:w="1738" w:type="dxa"/>
            <w:noWrap/>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148</w:t>
            </w:r>
          </w:p>
        </w:tc>
        <w:tc>
          <w:tcPr>
            <w:tcW w:w="1922" w:type="dxa"/>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9%</w:t>
            </w:r>
          </w:p>
        </w:tc>
      </w:tr>
      <w:tr w:rsidR="00CF73BE" w:rsidRPr="00EC427D" w:rsidTr="00C503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tcPr>
          <w:p w:rsidR="00CF73BE" w:rsidRPr="00EC427D" w:rsidRDefault="00CF73BE" w:rsidP="00C50379">
            <w:pPr>
              <w:keepNext/>
              <w:jc w:val="center"/>
              <w:rPr>
                <w:rFonts w:eastAsia="Times New Roman" w:cstheme="minorHAnsi"/>
                <w:sz w:val="20"/>
                <w:szCs w:val="20"/>
                <w:lang w:val="en-US" w:eastAsia="pl-PL"/>
              </w:rPr>
            </w:pPr>
            <w:r w:rsidRPr="00EC427D">
              <w:rPr>
                <w:rFonts w:eastAsia="Times New Roman" w:cstheme="minorHAnsi"/>
                <w:sz w:val="20"/>
                <w:szCs w:val="20"/>
                <w:lang w:val="en-US" w:eastAsia="pl-PL"/>
              </w:rPr>
              <w:t>EU-15</w:t>
            </w:r>
          </w:p>
        </w:tc>
        <w:tc>
          <w:tcPr>
            <w:tcW w:w="1985" w:type="dxa"/>
            <w:noWrap/>
          </w:tcPr>
          <w:p w:rsidR="00CF73BE" w:rsidRPr="00EC427D" w:rsidRDefault="00CF73BE"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7219</w:t>
            </w:r>
          </w:p>
        </w:tc>
        <w:tc>
          <w:tcPr>
            <w:tcW w:w="1738" w:type="dxa"/>
            <w:noWrap/>
          </w:tcPr>
          <w:p w:rsidR="00CF73BE" w:rsidRPr="00EC427D" w:rsidRDefault="00CF73BE"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6671</w:t>
            </w:r>
          </w:p>
        </w:tc>
        <w:tc>
          <w:tcPr>
            <w:tcW w:w="1922" w:type="dxa"/>
          </w:tcPr>
          <w:p w:rsidR="00CF73BE" w:rsidRPr="00EC427D" w:rsidRDefault="00CF73BE"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8%</w:t>
            </w:r>
          </w:p>
        </w:tc>
      </w:tr>
      <w:tr w:rsidR="00477571" w:rsidRPr="00EC427D" w:rsidTr="00C50379">
        <w:trPr>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hideMark/>
          </w:tcPr>
          <w:p w:rsidR="00477571" w:rsidRPr="00EC427D" w:rsidRDefault="00477571" w:rsidP="00C50379">
            <w:pPr>
              <w:keepNext/>
              <w:jc w:val="center"/>
              <w:rPr>
                <w:rFonts w:eastAsia="Times New Roman" w:cstheme="minorHAnsi"/>
                <w:sz w:val="20"/>
                <w:szCs w:val="20"/>
                <w:lang w:val="en-US" w:eastAsia="pl-PL"/>
              </w:rPr>
            </w:pPr>
            <w:r w:rsidRPr="00EC427D">
              <w:rPr>
                <w:rFonts w:eastAsia="Times New Roman" w:cstheme="minorHAnsi"/>
                <w:sz w:val="20"/>
                <w:szCs w:val="20"/>
                <w:lang w:val="en-US" w:eastAsia="pl-PL"/>
              </w:rPr>
              <w:t>Spain</w:t>
            </w:r>
          </w:p>
        </w:tc>
        <w:tc>
          <w:tcPr>
            <w:tcW w:w="1985" w:type="dxa"/>
            <w:noWrap/>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890</w:t>
            </w:r>
          </w:p>
        </w:tc>
        <w:tc>
          <w:tcPr>
            <w:tcW w:w="1738" w:type="dxa"/>
            <w:noWrap/>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847</w:t>
            </w:r>
          </w:p>
        </w:tc>
        <w:tc>
          <w:tcPr>
            <w:tcW w:w="1922" w:type="dxa"/>
            <w:hideMark/>
          </w:tcPr>
          <w:p w:rsidR="00477571" w:rsidRPr="00EC427D" w:rsidRDefault="00477571" w:rsidP="00C50379">
            <w:pPr>
              <w:keepNex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5%</w:t>
            </w:r>
          </w:p>
        </w:tc>
      </w:tr>
      <w:tr w:rsidR="00477571" w:rsidRPr="00EC427D" w:rsidTr="00C503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hideMark/>
          </w:tcPr>
          <w:p w:rsidR="00477571" w:rsidRPr="00EC427D" w:rsidRDefault="00477571" w:rsidP="00C50379">
            <w:pPr>
              <w:keepNext/>
              <w:jc w:val="center"/>
              <w:rPr>
                <w:rFonts w:eastAsia="Times New Roman" w:cstheme="minorHAnsi"/>
                <w:sz w:val="20"/>
                <w:szCs w:val="20"/>
                <w:lang w:val="en-US" w:eastAsia="pl-PL"/>
              </w:rPr>
            </w:pPr>
            <w:r w:rsidRPr="00EC427D">
              <w:rPr>
                <w:rFonts w:eastAsia="Times New Roman" w:cstheme="minorHAnsi"/>
                <w:sz w:val="20"/>
                <w:szCs w:val="20"/>
                <w:lang w:val="en-US" w:eastAsia="pl-PL"/>
              </w:rPr>
              <w:t>Netherlands</w:t>
            </w:r>
          </w:p>
        </w:tc>
        <w:tc>
          <w:tcPr>
            <w:tcW w:w="1985" w:type="dxa"/>
            <w:noWrap/>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276</w:t>
            </w:r>
          </w:p>
        </w:tc>
        <w:tc>
          <w:tcPr>
            <w:tcW w:w="1738" w:type="dxa"/>
            <w:noWrap/>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266</w:t>
            </w:r>
          </w:p>
        </w:tc>
        <w:tc>
          <w:tcPr>
            <w:tcW w:w="1922" w:type="dxa"/>
            <w:hideMark/>
          </w:tcPr>
          <w:p w:rsidR="00477571" w:rsidRPr="00EC427D" w:rsidRDefault="00477571" w:rsidP="00C50379">
            <w:pPr>
              <w:keepNex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4%</w:t>
            </w:r>
          </w:p>
        </w:tc>
      </w:tr>
      <w:tr w:rsidR="00477571" w:rsidRPr="00EC427D" w:rsidTr="00C50379">
        <w:trPr>
          <w:trHeight w:val="255"/>
          <w:jc w:val="center"/>
        </w:trPr>
        <w:tc>
          <w:tcPr>
            <w:cnfStyle w:val="001000000000" w:firstRow="0" w:lastRow="0" w:firstColumn="1" w:lastColumn="0" w:oddVBand="0" w:evenVBand="0" w:oddHBand="0" w:evenHBand="0" w:firstRowFirstColumn="0" w:firstRowLastColumn="0" w:lastRowFirstColumn="0" w:lastRowLastColumn="0"/>
            <w:tcW w:w="2290" w:type="dxa"/>
            <w:noWrap/>
            <w:hideMark/>
          </w:tcPr>
          <w:p w:rsidR="00477571" w:rsidRPr="00EC427D" w:rsidRDefault="00477571" w:rsidP="00EC427D">
            <w:pPr>
              <w:jc w:val="center"/>
              <w:rPr>
                <w:rFonts w:eastAsia="Times New Roman" w:cstheme="minorHAnsi"/>
                <w:sz w:val="20"/>
                <w:szCs w:val="20"/>
                <w:lang w:val="en-US" w:eastAsia="pl-PL"/>
              </w:rPr>
            </w:pPr>
            <w:r w:rsidRPr="00EC427D">
              <w:rPr>
                <w:rFonts w:eastAsia="Times New Roman" w:cstheme="minorHAnsi"/>
                <w:sz w:val="20"/>
                <w:szCs w:val="20"/>
                <w:lang w:val="en-US" w:eastAsia="pl-PL"/>
              </w:rPr>
              <w:t>Denmark</w:t>
            </w:r>
          </w:p>
        </w:tc>
        <w:tc>
          <w:tcPr>
            <w:tcW w:w="1985" w:type="dxa"/>
            <w:noWrap/>
            <w:hideMark/>
          </w:tcPr>
          <w:p w:rsidR="00477571" w:rsidRPr="00EC427D" w:rsidRDefault="00477571" w:rsidP="00EC42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129</w:t>
            </w:r>
          </w:p>
        </w:tc>
        <w:tc>
          <w:tcPr>
            <w:tcW w:w="1738" w:type="dxa"/>
            <w:noWrap/>
            <w:hideMark/>
          </w:tcPr>
          <w:p w:rsidR="00477571" w:rsidRPr="00EC427D" w:rsidRDefault="00477571" w:rsidP="00EC42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127</w:t>
            </w:r>
          </w:p>
        </w:tc>
        <w:tc>
          <w:tcPr>
            <w:tcW w:w="1922" w:type="dxa"/>
            <w:hideMark/>
          </w:tcPr>
          <w:p w:rsidR="00477571" w:rsidRPr="00EC427D" w:rsidRDefault="00477571" w:rsidP="00EC42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eastAsia="pl-PL"/>
              </w:rPr>
            </w:pPr>
            <w:r w:rsidRPr="00EC427D">
              <w:rPr>
                <w:rFonts w:eastAsia="Times New Roman" w:cstheme="minorHAnsi"/>
                <w:sz w:val="20"/>
                <w:szCs w:val="20"/>
                <w:lang w:val="en-US" w:eastAsia="pl-PL"/>
              </w:rPr>
              <w:t>1%</w:t>
            </w:r>
          </w:p>
        </w:tc>
      </w:tr>
    </w:tbl>
    <w:p w:rsidR="00477571" w:rsidRPr="00AB179F" w:rsidRDefault="00CF73BE" w:rsidP="00C50379">
      <w:pPr>
        <w:spacing w:after="0"/>
        <w:ind w:right="96"/>
        <w:jc w:val="both"/>
        <w:rPr>
          <w:sz w:val="18"/>
          <w:szCs w:val="18"/>
          <w:lang w:val="en-US"/>
        </w:rPr>
      </w:pPr>
      <w:r w:rsidRPr="00AB179F">
        <w:rPr>
          <w:sz w:val="18"/>
          <w:szCs w:val="18"/>
          <w:lang w:val="en-US"/>
        </w:rPr>
        <w:t>Parties in italics have not ratified the Gothenburg Protocol.</w:t>
      </w:r>
    </w:p>
    <w:p w:rsidR="001A2518" w:rsidRPr="00DA789A" w:rsidRDefault="001A2518" w:rsidP="0093482F">
      <w:pPr>
        <w:pStyle w:val="Heading1"/>
        <w:rPr>
          <w:lang w:val="en-US"/>
        </w:rPr>
      </w:pPr>
      <w:bookmarkStart w:id="9" w:name="_Toc343595879"/>
      <w:r w:rsidRPr="00DA789A">
        <w:rPr>
          <w:lang w:val="en-US"/>
        </w:rPr>
        <w:t>VII.</w:t>
      </w:r>
      <w:r w:rsidRPr="00DA789A">
        <w:rPr>
          <w:lang w:val="en-US"/>
        </w:rPr>
        <w:tab/>
        <w:t>Interactions between sectoral emission sources and exposure to air pollution</w:t>
      </w:r>
      <w:bookmarkEnd w:id="9"/>
    </w:p>
    <w:p w:rsidR="001A2518" w:rsidRPr="00DA789A" w:rsidRDefault="001A2518" w:rsidP="0093482F">
      <w:pPr>
        <w:pStyle w:val="Heading2"/>
        <w:rPr>
          <w:lang w:val="en-US"/>
        </w:rPr>
      </w:pPr>
      <w:bookmarkStart w:id="10" w:name="_Toc343595880"/>
      <w:r w:rsidRPr="00DA789A">
        <w:rPr>
          <w:lang w:val="en-US"/>
        </w:rPr>
        <w:t>VII.1</w:t>
      </w:r>
      <w:r w:rsidRPr="00DA789A">
        <w:rPr>
          <w:lang w:val="en-US"/>
        </w:rPr>
        <w:tab/>
        <w:t>Exposure</w:t>
      </w:r>
      <w:r w:rsidR="00050017">
        <w:rPr>
          <w:lang w:val="en-US"/>
        </w:rPr>
        <w:t xml:space="preserve"> to air pollution</w:t>
      </w:r>
      <w:bookmarkEnd w:id="10"/>
    </w:p>
    <w:p w:rsidR="001A2518" w:rsidRPr="0093482F" w:rsidRDefault="00A452A5" w:rsidP="001A2518">
      <w:pPr>
        <w:spacing w:after="120"/>
        <w:ind w:right="96"/>
        <w:jc w:val="both"/>
        <w:rPr>
          <w:color w:val="000000" w:themeColor="text1"/>
          <w:lang w:val="en-US"/>
        </w:rPr>
      </w:pPr>
      <w:r>
        <w:rPr>
          <w:color w:val="000000" w:themeColor="text1"/>
          <w:lang w:val="en-US"/>
        </w:rPr>
        <w:t>38</w:t>
      </w:r>
      <w:r w:rsidR="001A2518" w:rsidRPr="0093482F">
        <w:rPr>
          <w:color w:val="000000" w:themeColor="text1"/>
          <w:lang w:val="en-US"/>
        </w:rPr>
        <w:t>.</w:t>
      </w:r>
      <w:r w:rsidR="001A2518" w:rsidRPr="0093482F">
        <w:rPr>
          <w:color w:val="000000" w:themeColor="text1"/>
          <w:lang w:val="en-US"/>
        </w:rPr>
        <w:tab/>
        <w:t>The EEA warned that, notwithstanding clear progress made across Europe in reducing anthropogenic emissions of the main air pollutants over recent decades, poor air quality remains an important public health issue (EEA, 2010). In particular, the Agency identifies airborne particulate matter (PM), tropospheric (ground-level) ozone (O</w:t>
      </w:r>
      <w:r w:rsidR="001A2518" w:rsidRPr="0093482F">
        <w:rPr>
          <w:color w:val="000000" w:themeColor="text1"/>
          <w:vertAlign w:val="subscript"/>
          <w:lang w:val="en-US"/>
        </w:rPr>
        <w:t>3</w:t>
      </w:r>
      <w:r w:rsidR="001A2518" w:rsidRPr="0093482F">
        <w:rPr>
          <w:color w:val="000000" w:themeColor="text1"/>
          <w:lang w:val="en-US"/>
        </w:rPr>
        <w:t>) and nitrogen dioxide (NO</w:t>
      </w:r>
      <w:r w:rsidR="001A2518" w:rsidRPr="0093482F">
        <w:rPr>
          <w:color w:val="000000" w:themeColor="text1"/>
          <w:vertAlign w:val="subscript"/>
          <w:lang w:val="en-US"/>
        </w:rPr>
        <w:t>2</w:t>
      </w:r>
      <w:r w:rsidR="001A2518" w:rsidRPr="0093482F">
        <w:rPr>
          <w:color w:val="000000" w:themeColor="text1"/>
          <w:lang w:val="en-US"/>
        </w:rPr>
        <w:t>) as Europe's most problematic pollutants in terms of harm to health.</w:t>
      </w:r>
    </w:p>
    <w:p w:rsidR="001A2518" w:rsidRPr="0093482F" w:rsidRDefault="00A452A5" w:rsidP="00A452A5">
      <w:pPr>
        <w:spacing w:after="0"/>
        <w:ind w:right="96"/>
        <w:jc w:val="both"/>
        <w:rPr>
          <w:color w:val="000000" w:themeColor="text1"/>
          <w:lang w:val="en-US"/>
        </w:rPr>
      </w:pPr>
      <w:r>
        <w:rPr>
          <w:color w:val="000000" w:themeColor="text1"/>
          <w:lang w:val="en-US"/>
        </w:rPr>
        <w:t>39</w:t>
      </w:r>
      <w:r w:rsidR="001A2518" w:rsidRPr="0093482F">
        <w:rPr>
          <w:color w:val="000000" w:themeColor="text1"/>
          <w:lang w:val="en-US"/>
        </w:rPr>
        <w:t>.</w:t>
      </w:r>
      <w:r w:rsidR="001A2518" w:rsidRPr="0093482F">
        <w:rPr>
          <w:color w:val="000000" w:themeColor="text1"/>
          <w:lang w:val="en-US"/>
        </w:rPr>
        <w:tab/>
        <w:t>The EEA results are confirmed by the following observations:</w:t>
      </w:r>
    </w:p>
    <w:p w:rsidR="001A2518" w:rsidRPr="0093482F" w:rsidRDefault="001A2518" w:rsidP="00A452A5">
      <w:pPr>
        <w:pStyle w:val="ListParagraph"/>
        <w:numPr>
          <w:ilvl w:val="0"/>
          <w:numId w:val="18"/>
        </w:numPr>
        <w:spacing w:after="120"/>
        <w:ind w:right="96"/>
        <w:jc w:val="both"/>
        <w:rPr>
          <w:color w:val="000000" w:themeColor="text1"/>
          <w:lang w:val="en-US"/>
        </w:rPr>
      </w:pPr>
      <w:r w:rsidRPr="009F0D55">
        <w:rPr>
          <w:color w:val="000000" w:themeColor="text1"/>
          <w:lang w:val="en-US"/>
        </w:rPr>
        <w:t>A</w:t>
      </w:r>
      <w:r w:rsidRPr="0093482F">
        <w:rPr>
          <w:color w:val="000000" w:themeColor="text1"/>
          <w:lang w:val="en-US"/>
        </w:rPr>
        <w:t xml:space="preserve"> significant proportion of Europe’s population lives in urban areas;</w:t>
      </w:r>
    </w:p>
    <w:p w:rsidR="001A2518" w:rsidRPr="0093482F" w:rsidRDefault="001A2518" w:rsidP="00A452A5">
      <w:pPr>
        <w:pStyle w:val="ListParagraph"/>
        <w:numPr>
          <w:ilvl w:val="0"/>
          <w:numId w:val="18"/>
        </w:numPr>
        <w:spacing w:after="120"/>
        <w:ind w:right="96"/>
        <w:jc w:val="both"/>
        <w:rPr>
          <w:color w:val="000000" w:themeColor="text1"/>
          <w:lang w:val="en-US"/>
        </w:rPr>
      </w:pPr>
      <w:r w:rsidRPr="009F0D55">
        <w:rPr>
          <w:color w:val="000000" w:themeColor="text1"/>
          <w:lang w:val="en-US"/>
        </w:rPr>
        <w:t>Cities</w:t>
      </w:r>
      <w:r w:rsidRPr="0093482F">
        <w:rPr>
          <w:color w:val="000000" w:themeColor="text1"/>
          <w:lang w:val="en-US"/>
        </w:rPr>
        <w:t xml:space="preserve"> are the areas with the highest exposure to air pollution because most </w:t>
      </w:r>
      <w:r w:rsidR="007237B3" w:rsidRPr="009F0D55">
        <w:rPr>
          <w:color w:val="000000" w:themeColor="text1"/>
          <w:lang w:val="en-US"/>
        </w:rPr>
        <w:t xml:space="preserve">exceed </w:t>
      </w:r>
      <w:r w:rsidRPr="0093482F">
        <w:rPr>
          <w:color w:val="000000" w:themeColor="text1"/>
          <w:lang w:val="en-US"/>
        </w:rPr>
        <w:t xml:space="preserve"> the air quality reference levels occur</w:t>
      </w:r>
      <w:r w:rsidR="007237B3" w:rsidRPr="009F0D55">
        <w:rPr>
          <w:color w:val="000000" w:themeColor="text1"/>
          <w:lang w:val="en-US"/>
        </w:rPr>
        <w:t xml:space="preserve"> (e.g. EU (EC, 2008) and WHO (WHO, 2011))</w:t>
      </w:r>
      <w:r w:rsidRPr="009F0D55">
        <w:rPr>
          <w:color w:val="000000" w:themeColor="text1"/>
          <w:lang w:val="en-US"/>
        </w:rPr>
        <w:t>;</w:t>
      </w:r>
    </w:p>
    <w:p w:rsidR="001A2518" w:rsidRPr="0093482F" w:rsidRDefault="001A2518" w:rsidP="00A452A5">
      <w:pPr>
        <w:pStyle w:val="ListParagraph"/>
        <w:numPr>
          <w:ilvl w:val="0"/>
          <w:numId w:val="18"/>
        </w:numPr>
        <w:spacing w:after="120"/>
        <w:ind w:right="96"/>
        <w:jc w:val="both"/>
        <w:rPr>
          <w:color w:val="000000" w:themeColor="text1"/>
          <w:lang w:val="en-US"/>
        </w:rPr>
      </w:pPr>
      <w:r w:rsidRPr="009F0D55">
        <w:rPr>
          <w:color w:val="000000" w:themeColor="text1"/>
          <w:lang w:val="en-US"/>
        </w:rPr>
        <w:t>For</w:t>
      </w:r>
      <w:r w:rsidRPr="0093482F">
        <w:rPr>
          <w:color w:val="000000" w:themeColor="text1"/>
          <w:lang w:val="en-US"/>
        </w:rPr>
        <w:t xml:space="preserve"> PM2.5, 16 to 30% of the urban population in the EU</w:t>
      </w:r>
      <w:r w:rsidR="007237B3" w:rsidRPr="009F0D55">
        <w:rPr>
          <w:color w:val="000000" w:themeColor="text1"/>
          <w:lang w:val="en-US"/>
        </w:rPr>
        <w:t xml:space="preserve"> </w:t>
      </w:r>
      <w:r w:rsidR="000054D4" w:rsidRPr="009F0D55">
        <w:rPr>
          <w:color w:val="000000" w:themeColor="text1"/>
          <w:lang w:val="en-US"/>
        </w:rPr>
        <w:t>countries</w:t>
      </w:r>
      <w:r w:rsidR="000054D4" w:rsidRPr="0093482F">
        <w:rPr>
          <w:color w:val="000000" w:themeColor="text1"/>
          <w:lang w:val="en-US"/>
        </w:rPr>
        <w:t xml:space="preserve"> was</w:t>
      </w:r>
      <w:r w:rsidRPr="0093482F">
        <w:rPr>
          <w:color w:val="000000" w:themeColor="text1"/>
          <w:lang w:val="en-US"/>
        </w:rPr>
        <w:t xml:space="preserve"> exposed (in the period 2008-2010) to air pollutant concentrations above the EU reference levels (the percentages increase to 90-95% for WHO reference levels). Similarly, exposure estimates for ozone are 15-17% (EU) and &gt;97% (WHO), respectively (</w:t>
      </w:r>
      <w:r w:rsidR="002F1F78">
        <w:rPr>
          <w:color w:val="000000" w:themeColor="text1"/>
          <w:lang w:val="en-US"/>
        </w:rPr>
        <w:t>EEA, 2012</w:t>
      </w:r>
      <w:r w:rsidRPr="0093482F">
        <w:rPr>
          <w:color w:val="000000" w:themeColor="text1"/>
          <w:lang w:val="en-US"/>
        </w:rPr>
        <w:t>).</w:t>
      </w:r>
    </w:p>
    <w:p w:rsidR="001A2518" w:rsidRPr="0093482F" w:rsidRDefault="00A452A5" w:rsidP="001A2518">
      <w:pPr>
        <w:spacing w:after="120"/>
        <w:ind w:right="96"/>
        <w:jc w:val="both"/>
        <w:rPr>
          <w:color w:val="000000" w:themeColor="text1"/>
          <w:lang w:val="en-US"/>
        </w:rPr>
      </w:pPr>
      <w:r>
        <w:rPr>
          <w:color w:val="000000" w:themeColor="text1"/>
          <w:lang w:val="en-US"/>
        </w:rPr>
        <w:t>40</w:t>
      </w:r>
      <w:r w:rsidR="001A2518" w:rsidRPr="0093482F">
        <w:rPr>
          <w:color w:val="000000" w:themeColor="text1"/>
          <w:lang w:val="en-US"/>
        </w:rPr>
        <w:t>.</w:t>
      </w:r>
      <w:r w:rsidR="001A2518" w:rsidRPr="0093482F">
        <w:rPr>
          <w:color w:val="000000" w:themeColor="text1"/>
          <w:lang w:val="en-US"/>
        </w:rPr>
        <w:tab/>
        <w:t>As pointed out in Section V, emissions from buildings used for households and commercial/institutional activities are the most important contributors to ozone and PM ambient concentrations levels. Other important sources include industrial processes and road transport. The latter is the main sector responsible for NO</w:t>
      </w:r>
      <w:r w:rsidR="001A2518" w:rsidRPr="0093482F">
        <w:rPr>
          <w:color w:val="000000" w:themeColor="text1"/>
          <w:vertAlign w:val="subscript"/>
          <w:lang w:val="en-US"/>
        </w:rPr>
        <w:t>X</w:t>
      </w:r>
      <w:r w:rsidR="001A2518" w:rsidRPr="0093482F">
        <w:rPr>
          <w:color w:val="000000" w:themeColor="text1"/>
          <w:lang w:val="en-US"/>
        </w:rPr>
        <w:t xml:space="preserve"> emissions, followed by the energy and household/commercial sector.</w:t>
      </w:r>
    </w:p>
    <w:p w:rsidR="001A2518" w:rsidRPr="00DA789A" w:rsidRDefault="001A2518" w:rsidP="0093482F">
      <w:pPr>
        <w:pStyle w:val="Heading2"/>
        <w:rPr>
          <w:lang w:val="en-US"/>
        </w:rPr>
      </w:pPr>
      <w:bookmarkStart w:id="11" w:name="_Toc343595881"/>
      <w:r w:rsidRPr="00DA789A">
        <w:rPr>
          <w:lang w:val="en-US"/>
        </w:rPr>
        <w:lastRenderedPageBreak/>
        <w:t>VII.2</w:t>
      </w:r>
      <w:r w:rsidRPr="00DA789A">
        <w:rPr>
          <w:lang w:val="en-US"/>
        </w:rPr>
        <w:tab/>
        <w:t>Measures aimed to reduce the emissions of air pollutants</w:t>
      </w:r>
      <w:bookmarkEnd w:id="11"/>
    </w:p>
    <w:p w:rsidR="001A2518" w:rsidRPr="0093482F" w:rsidRDefault="00A452A5" w:rsidP="001A2518">
      <w:pPr>
        <w:spacing w:after="0"/>
        <w:ind w:right="96"/>
        <w:jc w:val="both"/>
        <w:rPr>
          <w:color w:val="000000" w:themeColor="text1"/>
          <w:lang w:val="en-US"/>
        </w:rPr>
      </w:pPr>
      <w:r>
        <w:rPr>
          <w:color w:val="000000" w:themeColor="text1"/>
          <w:lang w:val="en-US"/>
        </w:rPr>
        <w:t>41</w:t>
      </w:r>
      <w:r w:rsidR="001A2518" w:rsidRPr="0093482F">
        <w:rPr>
          <w:color w:val="000000" w:themeColor="text1"/>
          <w:lang w:val="en-US"/>
        </w:rPr>
        <w:t>.</w:t>
      </w:r>
      <w:r w:rsidR="001A2518" w:rsidRPr="0093482F">
        <w:rPr>
          <w:color w:val="000000" w:themeColor="text1"/>
          <w:lang w:val="en-US"/>
        </w:rPr>
        <w:tab/>
        <w:t>Addressing the issues associated with the most problematic pollutants in Europe (PM, ground-level ozone, and NO</w:t>
      </w:r>
      <w:r w:rsidR="001A2518" w:rsidRPr="0093482F">
        <w:rPr>
          <w:color w:val="000000" w:themeColor="text1"/>
          <w:vertAlign w:val="subscript"/>
          <w:lang w:val="en-US"/>
        </w:rPr>
        <w:t>X</w:t>
      </w:r>
      <w:r w:rsidR="001A2518" w:rsidRPr="0093482F">
        <w:rPr>
          <w:color w:val="000000" w:themeColor="text1"/>
          <w:lang w:val="en-US"/>
        </w:rPr>
        <w:t>) is likely to require further legislative action aiming at the reduction of the emissions of air pollutants. Actions contributing to this target should take into account of the following elements:</w:t>
      </w:r>
    </w:p>
    <w:p w:rsidR="001A2518" w:rsidRPr="0093482F" w:rsidRDefault="001A2518" w:rsidP="0093482F">
      <w:pPr>
        <w:pStyle w:val="ListParagraph"/>
        <w:numPr>
          <w:ilvl w:val="0"/>
          <w:numId w:val="19"/>
        </w:numPr>
        <w:spacing w:after="120"/>
        <w:ind w:right="96"/>
        <w:jc w:val="both"/>
        <w:rPr>
          <w:color w:val="000000" w:themeColor="text1"/>
          <w:lang w:val="en-US"/>
        </w:rPr>
      </w:pPr>
      <w:r w:rsidRPr="009F0D55">
        <w:rPr>
          <w:color w:val="000000" w:themeColor="text1"/>
          <w:lang w:val="en-US"/>
        </w:rPr>
        <w:t>The</w:t>
      </w:r>
      <w:r w:rsidRPr="0093482F">
        <w:rPr>
          <w:color w:val="000000" w:themeColor="text1"/>
          <w:lang w:val="en-US"/>
        </w:rPr>
        <w:t xml:space="preserve"> nature of the pollutants concerned, including information on the geographical scale that they are likely to affect (e.g. because of local meteorological characteristics, the chemical properties of the pollutant such as its average lifetime in different ambient conditions, etc.);</w:t>
      </w:r>
    </w:p>
    <w:p w:rsidR="001A2518" w:rsidRPr="0093482F" w:rsidRDefault="001A2518" w:rsidP="0093482F">
      <w:pPr>
        <w:pStyle w:val="ListParagraph"/>
        <w:numPr>
          <w:ilvl w:val="0"/>
          <w:numId w:val="19"/>
        </w:numPr>
        <w:spacing w:after="120"/>
        <w:ind w:right="96"/>
        <w:jc w:val="both"/>
        <w:rPr>
          <w:color w:val="000000" w:themeColor="text1"/>
          <w:lang w:val="en-US"/>
        </w:rPr>
      </w:pPr>
      <w:r w:rsidRPr="009F0D55">
        <w:rPr>
          <w:color w:val="000000" w:themeColor="text1"/>
          <w:lang w:val="en-US"/>
        </w:rPr>
        <w:t>The</w:t>
      </w:r>
      <w:r w:rsidRPr="0093482F">
        <w:rPr>
          <w:color w:val="000000" w:themeColor="text1"/>
          <w:lang w:val="en-US"/>
        </w:rPr>
        <w:t xml:space="preserve"> sectors bearing most of the responsibility for their emissions in the atmosphere (likely to be targeted with higher priority, unless high costs justify taking action elsewhere), taking into account their importance in the areas characterized by the highest exposure levels.</w:t>
      </w:r>
    </w:p>
    <w:p w:rsidR="001A2518" w:rsidRPr="0093482F" w:rsidRDefault="00A452A5" w:rsidP="001A2518">
      <w:pPr>
        <w:spacing w:after="120"/>
        <w:ind w:right="96"/>
        <w:jc w:val="both"/>
        <w:rPr>
          <w:color w:val="000000" w:themeColor="text1"/>
          <w:lang w:val="en-US"/>
        </w:rPr>
      </w:pPr>
      <w:r>
        <w:rPr>
          <w:color w:val="000000" w:themeColor="text1"/>
          <w:lang w:val="en-US"/>
        </w:rPr>
        <w:t>42</w:t>
      </w:r>
      <w:r w:rsidR="00DA789A">
        <w:rPr>
          <w:color w:val="000000" w:themeColor="text1"/>
          <w:lang w:val="en-US"/>
        </w:rPr>
        <w:t xml:space="preserve">. </w:t>
      </w:r>
      <w:r w:rsidR="00DA789A">
        <w:rPr>
          <w:color w:val="000000" w:themeColor="text1"/>
          <w:lang w:val="en-US"/>
        </w:rPr>
        <w:tab/>
      </w:r>
      <w:r w:rsidR="001A2518" w:rsidRPr="0093482F">
        <w:rPr>
          <w:color w:val="000000" w:themeColor="text1"/>
          <w:lang w:val="en-US"/>
        </w:rPr>
        <w:t>In order to maximize their efficacy, it is widely recognized that all actions should make sure that they are maximizing social benefits while minimizing social costs.</w:t>
      </w:r>
    </w:p>
    <w:p w:rsidR="001A2518" w:rsidRPr="0093482F" w:rsidRDefault="00A452A5" w:rsidP="001A2518">
      <w:pPr>
        <w:spacing w:after="0"/>
        <w:ind w:right="96"/>
        <w:jc w:val="both"/>
        <w:rPr>
          <w:color w:val="000000" w:themeColor="text1"/>
          <w:lang w:val="en-US"/>
        </w:rPr>
      </w:pPr>
      <w:r>
        <w:rPr>
          <w:color w:val="000000" w:themeColor="text1"/>
          <w:lang w:val="en-US"/>
        </w:rPr>
        <w:t>43</w:t>
      </w:r>
      <w:r w:rsidR="001A2518" w:rsidRPr="0093482F">
        <w:rPr>
          <w:color w:val="000000" w:themeColor="text1"/>
          <w:lang w:val="en-US"/>
        </w:rPr>
        <w:t>.</w:t>
      </w:r>
      <w:r w:rsidR="001A2518" w:rsidRPr="0093482F">
        <w:rPr>
          <w:color w:val="000000" w:themeColor="text1"/>
          <w:lang w:val="en-US"/>
        </w:rPr>
        <w:tab/>
        <w:t>Even if the definition of specific strategies will need to take into account local characteristics, a qualitative analysis indicates that higher priorities are more likely to target:</w:t>
      </w:r>
    </w:p>
    <w:p w:rsidR="001A2518" w:rsidRPr="0093482F" w:rsidRDefault="001A2518" w:rsidP="0093482F">
      <w:pPr>
        <w:pStyle w:val="ListParagraph"/>
        <w:numPr>
          <w:ilvl w:val="0"/>
          <w:numId w:val="20"/>
        </w:numPr>
        <w:spacing w:after="120"/>
        <w:ind w:right="96"/>
        <w:jc w:val="both"/>
        <w:rPr>
          <w:color w:val="000000" w:themeColor="text1"/>
          <w:lang w:val="en-US"/>
        </w:rPr>
      </w:pPr>
      <w:r w:rsidRPr="009F0D55">
        <w:rPr>
          <w:color w:val="000000" w:themeColor="text1"/>
          <w:lang w:val="en-US"/>
        </w:rPr>
        <w:t>The</w:t>
      </w:r>
      <w:r w:rsidRPr="0093482F">
        <w:rPr>
          <w:color w:val="000000" w:themeColor="text1"/>
          <w:lang w:val="en-US"/>
        </w:rPr>
        <w:t xml:space="preserve"> urban fractions of the household and commercial/institutional sector;</w:t>
      </w:r>
    </w:p>
    <w:p w:rsidR="001A2518" w:rsidRPr="0093482F" w:rsidRDefault="007237B3" w:rsidP="0093482F">
      <w:pPr>
        <w:pStyle w:val="ListParagraph"/>
        <w:numPr>
          <w:ilvl w:val="0"/>
          <w:numId w:val="20"/>
        </w:numPr>
        <w:spacing w:after="120"/>
        <w:ind w:right="96"/>
        <w:jc w:val="both"/>
        <w:rPr>
          <w:color w:val="000000" w:themeColor="text1"/>
          <w:lang w:val="en-US"/>
        </w:rPr>
      </w:pPr>
      <w:r w:rsidRPr="009F0D55">
        <w:rPr>
          <w:color w:val="000000" w:themeColor="text1"/>
          <w:lang w:val="en-US"/>
        </w:rPr>
        <w:t>Urban</w:t>
      </w:r>
      <w:r w:rsidRPr="0093482F">
        <w:rPr>
          <w:color w:val="000000" w:themeColor="text1"/>
          <w:lang w:val="en-US"/>
        </w:rPr>
        <w:t xml:space="preserve"> road </w:t>
      </w:r>
      <w:r w:rsidRPr="009F0D55">
        <w:rPr>
          <w:color w:val="000000" w:themeColor="text1"/>
          <w:lang w:val="en-US"/>
        </w:rPr>
        <w:t>mobility</w:t>
      </w:r>
      <w:r w:rsidR="001A2518" w:rsidRPr="0093482F">
        <w:rPr>
          <w:color w:val="000000" w:themeColor="text1"/>
          <w:lang w:val="en-US"/>
        </w:rPr>
        <w:t>;</w:t>
      </w:r>
    </w:p>
    <w:p w:rsidR="001A2518" w:rsidRPr="0093482F" w:rsidRDefault="001A2518" w:rsidP="0093482F">
      <w:pPr>
        <w:pStyle w:val="ListParagraph"/>
        <w:numPr>
          <w:ilvl w:val="0"/>
          <w:numId w:val="20"/>
        </w:numPr>
        <w:spacing w:after="120"/>
        <w:ind w:right="96"/>
        <w:jc w:val="both"/>
        <w:rPr>
          <w:color w:val="000000" w:themeColor="text1"/>
          <w:lang w:val="en-US"/>
        </w:rPr>
      </w:pPr>
      <w:r w:rsidRPr="009F0D55">
        <w:rPr>
          <w:color w:val="000000" w:themeColor="text1"/>
          <w:lang w:val="en-US"/>
        </w:rPr>
        <w:t>Industrial</w:t>
      </w:r>
      <w:r w:rsidRPr="0093482F">
        <w:rPr>
          <w:color w:val="000000" w:themeColor="text1"/>
          <w:lang w:val="en-US"/>
        </w:rPr>
        <w:t xml:space="preserve"> activities and energy transformation plants located close to urbanized regions.</w:t>
      </w:r>
    </w:p>
    <w:p w:rsidR="0056104E" w:rsidRDefault="00A452A5" w:rsidP="001A2518">
      <w:pPr>
        <w:spacing w:after="120"/>
        <w:ind w:right="96"/>
        <w:jc w:val="both"/>
        <w:rPr>
          <w:color w:val="000000" w:themeColor="text1"/>
          <w:lang w:val="en-US"/>
        </w:rPr>
      </w:pPr>
      <w:r>
        <w:rPr>
          <w:color w:val="000000" w:themeColor="text1"/>
          <w:lang w:val="en-US"/>
        </w:rPr>
        <w:t>44</w:t>
      </w:r>
      <w:r w:rsidR="001A2518" w:rsidRPr="0093482F">
        <w:rPr>
          <w:color w:val="000000" w:themeColor="text1"/>
          <w:lang w:val="en-US"/>
        </w:rPr>
        <w:t>.</w:t>
      </w:r>
      <w:r w:rsidR="001A2518" w:rsidRPr="0093482F">
        <w:rPr>
          <w:color w:val="000000" w:themeColor="text1"/>
          <w:lang w:val="en-US"/>
        </w:rPr>
        <w:tab/>
        <w:t xml:space="preserve">In order to avoid further </w:t>
      </w:r>
      <w:r w:rsidR="002F1F78" w:rsidRPr="0093482F">
        <w:rPr>
          <w:color w:val="000000" w:themeColor="text1"/>
          <w:lang w:val="en-US"/>
        </w:rPr>
        <w:t xml:space="preserve">efforts </w:t>
      </w:r>
      <w:r w:rsidR="002F1F78" w:rsidRPr="009F0D55">
        <w:rPr>
          <w:color w:val="000000" w:themeColor="text1"/>
          <w:lang w:val="en-US"/>
        </w:rPr>
        <w:t>in</w:t>
      </w:r>
      <w:r w:rsidR="007237B3" w:rsidRPr="009F0D55">
        <w:rPr>
          <w:color w:val="000000" w:themeColor="text1"/>
          <w:lang w:val="en-US"/>
        </w:rPr>
        <w:t xml:space="preserve"> case of </w:t>
      </w:r>
      <w:r w:rsidR="001A2518" w:rsidRPr="0093482F">
        <w:rPr>
          <w:color w:val="000000" w:themeColor="text1"/>
          <w:lang w:val="en-US"/>
        </w:rPr>
        <w:t xml:space="preserve">inefficient </w:t>
      </w:r>
      <w:r w:rsidR="001A2518" w:rsidRPr="009F0D55">
        <w:rPr>
          <w:color w:val="000000" w:themeColor="text1"/>
          <w:lang w:val="en-US"/>
        </w:rPr>
        <w:t>solution</w:t>
      </w:r>
      <w:r w:rsidR="007237B3" w:rsidRPr="009F0D55">
        <w:rPr>
          <w:color w:val="000000" w:themeColor="text1"/>
          <w:lang w:val="en-US"/>
        </w:rPr>
        <w:t>s</w:t>
      </w:r>
      <w:r w:rsidR="001A2518" w:rsidRPr="0093482F">
        <w:rPr>
          <w:color w:val="000000" w:themeColor="text1"/>
          <w:lang w:val="en-US"/>
        </w:rPr>
        <w:t>, e.g. generating uneven costs (for comparable benefits) across different economic sectors, the same strategies will also need to consider the actions that have already been undertaken to date.</w:t>
      </w:r>
    </w:p>
    <w:p w:rsidR="001A2518" w:rsidRPr="0093482F" w:rsidRDefault="00A452A5" w:rsidP="001A2518">
      <w:pPr>
        <w:spacing w:after="120"/>
        <w:ind w:right="96"/>
        <w:jc w:val="both"/>
        <w:rPr>
          <w:color w:val="000000" w:themeColor="text1"/>
          <w:lang w:val="en-US"/>
        </w:rPr>
      </w:pPr>
      <w:r>
        <w:rPr>
          <w:color w:val="000000" w:themeColor="text1"/>
          <w:lang w:val="en-US"/>
        </w:rPr>
        <w:t>45</w:t>
      </w:r>
      <w:r w:rsidR="001A2518" w:rsidRPr="0093482F">
        <w:rPr>
          <w:color w:val="000000" w:themeColor="text1"/>
          <w:lang w:val="en-US"/>
        </w:rPr>
        <w:t>.</w:t>
      </w:r>
      <w:r w:rsidR="001A2518" w:rsidRPr="0093482F">
        <w:rPr>
          <w:color w:val="000000" w:themeColor="text1"/>
          <w:lang w:val="en-US"/>
        </w:rPr>
        <w:tab/>
        <w:t xml:space="preserve">A complex task such as the abatement of harmful air pollutants in the ambient air is unlikely to be feasible using a single policy interventions or measures that are limited to specific sectors. This is especially true when polices do not only </w:t>
      </w:r>
      <w:r w:rsidR="001A2518" w:rsidRPr="009F0D55">
        <w:rPr>
          <w:color w:val="000000" w:themeColor="text1"/>
          <w:lang w:val="en-US"/>
        </w:rPr>
        <w:t>address</w:t>
      </w:r>
      <w:r w:rsidR="001A2518" w:rsidRPr="0093482F">
        <w:rPr>
          <w:color w:val="000000" w:themeColor="text1"/>
          <w:lang w:val="en-US"/>
        </w:rPr>
        <w:t xml:space="preserve"> air pollution, but also congestion, noise and CO</w:t>
      </w:r>
      <w:r w:rsidR="001A2518" w:rsidRPr="0093482F">
        <w:rPr>
          <w:color w:val="000000" w:themeColor="text1"/>
          <w:vertAlign w:val="subscript"/>
          <w:lang w:val="en-US"/>
        </w:rPr>
        <w:t>2</w:t>
      </w:r>
      <w:r w:rsidR="001A2518" w:rsidRPr="0093482F">
        <w:rPr>
          <w:color w:val="000000" w:themeColor="text1"/>
          <w:lang w:val="en-US"/>
        </w:rPr>
        <w:t xml:space="preserve"> emission abatement. An effective strategy should include the adoption of a package of instruments, often comprising a range of different types of policies reinforcing the impact (and offsetting the disadvantages) of others (ADB, 2009).</w:t>
      </w:r>
    </w:p>
    <w:p w:rsidR="001A2518" w:rsidRPr="0093482F" w:rsidRDefault="00A452A5" w:rsidP="001A2518">
      <w:pPr>
        <w:spacing w:after="120"/>
        <w:ind w:right="96"/>
        <w:jc w:val="both"/>
        <w:rPr>
          <w:color w:val="000000" w:themeColor="text1"/>
        </w:rPr>
      </w:pPr>
      <w:r>
        <w:rPr>
          <w:color w:val="000000" w:themeColor="text1"/>
          <w:lang w:val="en-US"/>
        </w:rPr>
        <w:t>46</w:t>
      </w:r>
      <w:r w:rsidR="001A2518" w:rsidRPr="0093482F">
        <w:rPr>
          <w:color w:val="000000" w:themeColor="text1"/>
          <w:lang w:val="en-US"/>
        </w:rPr>
        <w:t>.</w:t>
      </w:r>
      <w:r w:rsidR="001A2518" w:rsidRPr="0093482F">
        <w:rPr>
          <w:color w:val="000000" w:themeColor="text1"/>
          <w:lang w:val="en-US"/>
        </w:rPr>
        <w:tab/>
        <w:t xml:space="preserve">The instruments available to get to this objective typically include economic measures, regulatory approaches and participatory initiatives. Economic measures comprise taxes, subsidies, the exemptions from levies and other financial incentives, or the combination of these instruments. Command and control (or regulatory) policies can be easier to implement than economic instruments, but they are not immune from inefficiencies such as the obligation to face different marginal costs for different users. They are best suited for a number of specific situations: emergencies, interventions targeting specific fields and cases when the optimum is very close to a condition that can be easily and precisely defined (e.g. zero emissions of a given pollutant, when even a small release of this pollutant would lead to high social and environmental losses). </w:t>
      </w:r>
      <w:r w:rsidR="001A2518" w:rsidRPr="0093482F">
        <w:rPr>
          <w:color w:val="000000" w:themeColor="text1"/>
        </w:rPr>
        <w:t>Participatory instruments are concerned with the direct involvement of consumers and businesses. They encompass awareness-raising campaigns, instruments capable to improve consumer information (e.g. labelling schemes or the dissemination of best practices) and the negotiation of voluntary agreements between the industry and regulators. They can be combined with economic instruments (e.g. reducing the cost of training programs through fiscal incentives, or using taxation in combination with labelling) and regulatory approaches (e.g. the progressive phase-out of obsolete and underperforming options, combined with labelling and awareness-raising initiatives).</w:t>
      </w:r>
    </w:p>
    <w:p w:rsidR="001A2518" w:rsidRPr="0093482F" w:rsidRDefault="00A452A5" w:rsidP="001A2518">
      <w:pPr>
        <w:spacing w:after="120"/>
        <w:ind w:right="96"/>
        <w:jc w:val="both"/>
        <w:rPr>
          <w:color w:val="000000" w:themeColor="text1"/>
        </w:rPr>
      </w:pPr>
      <w:r>
        <w:rPr>
          <w:color w:val="000000" w:themeColor="text1"/>
        </w:rPr>
        <w:lastRenderedPageBreak/>
        <w:t>47</w:t>
      </w:r>
      <w:r w:rsidR="001A2518" w:rsidRPr="0093482F">
        <w:rPr>
          <w:color w:val="000000" w:themeColor="text1"/>
        </w:rPr>
        <w:t>.</w:t>
      </w:r>
      <w:r w:rsidR="001A2518" w:rsidRPr="0093482F">
        <w:rPr>
          <w:color w:val="000000" w:themeColor="text1"/>
        </w:rPr>
        <w:tab/>
        <w:t>The reduction of air pollution has been most frequently tackled with regulatory instruments</w:t>
      </w:r>
      <w:r w:rsidR="001A2518" w:rsidRPr="009F0D55">
        <w:rPr>
          <w:color w:val="000000" w:themeColor="text1"/>
        </w:rPr>
        <w:t>.</w:t>
      </w:r>
      <w:r w:rsidR="001A2518" w:rsidRPr="0093482F">
        <w:rPr>
          <w:color w:val="000000" w:themeColor="text1"/>
        </w:rPr>
        <w:t xml:space="preserve"> Economic instruments such as differentiated taxation on fuels (e.g. on natural gas for transport and residential/commercial heating) also exist. In most cases, however, they have been enforced to pursue primarily other policy objectives, such as energy diversification. Typical examples of regulatory policy interventions were mentioned in section IV. They include</w:t>
      </w:r>
      <w:r w:rsidR="001A2518" w:rsidRPr="0093482F">
        <w:rPr>
          <w:color w:val="000000" w:themeColor="text1"/>
          <w:lang w:val="en-US"/>
        </w:rPr>
        <w:t xml:space="preserve"> mandatory fuel quality specifications and standards limiting pollution levels (e.g. for noxious pollutants released by the combustion of fuels). In transport, other regulatory instruments can also target the access to different part of the infrastructures of the transportation network (e.g. city centers), speed limits, as well as decisions on land-use planning, e.g. influence the development of urban areas along transit axes and to promote modal shifts in a way that favors less polluting options, like public transportation.</w:t>
      </w:r>
    </w:p>
    <w:p w:rsidR="001A2518" w:rsidRPr="0093482F" w:rsidRDefault="00A452A5" w:rsidP="001A2518">
      <w:pPr>
        <w:spacing w:after="0"/>
        <w:ind w:right="96"/>
        <w:jc w:val="both"/>
        <w:rPr>
          <w:color w:val="000000" w:themeColor="text1"/>
          <w:lang w:val="en-US"/>
        </w:rPr>
      </w:pPr>
      <w:r>
        <w:rPr>
          <w:color w:val="000000" w:themeColor="text1"/>
          <w:lang w:val="en-US"/>
        </w:rPr>
        <w:t>48</w:t>
      </w:r>
      <w:r w:rsidR="001A2518" w:rsidRPr="009F0D55">
        <w:rPr>
          <w:color w:val="000000" w:themeColor="text1"/>
          <w:lang w:val="en-US"/>
        </w:rPr>
        <w:t>.</w:t>
      </w:r>
      <w:r w:rsidR="001A2518" w:rsidRPr="009F0D55">
        <w:rPr>
          <w:color w:val="000000" w:themeColor="text1"/>
          <w:lang w:val="en-US"/>
        </w:rPr>
        <w:tab/>
      </w:r>
      <w:r w:rsidR="001A2518" w:rsidRPr="0093482F">
        <w:rPr>
          <w:color w:val="000000" w:themeColor="text1"/>
          <w:lang w:val="en-US"/>
        </w:rPr>
        <w:t>When looking at regulatory measures adopted in recent years, it is important to underline that:</w:t>
      </w:r>
    </w:p>
    <w:p w:rsidR="001A2518" w:rsidRPr="0093482F" w:rsidRDefault="001A2518" w:rsidP="0093482F">
      <w:pPr>
        <w:pStyle w:val="ListParagraph"/>
        <w:numPr>
          <w:ilvl w:val="0"/>
          <w:numId w:val="21"/>
        </w:numPr>
        <w:spacing w:after="120"/>
        <w:ind w:right="96"/>
        <w:jc w:val="both"/>
        <w:rPr>
          <w:color w:val="000000" w:themeColor="text1"/>
          <w:lang w:val="en-US"/>
        </w:rPr>
      </w:pPr>
      <w:r w:rsidRPr="009F0D55">
        <w:rPr>
          <w:color w:val="000000" w:themeColor="text1"/>
          <w:lang w:val="en-US"/>
        </w:rPr>
        <w:t>The</w:t>
      </w:r>
      <w:r w:rsidRPr="0093482F">
        <w:rPr>
          <w:color w:val="000000" w:themeColor="text1"/>
          <w:lang w:val="en-US"/>
        </w:rPr>
        <w:t xml:space="preserve"> same EEA report (EEA, 2010) identifying airborne particulate matter (PM), tropospheric (ground-level) ozone (O</w:t>
      </w:r>
      <w:r w:rsidRPr="0093482F">
        <w:rPr>
          <w:color w:val="000000" w:themeColor="text1"/>
          <w:vertAlign w:val="subscript"/>
          <w:lang w:val="en-US"/>
        </w:rPr>
        <w:t>3</w:t>
      </w:r>
      <w:r w:rsidRPr="0093482F">
        <w:rPr>
          <w:color w:val="000000" w:themeColor="text1"/>
          <w:lang w:val="en-US"/>
        </w:rPr>
        <w:t>) and nitrogen dioxide (NO</w:t>
      </w:r>
      <w:r w:rsidRPr="0093482F">
        <w:rPr>
          <w:color w:val="000000" w:themeColor="text1"/>
          <w:vertAlign w:val="subscript"/>
          <w:lang w:val="en-US"/>
        </w:rPr>
        <w:t>2</w:t>
      </w:r>
      <w:r w:rsidRPr="0093482F">
        <w:rPr>
          <w:color w:val="000000" w:themeColor="text1"/>
          <w:lang w:val="en-US"/>
        </w:rPr>
        <w:t xml:space="preserve">) as Europe's most problematic pollutants also openly recognizes that regulatory action such as the Euro vehicle emission </w:t>
      </w:r>
      <w:r w:rsidRPr="009F0D55">
        <w:rPr>
          <w:color w:val="000000" w:themeColor="text1"/>
          <w:lang w:val="en-US"/>
        </w:rPr>
        <w:t>regulations</w:t>
      </w:r>
      <w:r w:rsidRPr="0093482F">
        <w:rPr>
          <w:color w:val="000000" w:themeColor="text1"/>
          <w:lang w:val="en-US"/>
        </w:rPr>
        <w:t xml:space="preserve"> and EU directives on large combustion plants have </w:t>
      </w:r>
      <w:r w:rsidRPr="009F0D55">
        <w:rPr>
          <w:color w:val="000000" w:themeColor="text1"/>
          <w:lang w:val="en-US"/>
        </w:rPr>
        <w:t>considerably</w:t>
      </w:r>
      <w:r w:rsidRPr="0093482F">
        <w:rPr>
          <w:color w:val="000000" w:themeColor="text1"/>
          <w:lang w:val="en-US"/>
        </w:rPr>
        <w:t xml:space="preserve"> reduced emissions of PM, NMVOCs, NO</w:t>
      </w:r>
      <w:r w:rsidRPr="0093482F">
        <w:rPr>
          <w:color w:val="000000" w:themeColor="text1"/>
          <w:vertAlign w:val="subscript"/>
          <w:lang w:val="en-US"/>
        </w:rPr>
        <w:t>X</w:t>
      </w:r>
      <w:r w:rsidRPr="0093482F">
        <w:rPr>
          <w:color w:val="000000" w:themeColor="text1"/>
          <w:lang w:val="en-US"/>
        </w:rPr>
        <w:t xml:space="preserve"> and SO</w:t>
      </w:r>
      <w:r w:rsidRPr="0093482F">
        <w:rPr>
          <w:color w:val="000000" w:themeColor="text1"/>
          <w:vertAlign w:val="subscript"/>
          <w:lang w:val="en-US"/>
        </w:rPr>
        <w:t>2</w:t>
      </w:r>
      <w:r w:rsidRPr="0093482F">
        <w:rPr>
          <w:color w:val="000000" w:themeColor="text1"/>
          <w:lang w:val="en-US"/>
        </w:rPr>
        <w:t>;</w:t>
      </w:r>
    </w:p>
    <w:p w:rsidR="001A2518" w:rsidRPr="0093482F" w:rsidRDefault="001A2518" w:rsidP="0093482F">
      <w:pPr>
        <w:pStyle w:val="ListParagraph"/>
        <w:numPr>
          <w:ilvl w:val="0"/>
          <w:numId w:val="21"/>
        </w:numPr>
        <w:spacing w:after="120"/>
        <w:ind w:right="96"/>
        <w:jc w:val="both"/>
        <w:rPr>
          <w:color w:val="000000" w:themeColor="text1"/>
          <w:lang w:val="en-US"/>
        </w:rPr>
      </w:pPr>
      <w:r w:rsidRPr="009F0D55">
        <w:rPr>
          <w:color w:val="000000" w:themeColor="text1"/>
          <w:lang w:val="en-US"/>
        </w:rPr>
        <w:t>Recent</w:t>
      </w:r>
      <w:r w:rsidRPr="0093482F">
        <w:rPr>
          <w:color w:val="000000" w:themeColor="text1"/>
          <w:lang w:val="en-US"/>
        </w:rPr>
        <w:t xml:space="preserve"> EU legislations, like the Euro 5 and Euro 6 regulations for light road transport vehicle and the EURO VI regulation, concerning </w:t>
      </w:r>
      <w:r w:rsidRPr="009F0D55">
        <w:rPr>
          <w:color w:val="000000" w:themeColor="text1"/>
          <w:lang w:val="en-US"/>
        </w:rPr>
        <w:t xml:space="preserve">the pollutant emissions from </w:t>
      </w:r>
      <w:r w:rsidRPr="0093482F">
        <w:rPr>
          <w:color w:val="000000" w:themeColor="text1"/>
          <w:lang w:val="en-US"/>
        </w:rPr>
        <w:t xml:space="preserve">engines used on heavy duty vehicles - recently </w:t>
      </w:r>
      <w:r w:rsidRPr="009F0D55">
        <w:rPr>
          <w:color w:val="000000" w:themeColor="text1"/>
          <w:lang w:val="en-US"/>
        </w:rPr>
        <w:t>introduced through</w:t>
      </w:r>
      <w:r w:rsidRPr="0093482F">
        <w:rPr>
          <w:color w:val="000000" w:themeColor="text1"/>
          <w:lang w:val="en-US"/>
        </w:rPr>
        <w:t xml:space="preserve"> UN Regulations No. 83 (UNECE, 2010) and No. 49 (UNECE, 2012) by the UNECE World Forum for Harmonization of Vehicle Regulations (WP.29) - have further strengthened the action being taken on road transport vehicles</w:t>
      </w:r>
      <w:r w:rsidRPr="0093482F">
        <w:rPr>
          <w:rStyle w:val="FootnoteReference"/>
          <w:color w:val="000000" w:themeColor="text1"/>
          <w:lang w:val="en-US"/>
        </w:rPr>
        <w:footnoteReference w:id="3"/>
      </w:r>
      <w:r w:rsidRPr="0093482F">
        <w:rPr>
          <w:color w:val="000000" w:themeColor="text1"/>
          <w:lang w:val="en-US"/>
        </w:rPr>
        <w:t xml:space="preserve">. </w:t>
      </w:r>
      <w:r w:rsidRPr="0093482F">
        <w:rPr>
          <w:color w:val="000000" w:themeColor="text1"/>
        </w:rPr>
        <w:t>Similar legislative initiatives have been enforced in North America (US EPA, 2000) and are being progressively considered in countries with rapidly increasing motorization rates</w:t>
      </w:r>
      <w:r w:rsidRPr="0093482F">
        <w:rPr>
          <w:color w:val="000000" w:themeColor="text1"/>
          <w:lang w:val="en-US"/>
        </w:rPr>
        <w:t>;</w:t>
      </w:r>
    </w:p>
    <w:p w:rsidR="001A2518" w:rsidRPr="0093482F" w:rsidRDefault="001A2518" w:rsidP="0093482F">
      <w:pPr>
        <w:pStyle w:val="ListParagraph"/>
        <w:numPr>
          <w:ilvl w:val="0"/>
          <w:numId w:val="21"/>
        </w:numPr>
        <w:spacing w:after="120"/>
        <w:ind w:right="96"/>
        <w:jc w:val="both"/>
        <w:rPr>
          <w:color w:val="000000" w:themeColor="text1"/>
          <w:lang w:val="en-US"/>
        </w:rPr>
      </w:pPr>
      <w:r w:rsidRPr="009F0D55">
        <w:rPr>
          <w:color w:val="000000" w:themeColor="text1"/>
          <w:lang w:val="en-US"/>
        </w:rPr>
        <w:t>For</w:t>
      </w:r>
      <w:r w:rsidRPr="0093482F">
        <w:rPr>
          <w:color w:val="000000" w:themeColor="text1"/>
          <w:lang w:val="en-US"/>
        </w:rPr>
        <w:t xml:space="preserve"> non-road transport modes, as well as other sectors, such as the household and commercial/institutional sector, legislative initiatives have been undertaken with less frequency and with lower ambitions than in road transport. One of the few examples of legislative action in the residential and commercial area is available in Germany, where new small firing installations, such as stoves, are subject to regulatory requirements, and where the same legislative framework also requires the modernization of existing installations of the same kind (BMU, 2010).</w:t>
      </w:r>
    </w:p>
    <w:p w:rsidR="001A2518" w:rsidRPr="00DA789A" w:rsidRDefault="001A2518" w:rsidP="0093482F">
      <w:pPr>
        <w:pStyle w:val="Heading1"/>
        <w:rPr>
          <w:lang w:val="en-US"/>
        </w:rPr>
      </w:pPr>
      <w:bookmarkStart w:id="12" w:name="_Toc343595882"/>
      <w:r w:rsidRPr="00DA789A">
        <w:rPr>
          <w:lang w:val="en-US"/>
        </w:rPr>
        <w:t>VIII.</w:t>
      </w:r>
      <w:r w:rsidRPr="00DA789A">
        <w:rPr>
          <w:lang w:val="en-US"/>
        </w:rPr>
        <w:tab/>
        <w:t>Diesel</w:t>
      </w:r>
      <w:r w:rsidR="002F1F78">
        <w:rPr>
          <w:lang w:val="en-US"/>
        </w:rPr>
        <w:t xml:space="preserve"> exhaust emissions</w:t>
      </w:r>
      <w:bookmarkEnd w:id="12"/>
    </w:p>
    <w:p w:rsidR="001A2518" w:rsidRPr="0093482F" w:rsidRDefault="00A452A5" w:rsidP="001A2518">
      <w:pPr>
        <w:spacing w:after="120"/>
        <w:ind w:right="-46"/>
        <w:jc w:val="both"/>
        <w:rPr>
          <w:color w:val="000000" w:themeColor="text1"/>
          <w:lang w:val="en-US"/>
        </w:rPr>
      </w:pPr>
      <w:r>
        <w:rPr>
          <w:color w:val="000000" w:themeColor="text1"/>
          <w:lang w:val="en-US"/>
        </w:rPr>
        <w:t>49</w:t>
      </w:r>
      <w:r w:rsidR="001A2518" w:rsidRPr="0093482F">
        <w:rPr>
          <w:color w:val="000000" w:themeColor="text1"/>
          <w:lang w:val="en-US"/>
        </w:rPr>
        <w:t>.</w:t>
      </w:r>
      <w:r w:rsidR="001A2518" w:rsidRPr="0093482F">
        <w:rPr>
          <w:color w:val="000000" w:themeColor="text1"/>
          <w:lang w:val="en-US"/>
        </w:rPr>
        <w:tab/>
        <w:t xml:space="preserve">Internal combustion engines powered by diesel fuel oil tend to offer better performances in terms of fuel consumption (also associated with lower greenhouse gas emissions) with respect to comparable gasoline engines. Even if diesel ICEs cost more than their gasoline equivalents, the fuel savings they generate tend to exceed the incremental investment cost gap they require for their purchase. Since savings are larger in applications that require an intensive use of the ICE, diesel ICEs </w:t>
      </w:r>
      <w:r w:rsidR="001A2518" w:rsidRPr="0093482F">
        <w:rPr>
          <w:color w:val="000000" w:themeColor="text1"/>
          <w:lang w:val="en-US"/>
        </w:rPr>
        <w:lastRenderedPageBreak/>
        <w:t>are the main technology of choice in heavy-duty stationary and mobile applications. This is the case for a wide range of economic and industrial sectors, including for instance goods movement, public transportation, construction and agriculture.</w:t>
      </w:r>
    </w:p>
    <w:p w:rsidR="001A2518" w:rsidRPr="0093482F" w:rsidRDefault="00A452A5" w:rsidP="00511DFA">
      <w:pPr>
        <w:spacing w:before="120" w:after="120"/>
        <w:ind w:right="-45"/>
        <w:jc w:val="both"/>
        <w:rPr>
          <w:color w:val="000000" w:themeColor="text1"/>
          <w:lang w:val="en-US"/>
        </w:rPr>
      </w:pPr>
      <w:r>
        <w:rPr>
          <w:color w:val="000000" w:themeColor="text1"/>
          <w:lang w:val="en-US"/>
        </w:rPr>
        <w:t>50</w:t>
      </w:r>
      <w:r w:rsidR="001A2518" w:rsidRPr="0093482F">
        <w:rPr>
          <w:color w:val="000000" w:themeColor="text1"/>
          <w:lang w:val="en-US"/>
        </w:rPr>
        <w:t>.</w:t>
      </w:r>
      <w:r w:rsidR="001A2518" w:rsidRPr="0093482F">
        <w:rPr>
          <w:color w:val="000000" w:themeColor="text1"/>
          <w:lang w:val="en-US"/>
        </w:rPr>
        <w:tab/>
        <w:t>Transport applications are highly dependent on liquid fuels and strongly coupled with internal combustion engine (ICE) technologies. Within transport, heavy duty transport modes (including road, rail, maritime and air transport) are those with the strongest association with diesel ICEs</w:t>
      </w:r>
      <w:r w:rsidR="001A2518" w:rsidRPr="009F0D55">
        <w:rPr>
          <w:color w:val="000000" w:themeColor="text1"/>
          <w:lang w:val="en-US"/>
        </w:rPr>
        <w:t>, contrary to</w:t>
      </w:r>
      <w:r w:rsidR="001A2518" w:rsidRPr="0093482F">
        <w:rPr>
          <w:color w:val="000000" w:themeColor="text1"/>
          <w:lang w:val="en-US"/>
        </w:rPr>
        <w:t xml:space="preserve"> residential, industry, mining and energy sectors </w:t>
      </w:r>
      <w:r w:rsidR="001A2518" w:rsidRPr="009F0D55">
        <w:rPr>
          <w:color w:val="000000" w:themeColor="text1"/>
          <w:lang w:val="en-US"/>
        </w:rPr>
        <w:t>with a</w:t>
      </w:r>
      <w:r w:rsidR="001A2518" w:rsidRPr="0093482F">
        <w:rPr>
          <w:color w:val="000000" w:themeColor="text1"/>
          <w:lang w:val="en-US"/>
        </w:rPr>
        <w:t xml:space="preserve"> wide range of applications </w:t>
      </w:r>
      <w:r w:rsidR="001A2518" w:rsidRPr="009F0D55">
        <w:rPr>
          <w:color w:val="000000" w:themeColor="text1"/>
          <w:lang w:val="en-US"/>
        </w:rPr>
        <w:t xml:space="preserve">of diesel fuel </w:t>
      </w:r>
      <w:r w:rsidR="001A2518" w:rsidRPr="0093482F">
        <w:rPr>
          <w:color w:val="000000" w:themeColor="text1"/>
          <w:lang w:val="en-US"/>
        </w:rPr>
        <w:t xml:space="preserve">(such as heating and power generation plants), not only </w:t>
      </w:r>
      <w:r w:rsidR="001A2518" w:rsidRPr="009F0D55">
        <w:rPr>
          <w:color w:val="000000" w:themeColor="text1"/>
          <w:lang w:val="en-US"/>
        </w:rPr>
        <w:t>with</w:t>
      </w:r>
      <w:r w:rsidR="001A2518" w:rsidRPr="0093482F">
        <w:rPr>
          <w:color w:val="000000" w:themeColor="text1"/>
          <w:lang w:val="en-US"/>
        </w:rPr>
        <w:t xml:space="preserve"> ICEs.</w:t>
      </w:r>
    </w:p>
    <w:p w:rsidR="002F1F78" w:rsidRPr="00C61948" w:rsidRDefault="002F1F78" w:rsidP="0093482F">
      <w:pPr>
        <w:pStyle w:val="Heading2"/>
        <w:spacing w:before="120" w:after="120"/>
        <w:rPr>
          <w:lang w:val="en-US"/>
        </w:rPr>
      </w:pPr>
      <w:bookmarkStart w:id="13" w:name="_Toc343595883"/>
      <w:r w:rsidRPr="00C61948">
        <w:rPr>
          <w:lang w:val="en-US"/>
        </w:rPr>
        <w:t>VIII.1</w:t>
      </w:r>
      <w:r w:rsidRPr="00C61948">
        <w:rPr>
          <w:lang w:val="en-US"/>
        </w:rPr>
        <w:tab/>
        <w:t>International Agency on Research on Cancer (IARC) decision on the carcinogenicity of diesel engine exhaust</w:t>
      </w:r>
      <w:bookmarkEnd w:id="13"/>
    </w:p>
    <w:p w:rsidR="007B2285" w:rsidRDefault="00A452A5" w:rsidP="00511DFA">
      <w:pPr>
        <w:spacing w:after="120"/>
        <w:ind w:right="-45"/>
        <w:jc w:val="both"/>
        <w:rPr>
          <w:lang w:val="en-US"/>
        </w:rPr>
      </w:pPr>
      <w:r>
        <w:rPr>
          <w:lang w:val="en-US"/>
        </w:rPr>
        <w:t>51</w:t>
      </w:r>
      <w:r w:rsidR="007B2285" w:rsidRPr="00AB179F">
        <w:rPr>
          <w:lang w:val="en-US"/>
        </w:rPr>
        <w:t xml:space="preserve">. </w:t>
      </w:r>
      <w:r w:rsidR="00DA789A">
        <w:rPr>
          <w:lang w:val="en-US"/>
        </w:rPr>
        <w:tab/>
      </w:r>
      <w:r w:rsidR="007B2285">
        <w:rPr>
          <w:lang w:val="en-US"/>
        </w:rPr>
        <w:t>In June 2012, t</w:t>
      </w:r>
      <w:r w:rsidR="007B2285" w:rsidRPr="00AB179F">
        <w:rPr>
          <w:lang w:val="en-US"/>
        </w:rPr>
        <w:t>he World Health Organization’s International Agency on Research on Cancer (IARC)</w:t>
      </w:r>
      <w:r w:rsidR="00B41E24" w:rsidRPr="00AB179F">
        <w:rPr>
          <w:rStyle w:val="FootnoteReference"/>
          <w:lang w:val="en-US"/>
        </w:rPr>
        <w:footnoteReference w:id="4"/>
      </w:r>
      <w:r w:rsidR="007B2285" w:rsidRPr="00AB179F">
        <w:rPr>
          <w:lang w:val="en-US"/>
        </w:rPr>
        <w:t xml:space="preserve"> </w:t>
      </w:r>
      <w:r w:rsidR="007B2285">
        <w:rPr>
          <w:lang w:val="en-US"/>
        </w:rPr>
        <w:t>concluded</w:t>
      </w:r>
      <w:r w:rsidR="007B2285" w:rsidRPr="00AB179F">
        <w:rPr>
          <w:lang w:val="en-US"/>
        </w:rPr>
        <w:t xml:space="preserve"> </w:t>
      </w:r>
      <w:r w:rsidR="007B2285">
        <w:rPr>
          <w:lang w:val="en-US"/>
        </w:rPr>
        <w:t xml:space="preserve">that </w:t>
      </w:r>
      <w:r w:rsidR="007B2285" w:rsidRPr="00AB179F">
        <w:rPr>
          <w:lang w:val="en-US"/>
        </w:rPr>
        <w:t xml:space="preserve">diesel engine exhaust </w:t>
      </w:r>
      <w:r w:rsidR="007B2285">
        <w:rPr>
          <w:lang w:val="en-US"/>
        </w:rPr>
        <w:t>i</w:t>
      </w:r>
      <w:r w:rsidR="007B2285" w:rsidRPr="00AB179F">
        <w:rPr>
          <w:lang w:val="en-US"/>
        </w:rPr>
        <w:t xml:space="preserve">s carcinogenic to </w:t>
      </w:r>
      <w:r w:rsidR="00D62F98" w:rsidRPr="00AB179F">
        <w:rPr>
          <w:lang w:val="en-US"/>
        </w:rPr>
        <w:t>humans</w:t>
      </w:r>
      <w:r w:rsidR="007B2285" w:rsidRPr="00AB179F">
        <w:rPr>
          <w:lang w:val="en-US"/>
        </w:rPr>
        <w:t xml:space="preserve"> based on sufficient evidence that exposure is associated with an increased risk for lung cancer</w:t>
      </w:r>
      <w:r w:rsidR="0091135B">
        <w:rPr>
          <w:lang w:val="en-US"/>
        </w:rPr>
        <w:t xml:space="preserve"> (</w:t>
      </w:r>
      <w:r w:rsidR="007B2285" w:rsidRPr="00D62F98">
        <w:rPr>
          <w:lang w:val="en-US"/>
        </w:rPr>
        <w:t>IARC</w:t>
      </w:r>
      <w:r w:rsidR="0091135B">
        <w:rPr>
          <w:lang w:val="en-US"/>
        </w:rPr>
        <w:t>, 2012)</w:t>
      </w:r>
      <w:r w:rsidR="00C62687" w:rsidRPr="00AB179F">
        <w:rPr>
          <w:lang w:val="en-US"/>
        </w:rPr>
        <w:t>.</w:t>
      </w:r>
      <w:r w:rsidR="00E862E3">
        <w:rPr>
          <w:lang w:val="en-US"/>
        </w:rPr>
        <w:t xml:space="preserve"> </w:t>
      </w:r>
      <w:r w:rsidR="00AB14F6">
        <w:rPr>
          <w:lang w:val="en-US"/>
        </w:rPr>
        <w:t xml:space="preserve">IARC </w:t>
      </w:r>
      <w:r w:rsidR="00E862E3">
        <w:rPr>
          <w:lang w:val="en-US"/>
        </w:rPr>
        <w:t>thereby</w:t>
      </w:r>
      <w:r w:rsidR="007B2285" w:rsidRPr="00D62F98">
        <w:rPr>
          <w:lang w:val="en-US"/>
        </w:rPr>
        <w:t xml:space="preserve"> changed its finding from 1988</w:t>
      </w:r>
      <w:r w:rsidR="00E862E3">
        <w:rPr>
          <w:lang w:val="en-US"/>
        </w:rPr>
        <w:t>,</w:t>
      </w:r>
      <w:r w:rsidR="007B2285" w:rsidRPr="00D62F98">
        <w:rPr>
          <w:lang w:val="en-US"/>
        </w:rPr>
        <w:t xml:space="preserve"> when it classified diesel exhaust as probably</w:t>
      </w:r>
      <w:r w:rsidR="00E862E3">
        <w:rPr>
          <w:lang w:val="en-US"/>
        </w:rPr>
        <w:t xml:space="preserve"> being</w:t>
      </w:r>
      <w:r w:rsidR="007B2285" w:rsidRPr="00D62F98">
        <w:rPr>
          <w:lang w:val="en-US"/>
        </w:rPr>
        <w:t xml:space="preserve"> carcinogenic to</w:t>
      </w:r>
      <w:r w:rsidR="007B2285" w:rsidRPr="00AB179F">
        <w:rPr>
          <w:lang w:val="en-US"/>
        </w:rPr>
        <w:t xml:space="preserve"> humans.  The finding from a previous evaluation </w:t>
      </w:r>
      <w:r w:rsidR="00E862E3">
        <w:rPr>
          <w:lang w:val="en-US"/>
        </w:rPr>
        <w:t>in</w:t>
      </w:r>
      <w:r w:rsidR="00E862E3" w:rsidRPr="00AB179F">
        <w:rPr>
          <w:lang w:val="en-US"/>
        </w:rPr>
        <w:t xml:space="preserve"> </w:t>
      </w:r>
      <w:r w:rsidR="007B2285" w:rsidRPr="00AB179F">
        <w:rPr>
          <w:lang w:val="en-US"/>
        </w:rPr>
        <w:t>1989</w:t>
      </w:r>
      <w:r w:rsidR="00E862E3">
        <w:rPr>
          <w:lang w:val="en-US"/>
        </w:rPr>
        <w:t>,</w:t>
      </w:r>
      <w:r w:rsidR="007B2285" w:rsidRPr="00AB179F">
        <w:rPr>
          <w:lang w:val="en-US"/>
        </w:rPr>
        <w:t xml:space="preserve"> that gasoline exhaust is possibly carcinogenic to humans</w:t>
      </w:r>
      <w:r w:rsidR="00E862E3">
        <w:rPr>
          <w:lang w:val="en-US"/>
        </w:rPr>
        <w:t>,</w:t>
      </w:r>
      <w:r w:rsidR="007B2285" w:rsidRPr="00AB179F">
        <w:rPr>
          <w:lang w:val="en-US"/>
        </w:rPr>
        <w:t xml:space="preserve"> remained unchanged. </w:t>
      </w:r>
    </w:p>
    <w:p w:rsidR="00DA789A" w:rsidRDefault="00A452A5" w:rsidP="00511DFA">
      <w:pPr>
        <w:spacing w:after="120"/>
        <w:ind w:right="-45"/>
        <w:jc w:val="both"/>
        <w:rPr>
          <w:lang w:val="en-US"/>
        </w:rPr>
      </w:pPr>
      <w:r>
        <w:rPr>
          <w:lang w:val="en-US"/>
        </w:rPr>
        <w:t>52</w:t>
      </w:r>
      <w:r w:rsidR="007B2285" w:rsidRPr="00537FF6">
        <w:rPr>
          <w:lang w:val="en-US"/>
        </w:rPr>
        <w:t>.</w:t>
      </w:r>
      <w:r w:rsidR="00DA789A">
        <w:rPr>
          <w:lang w:val="en-US"/>
        </w:rPr>
        <w:tab/>
      </w:r>
      <w:r w:rsidR="007B2285" w:rsidRPr="00537FF6">
        <w:rPr>
          <w:lang w:val="en-US"/>
        </w:rPr>
        <w:t xml:space="preserve"> It is noteworthy that the IARC decision was unanimous and was based on "compelling" scientific evidence. It urged people worldwide to reduce their exposure to diesel fumes as much as possible. Large populations are exposed to diesel exhaust in everyday life, whether through their occupation or through the ambient air. People are exposed not only to motor vehicle exhausts but also to exhausts from other diesel engines, including from other modes of transport </w:t>
      </w:r>
      <w:r w:rsidR="00625297">
        <w:rPr>
          <w:lang w:val="en-US"/>
        </w:rPr>
        <w:t>(</w:t>
      </w:r>
      <w:r w:rsidR="007B2285" w:rsidRPr="00537FF6">
        <w:rPr>
          <w:lang w:val="en-US"/>
        </w:rPr>
        <w:t>e.g. diesel trains and ships</w:t>
      </w:r>
      <w:r w:rsidR="00625297">
        <w:rPr>
          <w:lang w:val="en-US"/>
        </w:rPr>
        <w:t>)</w:t>
      </w:r>
      <w:r w:rsidR="007B2285" w:rsidRPr="00537FF6">
        <w:rPr>
          <w:lang w:val="en-US"/>
        </w:rPr>
        <w:t xml:space="preserve"> and </w:t>
      </w:r>
      <w:r w:rsidR="00625297">
        <w:rPr>
          <w:lang w:val="en-US"/>
        </w:rPr>
        <w:t>stationary sources (e.g.</w:t>
      </w:r>
      <w:r w:rsidR="007B2285" w:rsidRPr="00537FF6">
        <w:rPr>
          <w:lang w:val="en-US"/>
        </w:rPr>
        <w:t xml:space="preserve"> power </w:t>
      </w:r>
      <w:r w:rsidR="00625297">
        <w:rPr>
          <w:lang w:val="en-US"/>
        </w:rPr>
        <w:t xml:space="preserve">and motion </w:t>
      </w:r>
      <w:r w:rsidR="007B2285" w:rsidRPr="00537FF6">
        <w:rPr>
          <w:lang w:val="en-US"/>
        </w:rPr>
        <w:t>generators</w:t>
      </w:r>
      <w:r w:rsidR="00625297">
        <w:rPr>
          <w:lang w:val="en-US"/>
        </w:rPr>
        <w:t xml:space="preserve"> used in the energy and in the industrial sectors)</w:t>
      </w:r>
      <w:r w:rsidR="00AA51B9" w:rsidRPr="00AB179F">
        <w:rPr>
          <w:lang w:val="en-US"/>
        </w:rPr>
        <w:t>.</w:t>
      </w:r>
    </w:p>
    <w:p w:rsidR="00B41E24" w:rsidRPr="00DA789A" w:rsidRDefault="00A452A5" w:rsidP="00511DFA">
      <w:pPr>
        <w:spacing w:after="120"/>
        <w:ind w:right="-45"/>
        <w:jc w:val="both"/>
        <w:rPr>
          <w:lang w:val="en-US"/>
        </w:rPr>
      </w:pPr>
      <w:r>
        <w:rPr>
          <w:lang w:val="en-US"/>
        </w:rPr>
        <w:t>53</w:t>
      </w:r>
      <w:r w:rsidR="007B2285">
        <w:rPr>
          <w:lang w:val="en-US"/>
        </w:rPr>
        <w:t>.</w:t>
      </w:r>
      <w:r w:rsidR="00DA789A">
        <w:rPr>
          <w:lang w:val="en-US"/>
        </w:rPr>
        <w:tab/>
      </w:r>
      <w:r w:rsidR="007B2285" w:rsidRPr="0093482F">
        <w:rPr>
          <w:color w:val="000000" w:themeColor="text1"/>
          <w:lang w:val="en-US"/>
        </w:rPr>
        <w:t>However, the mounting concern about the cancer-causing potential of diesel exhaust was based on findings in epidemiological studies of workers exposed in various settings. This was re-emphasized by the publication in March 2012 of the results of a US National Cancer Institute/National Institute for Occupational Safety and Health study of occupational exposure to such emissions in underground miners, which showed an increased risk of death from lung cancer in exposed workers</w:t>
      </w:r>
      <w:r w:rsidR="00AB14F6">
        <w:rPr>
          <w:color w:val="000000" w:themeColor="text1"/>
          <w:lang w:val="en-US"/>
        </w:rPr>
        <w:t xml:space="preserve"> </w:t>
      </w:r>
      <w:r w:rsidR="00AB14F6" w:rsidRPr="00971E96">
        <w:rPr>
          <w:lang w:val="en-US"/>
        </w:rPr>
        <w:t>(</w:t>
      </w:r>
      <w:r w:rsidR="006212DE">
        <w:rPr>
          <w:lang w:val="en-US"/>
        </w:rPr>
        <w:t>IARC, 2012</w:t>
      </w:r>
      <w:r w:rsidR="00AB14F6" w:rsidRPr="00971E96">
        <w:rPr>
          <w:lang w:val="en-US"/>
        </w:rPr>
        <w:t>)</w:t>
      </w:r>
      <w:r w:rsidR="0091135B" w:rsidRPr="00971E96">
        <w:rPr>
          <w:lang w:val="en-US"/>
        </w:rPr>
        <w:t>.</w:t>
      </w:r>
    </w:p>
    <w:p w:rsidR="007B2285" w:rsidRPr="0093482F" w:rsidRDefault="00A452A5" w:rsidP="00511DFA">
      <w:pPr>
        <w:spacing w:after="120"/>
        <w:ind w:right="-45"/>
        <w:jc w:val="both"/>
        <w:rPr>
          <w:color w:val="000000" w:themeColor="text1"/>
          <w:lang w:val="en-US"/>
        </w:rPr>
      </w:pPr>
      <w:r>
        <w:rPr>
          <w:color w:val="000000" w:themeColor="text1"/>
          <w:lang w:val="en-US"/>
        </w:rPr>
        <w:t>54</w:t>
      </w:r>
      <w:r w:rsidR="007B2285" w:rsidRPr="009F0D55">
        <w:rPr>
          <w:color w:val="000000" w:themeColor="text1"/>
          <w:lang w:val="en-US"/>
        </w:rPr>
        <w:t>.</w:t>
      </w:r>
      <w:r w:rsidR="00DA789A" w:rsidRPr="0093482F">
        <w:rPr>
          <w:color w:val="000000" w:themeColor="text1"/>
          <w:lang w:val="en-US"/>
        </w:rPr>
        <w:tab/>
      </w:r>
      <w:r w:rsidR="007B2285" w:rsidRPr="0093482F">
        <w:rPr>
          <w:color w:val="000000" w:themeColor="text1"/>
          <w:lang w:val="en-US"/>
        </w:rPr>
        <w:t xml:space="preserve">Dr. Kurt </w:t>
      </w:r>
      <w:proofErr w:type="spellStart"/>
      <w:r w:rsidR="007B2285" w:rsidRPr="0093482F">
        <w:rPr>
          <w:color w:val="000000" w:themeColor="text1"/>
          <w:lang w:val="en-US"/>
        </w:rPr>
        <w:t>Striaf</w:t>
      </w:r>
      <w:proofErr w:type="spellEnd"/>
      <w:r w:rsidR="007B2285" w:rsidRPr="0093482F">
        <w:rPr>
          <w:color w:val="000000" w:themeColor="text1"/>
          <w:lang w:val="en-US"/>
        </w:rPr>
        <w:t>, Head of the IARC Monographs Program, indicated that “the main studies that led to the above mentioned conclusion were in highly exposed workers (mines) and that they came up to this conclusion based on other carcinogens, such as radon, that initial studies showing a risk in heavily occupational groups were followed by positive finding for the general population</w:t>
      </w:r>
      <w:r w:rsidR="0091135B" w:rsidRPr="00971E96">
        <w:rPr>
          <w:lang w:val="en-US"/>
        </w:rPr>
        <w:t>”</w:t>
      </w:r>
      <w:r w:rsidR="00AB14F6" w:rsidRPr="00AB14F6">
        <w:rPr>
          <w:lang w:val="en-US"/>
        </w:rPr>
        <w:t xml:space="preserve"> </w:t>
      </w:r>
      <w:r w:rsidR="00AB14F6" w:rsidRPr="00971E96">
        <w:rPr>
          <w:lang w:val="en-US"/>
        </w:rPr>
        <w:t>(</w:t>
      </w:r>
      <w:r w:rsidR="006212DE">
        <w:rPr>
          <w:lang w:val="en-US"/>
        </w:rPr>
        <w:t>IARC, 2012</w:t>
      </w:r>
      <w:r w:rsidR="00AB14F6" w:rsidRPr="00971E96">
        <w:rPr>
          <w:lang w:val="en-US"/>
        </w:rPr>
        <w:t>)</w:t>
      </w:r>
      <w:r w:rsidR="0091135B" w:rsidRPr="00971E96">
        <w:rPr>
          <w:lang w:val="en-US"/>
        </w:rPr>
        <w:t>.</w:t>
      </w:r>
      <w:r w:rsidR="007B2285" w:rsidRPr="0093482F">
        <w:rPr>
          <w:color w:val="000000" w:themeColor="text1"/>
          <w:lang w:val="en-US"/>
        </w:rPr>
        <w:t xml:space="preserve"> </w:t>
      </w:r>
    </w:p>
    <w:p w:rsidR="007B2285" w:rsidRPr="0093482F" w:rsidRDefault="00A452A5" w:rsidP="00511DFA">
      <w:pPr>
        <w:spacing w:after="120"/>
        <w:ind w:right="-45"/>
        <w:jc w:val="both"/>
        <w:rPr>
          <w:color w:val="000000" w:themeColor="text1"/>
          <w:lang w:val="en-US"/>
        </w:rPr>
      </w:pPr>
      <w:r>
        <w:rPr>
          <w:color w:val="000000" w:themeColor="text1"/>
          <w:lang w:val="en-US"/>
        </w:rPr>
        <w:t>55</w:t>
      </w:r>
      <w:r w:rsidR="007B2285" w:rsidRPr="009F0D55">
        <w:rPr>
          <w:color w:val="000000" w:themeColor="text1"/>
          <w:lang w:val="en-US"/>
        </w:rPr>
        <w:t>.</w:t>
      </w:r>
      <w:r w:rsidR="00DA789A" w:rsidRPr="0093482F">
        <w:rPr>
          <w:color w:val="000000" w:themeColor="text1"/>
          <w:lang w:val="en-US"/>
        </w:rPr>
        <w:tab/>
      </w:r>
      <w:r w:rsidR="007B2285" w:rsidRPr="0093482F">
        <w:rPr>
          <w:color w:val="000000" w:themeColor="text1"/>
          <w:lang w:val="en-US"/>
        </w:rPr>
        <w:t>Dr</w:t>
      </w:r>
      <w:r w:rsidR="004B0DC9" w:rsidRPr="00971E96">
        <w:rPr>
          <w:lang w:val="en-US"/>
        </w:rPr>
        <w:t>.</w:t>
      </w:r>
      <w:r w:rsidR="007B2285" w:rsidRPr="0093482F">
        <w:rPr>
          <w:color w:val="000000" w:themeColor="text1"/>
          <w:lang w:val="en-US"/>
        </w:rPr>
        <w:t xml:space="preserve"> Christopher Wild, IARC Director, answering the question if the new diesel engines are so clean that the findings from this Monograph meeting are no longer relevant to today´s situation</w:t>
      </w:r>
      <w:r w:rsidR="007B2285" w:rsidRPr="009F0D55">
        <w:rPr>
          <w:rStyle w:val="FootnoteReference"/>
          <w:color w:val="000000" w:themeColor="text1"/>
          <w:lang w:val="en-US"/>
        </w:rPr>
        <w:footnoteReference w:id="5"/>
      </w:r>
      <w:r w:rsidR="007B2285" w:rsidRPr="0093482F">
        <w:rPr>
          <w:color w:val="000000" w:themeColor="text1"/>
          <w:lang w:val="en-US"/>
        </w:rPr>
        <w:t xml:space="preserve">, </w:t>
      </w:r>
      <w:r w:rsidR="007B2285" w:rsidRPr="0093482F">
        <w:rPr>
          <w:color w:val="000000" w:themeColor="text1"/>
          <w:lang w:val="en-US"/>
        </w:rPr>
        <w:lastRenderedPageBreak/>
        <w:t xml:space="preserve">replied: “the new diesel engines contain far fewer </w:t>
      </w:r>
      <w:r w:rsidR="007B6C00" w:rsidRPr="0093482F">
        <w:rPr>
          <w:color w:val="000000" w:themeColor="text1"/>
          <w:lang w:val="en-US"/>
        </w:rPr>
        <w:t>particles</w:t>
      </w:r>
      <w:r w:rsidR="007B2285" w:rsidRPr="0093482F">
        <w:rPr>
          <w:color w:val="000000" w:themeColor="text1"/>
          <w:lang w:val="en-US"/>
        </w:rPr>
        <w:t xml:space="preserve"> and chemicals compare</w:t>
      </w:r>
      <w:r w:rsidR="007B6C00" w:rsidRPr="0093482F">
        <w:rPr>
          <w:color w:val="000000" w:themeColor="text1"/>
          <w:lang w:val="en-US"/>
        </w:rPr>
        <w:t>d</w:t>
      </w:r>
      <w:r w:rsidR="007B2285" w:rsidRPr="0093482F">
        <w:rPr>
          <w:color w:val="000000" w:themeColor="text1"/>
          <w:lang w:val="en-US"/>
        </w:rPr>
        <w:t xml:space="preserve"> to the older technology engines. In addition to that there are also qualitative changes</w:t>
      </w:r>
      <w:r w:rsidR="004B0DC9" w:rsidRPr="00971E96">
        <w:rPr>
          <w:lang w:val="en-US"/>
        </w:rPr>
        <w:t>,</w:t>
      </w:r>
      <w:r w:rsidR="007B2285" w:rsidRPr="0093482F">
        <w:rPr>
          <w:color w:val="000000" w:themeColor="text1"/>
          <w:lang w:val="en-US"/>
        </w:rPr>
        <w:t xml:space="preserve"> so the composition of the mixture in the exhaust is different. However</w:t>
      </w:r>
      <w:r w:rsidR="007B6C00" w:rsidRPr="0093482F">
        <w:rPr>
          <w:color w:val="000000" w:themeColor="text1"/>
          <w:lang w:val="en-US"/>
        </w:rPr>
        <w:t>,</w:t>
      </w:r>
      <w:r w:rsidR="007B2285" w:rsidRPr="0093482F">
        <w:rPr>
          <w:color w:val="000000" w:themeColor="text1"/>
          <w:lang w:val="en-US"/>
        </w:rPr>
        <w:t xml:space="preserve"> what we do not know at this stage is if this composition and the decreased levels of these components translated to a different </w:t>
      </w:r>
      <w:r w:rsidR="007B2285" w:rsidRPr="009F0D55">
        <w:rPr>
          <w:color w:val="000000" w:themeColor="text1"/>
          <w:lang w:val="en-US"/>
        </w:rPr>
        <w:t>healthy</w:t>
      </w:r>
      <w:r w:rsidR="007B2285" w:rsidRPr="0093482F">
        <w:rPr>
          <w:color w:val="000000" w:themeColor="text1"/>
          <w:lang w:val="en-US"/>
        </w:rPr>
        <w:t xml:space="preserve"> fact in exposed people and here we should encourage further research in the future. </w:t>
      </w:r>
      <w:r w:rsidR="007B6C00" w:rsidRPr="0093482F">
        <w:rPr>
          <w:color w:val="000000" w:themeColor="text1"/>
          <w:lang w:val="en-US"/>
        </w:rPr>
        <w:t>The s</w:t>
      </w:r>
      <w:r w:rsidR="007B2285" w:rsidRPr="0093482F">
        <w:rPr>
          <w:color w:val="000000" w:themeColor="text1"/>
          <w:lang w:val="en-US"/>
        </w:rPr>
        <w:t>econd point is that in many developing countries the transition from the old technology to the new one will take time and therefore</w:t>
      </w:r>
      <w:r w:rsidR="007E1EB7" w:rsidRPr="0093482F">
        <w:rPr>
          <w:color w:val="000000" w:themeColor="text1"/>
          <w:lang w:val="en-US"/>
        </w:rPr>
        <w:t>, for</w:t>
      </w:r>
      <w:r w:rsidR="007B2285" w:rsidRPr="0093482F">
        <w:rPr>
          <w:color w:val="000000" w:themeColor="text1"/>
          <w:lang w:val="en-US"/>
        </w:rPr>
        <w:t xml:space="preserve"> many people</w:t>
      </w:r>
      <w:r w:rsidR="007B6C00" w:rsidRPr="0093482F">
        <w:rPr>
          <w:color w:val="000000" w:themeColor="text1"/>
          <w:lang w:val="en-US"/>
        </w:rPr>
        <w:t xml:space="preserve"> in the world,</w:t>
      </w:r>
      <w:r w:rsidR="007B2285" w:rsidRPr="0093482F">
        <w:rPr>
          <w:color w:val="000000" w:themeColor="text1"/>
          <w:lang w:val="en-US"/>
        </w:rPr>
        <w:t xml:space="preserve"> the exposures are still from the diesel engines</w:t>
      </w:r>
      <w:r w:rsidR="0091135B" w:rsidRPr="00971E96">
        <w:rPr>
          <w:lang w:val="en-US"/>
        </w:rPr>
        <w:t>”</w:t>
      </w:r>
      <w:r w:rsidR="004B0DC9" w:rsidRPr="00971E96">
        <w:rPr>
          <w:lang w:val="en-US"/>
        </w:rPr>
        <w:t xml:space="preserve"> (Wild, 2012)</w:t>
      </w:r>
      <w:r w:rsidR="0091135B" w:rsidRPr="00971E96">
        <w:rPr>
          <w:lang w:val="en-US"/>
        </w:rPr>
        <w:t>.</w:t>
      </w:r>
      <w:r w:rsidR="007B2285" w:rsidRPr="0093482F">
        <w:rPr>
          <w:color w:val="000000" w:themeColor="text1"/>
          <w:lang w:val="en-US"/>
        </w:rPr>
        <w:t xml:space="preserve"> </w:t>
      </w:r>
    </w:p>
    <w:p w:rsidR="007B2285" w:rsidRPr="0093482F" w:rsidRDefault="00A452A5" w:rsidP="00511DFA">
      <w:pPr>
        <w:spacing w:after="120"/>
        <w:ind w:right="-45"/>
        <w:jc w:val="both"/>
        <w:rPr>
          <w:color w:val="000000" w:themeColor="text1"/>
          <w:lang w:val="en-US"/>
        </w:rPr>
      </w:pPr>
      <w:r>
        <w:rPr>
          <w:color w:val="000000" w:themeColor="text1"/>
          <w:lang w:val="en-US"/>
        </w:rPr>
        <w:t>56</w:t>
      </w:r>
      <w:r w:rsidR="007B2285" w:rsidRPr="009F0D55">
        <w:rPr>
          <w:color w:val="000000" w:themeColor="text1"/>
          <w:lang w:val="en-US"/>
        </w:rPr>
        <w:t>.</w:t>
      </w:r>
      <w:r w:rsidR="00DA789A">
        <w:rPr>
          <w:color w:val="000000" w:themeColor="text1"/>
          <w:lang w:val="en-US"/>
        </w:rPr>
        <w:tab/>
      </w:r>
      <w:r w:rsidR="007B2285" w:rsidRPr="009F0D55">
        <w:rPr>
          <w:color w:val="000000" w:themeColor="text1"/>
          <w:lang w:val="en-US"/>
        </w:rPr>
        <w:t>The US EPA considers that the health effects of diesel emissions are well studied, but complex</w:t>
      </w:r>
      <w:r w:rsidR="00AB14F6">
        <w:rPr>
          <w:color w:val="000000" w:themeColor="text1"/>
          <w:lang w:val="en-US"/>
        </w:rPr>
        <w:t xml:space="preserve"> </w:t>
      </w:r>
      <w:r w:rsidR="00AB14F6" w:rsidRPr="00971E96">
        <w:rPr>
          <w:lang w:val="en-US"/>
        </w:rPr>
        <w:t>(</w:t>
      </w:r>
      <w:r w:rsidR="00AB14F6" w:rsidRPr="00AB14F6">
        <w:rPr>
          <w:lang w:val="en-US"/>
        </w:rPr>
        <w:t>US EPA, 2002</w:t>
      </w:r>
      <w:r w:rsidR="00AB14F6" w:rsidRPr="00971E96">
        <w:rPr>
          <w:lang w:val="en-US"/>
        </w:rPr>
        <w:t>)</w:t>
      </w:r>
      <w:r w:rsidR="00AB14F6">
        <w:rPr>
          <w:lang w:val="en-US"/>
        </w:rPr>
        <w:t>.</w:t>
      </w:r>
      <w:r w:rsidR="007B2285" w:rsidRPr="009F0D55">
        <w:rPr>
          <w:color w:val="000000" w:themeColor="text1"/>
          <w:lang w:val="en-US"/>
        </w:rPr>
        <w:t xml:space="preserve"> </w:t>
      </w:r>
      <w:r w:rsidR="00AB14F6">
        <w:rPr>
          <w:color w:val="000000" w:themeColor="text1"/>
          <w:lang w:val="en-US"/>
        </w:rPr>
        <w:t>Even if the</w:t>
      </w:r>
      <w:r w:rsidR="00AB14F6" w:rsidRPr="009F0D55">
        <w:rPr>
          <w:color w:val="000000" w:themeColor="text1"/>
          <w:lang w:val="en-US"/>
        </w:rPr>
        <w:t xml:space="preserve"> </w:t>
      </w:r>
      <w:r w:rsidR="007B2285" w:rsidRPr="009F0D55">
        <w:rPr>
          <w:color w:val="000000" w:themeColor="text1"/>
          <w:lang w:val="en-US"/>
        </w:rPr>
        <w:t>level and duration of exposure that causes harm varies from one substance to the next</w:t>
      </w:r>
      <w:r w:rsidR="00AB14F6">
        <w:rPr>
          <w:color w:val="000000" w:themeColor="text1"/>
          <w:lang w:val="en-US"/>
        </w:rPr>
        <w:t>,</w:t>
      </w:r>
      <w:r w:rsidR="007B2285" w:rsidRPr="0093482F">
        <w:rPr>
          <w:color w:val="000000" w:themeColor="text1"/>
          <w:lang w:val="en-US"/>
        </w:rPr>
        <w:t xml:space="preserve"> </w:t>
      </w:r>
      <w:r w:rsidR="00AB14F6">
        <w:rPr>
          <w:color w:val="000000" w:themeColor="text1"/>
          <w:lang w:val="en-US"/>
        </w:rPr>
        <w:t xml:space="preserve">the EPA </w:t>
      </w:r>
      <w:r w:rsidR="007B2285" w:rsidRPr="0093482F">
        <w:rPr>
          <w:color w:val="000000" w:themeColor="text1"/>
          <w:lang w:val="en-US"/>
        </w:rPr>
        <w:t xml:space="preserve">has designated diesel exhaust as a likely carcinogen to humans by </w:t>
      </w:r>
      <w:r w:rsidR="007B2285" w:rsidRPr="006212DE">
        <w:rPr>
          <w:color w:val="000000" w:themeColor="text1"/>
          <w:lang w:val="en-US"/>
        </w:rPr>
        <w:t>inhalation at environmentally adequate exposures</w:t>
      </w:r>
      <w:r w:rsidR="00B806B2" w:rsidRPr="006212DE">
        <w:rPr>
          <w:lang w:val="en-US"/>
        </w:rPr>
        <w:t xml:space="preserve"> (US EPA, 2002</w:t>
      </w:r>
      <w:r w:rsidR="00B806B2" w:rsidRPr="00971E96">
        <w:rPr>
          <w:lang w:val="en-US"/>
        </w:rPr>
        <w:t>). In the United States, a</w:t>
      </w:r>
      <w:r w:rsidR="007B2285" w:rsidRPr="0093482F">
        <w:rPr>
          <w:color w:val="000000" w:themeColor="text1"/>
          <w:lang w:val="en-US"/>
        </w:rPr>
        <w:t xml:space="preserve"> number of other agencies (National Institute for Occupational Safety and Health, the International Agency for Research on Cancer, the World Health Organization, California EPA, and US Department of Health and Human Services) have made similar classifications.</w:t>
      </w:r>
    </w:p>
    <w:p w:rsidR="001A2518" w:rsidRPr="00C61948" w:rsidRDefault="001A2518" w:rsidP="0093482F">
      <w:pPr>
        <w:pStyle w:val="Heading2"/>
        <w:rPr>
          <w:lang w:val="en-US"/>
        </w:rPr>
      </w:pPr>
      <w:bookmarkStart w:id="14" w:name="_Toc343595884"/>
      <w:r w:rsidRPr="00C61948">
        <w:rPr>
          <w:lang w:val="en-US"/>
        </w:rPr>
        <w:t>VIII.2</w:t>
      </w:r>
      <w:r w:rsidRPr="00C61948">
        <w:rPr>
          <w:lang w:val="en-US"/>
        </w:rPr>
        <w:tab/>
        <w:t>Measures aimed to reduce the emissions of air pollutants from diesel ICEs</w:t>
      </w:r>
      <w:bookmarkEnd w:id="14"/>
    </w:p>
    <w:p w:rsidR="001A2518" w:rsidRPr="0093482F" w:rsidRDefault="00A452A5" w:rsidP="001A2518">
      <w:pPr>
        <w:spacing w:after="120"/>
        <w:ind w:right="-46"/>
        <w:jc w:val="both"/>
        <w:rPr>
          <w:color w:val="000000" w:themeColor="text1"/>
          <w:lang w:val="en-US"/>
        </w:rPr>
      </w:pPr>
      <w:r>
        <w:rPr>
          <w:color w:val="000000" w:themeColor="text1"/>
          <w:lang w:val="en-US"/>
        </w:rPr>
        <w:t>57</w:t>
      </w:r>
      <w:r w:rsidR="001A2518" w:rsidRPr="0093482F">
        <w:rPr>
          <w:color w:val="000000" w:themeColor="text1"/>
          <w:lang w:val="en-US"/>
        </w:rPr>
        <w:t>.</w:t>
      </w:r>
      <w:r w:rsidR="001A2518" w:rsidRPr="0093482F">
        <w:rPr>
          <w:color w:val="000000" w:themeColor="text1"/>
          <w:lang w:val="en-US"/>
        </w:rPr>
        <w:tab/>
        <w:t>The importance of the health risks pointed out by the IARC and other authoritative sources calls for continued action aiming at the limitation of emission of air pollutants characterizing diesel exhaust and, more broadly, to reduce human exposure to them.</w:t>
      </w:r>
    </w:p>
    <w:p w:rsidR="001A2518" w:rsidRPr="0093482F" w:rsidRDefault="00A452A5" w:rsidP="001A2518">
      <w:pPr>
        <w:spacing w:after="120"/>
        <w:ind w:right="-45"/>
        <w:jc w:val="both"/>
        <w:rPr>
          <w:color w:val="000000" w:themeColor="text1"/>
          <w:lang w:val="en-US"/>
        </w:rPr>
      </w:pPr>
      <w:r>
        <w:rPr>
          <w:color w:val="000000" w:themeColor="text1"/>
          <w:lang w:val="en-US"/>
        </w:rPr>
        <w:t>58</w:t>
      </w:r>
      <w:r w:rsidR="001A2518" w:rsidRPr="0093482F">
        <w:rPr>
          <w:color w:val="000000" w:themeColor="text1"/>
          <w:lang w:val="en-US"/>
        </w:rPr>
        <w:t>.</w:t>
      </w:r>
      <w:r w:rsidR="001A2518" w:rsidRPr="0093482F">
        <w:rPr>
          <w:color w:val="000000" w:themeColor="text1"/>
          <w:lang w:val="en-US"/>
        </w:rPr>
        <w:tab/>
        <w:t xml:space="preserve">To date, the legislation targeting the emissions of air pollutants was the main contributor to the achievement of major reductions of air pollutant emissions that also address diesel combustion. </w:t>
      </w:r>
    </w:p>
    <w:p w:rsidR="0056104E" w:rsidRDefault="00A452A5" w:rsidP="00C50379">
      <w:pPr>
        <w:spacing w:after="120"/>
        <w:ind w:right="-45"/>
        <w:jc w:val="both"/>
        <w:rPr>
          <w:color w:val="000000" w:themeColor="text1"/>
          <w:lang w:val="en-US"/>
        </w:rPr>
      </w:pPr>
      <w:r>
        <w:rPr>
          <w:color w:val="000000" w:themeColor="text1"/>
          <w:lang w:val="en-US"/>
        </w:rPr>
        <w:t>59</w:t>
      </w:r>
      <w:r w:rsidR="001A2518" w:rsidRPr="0093482F">
        <w:rPr>
          <w:color w:val="000000" w:themeColor="text1"/>
          <w:lang w:val="en-US"/>
        </w:rPr>
        <w:t>.</w:t>
      </w:r>
      <w:r w:rsidR="001A2518" w:rsidRPr="0093482F">
        <w:rPr>
          <w:color w:val="000000" w:themeColor="text1"/>
          <w:lang w:val="en-US"/>
        </w:rPr>
        <w:tab/>
        <w:t xml:space="preserve">The strong </w:t>
      </w:r>
      <w:r w:rsidR="001A2518" w:rsidRPr="009F0D55">
        <w:rPr>
          <w:color w:val="000000" w:themeColor="text1"/>
          <w:lang w:val="en-US"/>
        </w:rPr>
        <w:t>relationship</w:t>
      </w:r>
      <w:r w:rsidR="001A2518" w:rsidRPr="0093482F">
        <w:rPr>
          <w:color w:val="000000" w:themeColor="text1"/>
          <w:lang w:val="en-US"/>
        </w:rPr>
        <w:t xml:space="preserve"> between transport and ICEs was such </w:t>
      </w:r>
      <w:r w:rsidR="001A2518" w:rsidRPr="009F0D55">
        <w:rPr>
          <w:color w:val="000000" w:themeColor="text1"/>
          <w:lang w:val="en-US"/>
        </w:rPr>
        <w:t xml:space="preserve">that </w:t>
      </w:r>
      <w:r w:rsidR="001A2518" w:rsidRPr="0093482F">
        <w:rPr>
          <w:color w:val="000000" w:themeColor="text1"/>
          <w:lang w:val="en-US"/>
        </w:rPr>
        <w:t xml:space="preserve">legislative </w:t>
      </w:r>
      <w:r w:rsidR="001A2518" w:rsidRPr="009F0D55">
        <w:rPr>
          <w:color w:val="000000" w:themeColor="text1"/>
          <w:lang w:val="en-US"/>
        </w:rPr>
        <w:t>actions were</w:t>
      </w:r>
      <w:r w:rsidR="001A2518" w:rsidRPr="0093482F">
        <w:rPr>
          <w:color w:val="000000" w:themeColor="text1"/>
          <w:lang w:val="en-US"/>
        </w:rPr>
        <w:t xml:space="preserve"> aimed primarily to limit pollution generated in road transport applications. In Europe and other highly motorized countries, recent policy measures that impose stricter pollutant emission limits for </w:t>
      </w:r>
      <w:r w:rsidR="001A2518" w:rsidRPr="009F0D55">
        <w:rPr>
          <w:color w:val="000000" w:themeColor="text1"/>
          <w:lang w:val="en-US"/>
        </w:rPr>
        <w:t xml:space="preserve">the construction of new </w:t>
      </w:r>
      <w:r w:rsidR="001A2518" w:rsidRPr="0093482F">
        <w:rPr>
          <w:color w:val="000000" w:themeColor="text1"/>
          <w:lang w:val="en-US"/>
        </w:rPr>
        <w:t>road transport vehicles (</w:t>
      </w:r>
      <w:r w:rsidR="001A2518" w:rsidRPr="009F0D55">
        <w:rPr>
          <w:color w:val="000000" w:themeColor="text1"/>
          <w:lang w:val="en-US"/>
        </w:rPr>
        <w:t>through</w:t>
      </w:r>
      <w:r w:rsidR="001A2518" w:rsidRPr="0093482F">
        <w:rPr>
          <w:color w:val="000000" w:themeColor="text1"/>
          <w:lang w:val="en-US"/>
        </w:rPr>
        <w:t xml:space="preserve"> the Euro 5/6 and EURO VI regulations), extend into the forthcoming years the achievement of substantial impacts in terms of abating the emissions from diesel exhaust</w:t>
      </w:r>
      <w:r w:rsidR="001A2518" w:rsidRPr="009F0D55">
        <w:rPr>
          <w:color w:val="000000" w:themeColor="text1"/>
          <w:lang w:val="en-US"/>
        </w:rPr>
        <w:t xml:space="preserve"> emissions</w:t>
      </w:r>
      <w:r w:rsidR="001A2518" w:rsidRPr="0093482F">
        <w:rPr>
          <w:color w:val="000000" w:themeColor="text1"/>
          <w:lang w:val="en-US"/>
        </w:rPr>
        <w:t>. Given their characteristics, they do so in a way that attempts to target primarily NO</w:t>
      </w:r>
      <w:r w:rsidR="001A2518" w:rsidRPr="0093482F">
        <w:rPr>
          <w:color w:val="000000" w:themeColor="text1"/>
          <w:vertAlign w:val="subscript"/>
          <w:lang w:val="en-US"/>
        </w:rPr>
        <w:t>X</w:t>
      </w:r>
      <w:r w:rsidR="001A2518" w:rsidRPr="0093482F">
        <w:rPr>
          <w:color w:val="000000" w:themeColor="text1"/>
          <w:lang w:val="en-US"/>
        </w:rPr>
        <w:t xml:space="preserve">, i.e. the only pollutant whose emissions are primarily imputable to transportation. These considerations highlight that, to date, road transport played the most prominent role in the limitation of health </w:t>
      </w:r>
      <w:r w:rsidR="001A2518" w:rsidRPr="009F0D55">
        <w:rPr>
          <w:color w:val="000000" w:themeColor="text1"/>
          <w:lang w:val="en-US"/>
        </w:rPr>
        <w:t>and</w:t>
      </w:r>
      <w:r w:rsidR="001A2518" w:rsidRPr="0093482F">
        <w:rPr>
          <w:color w:val="000000" w:themeColor="text1"/>
          <w:lang w:val="en-US"/>
        </w:rPr>
        <w:t xml:space="preserve"> environmental effects due to ICEs, including in those powered by diesel fuel oil.</w:t>
      </w:r>
    </w:p>
    <w:p w:rsidR="0056104E" w:rsidRPr="0056104E" w:rsidRDefault="00A452A5" w:rsidP="0056104E">
      <w:pPr>
        <w:spacing w:after="120"/>
        <w:ind w:right="-45"/>
        <w:jc w:val="both"/>
        <w:rPr>
          <w:color w:val="000000" w:themeColor="text1"/>
          <w:lang w:val="en-US"/>
        </w:rPr>
      </w:pPr>
      <w:r>
        <w:rPr>
          <w:color w:val="000000" w:themeColor="text1"/>
          <w:lang w:val="en-US"/>
        </w:rPr>
        <w:t>60</w:t>
      </w:r>
      <w:r w:rsidR="001A2518" w:rsidRPr="0093482F">
        <w:rPr>
          <w:color w:val="000000" w:themeColor="text1"/>
          <w:lang w:val="en-US"/>
        </w:rPr>
        <w:t>.</w:t>
      </w:r>
      <w:r w:rsidR="001A2518" w:rsidRPr="0093482F">
        <w:rPr>
          <w:color w:val="000000" w:themeColor="text1"/>
          <w:lang w:val="en-US"/>
        </w:rPr>
        <w:tab/>
        <w:t>The efficacy of the regulations limiting the emissions of air pollutants from diesel ICEs used in road transport application is confirmed by the recognition that new diesel engines used on road vehicles contain far fewer particles and chemicals compared to older diesel ICEs, notwithstanding qualitative changes that require further research.</w:t>
      </w:r>
    </w:p>
    <w:p w:rsidR="00C50379" w:rsidRDefault="00A452A5" w:rsidP="0056104E">
      <w:pPr>
        <w:spacing w:after="120"/>
        <w:ind w:right="96"/>
        <w:jc w:val="both"/>
        <w:rPr>
          <w:lang w:val="en-US"/>
        </w:rPr>
      </w:pPr>
      <w:r>
        <w:rPr>
          <w:lang w:val="en-US"/>
        </w:rPr>
        <w:t>61</w:t>
      </w:r>
      <w:r w:rsidR="0056104E">
        <w:rPr>
          <w:lang w:val="en-US"/>
        </w:rPr>
        <w:t>.</w:t>
      </w:r>
      <w:r w:rsidR="0056104E">
        <w:rPr>
          <w:lang w:val="en-US"/>
        </w:rPr>
        <w:tab/>
        <w:t>Some of the o</w:t>
      </w:r>
      <w:r w:rsidR="0056104E" w:rsidRPr="0056104E">
        <w:rPr>
          <w:lang w:val="en-US"/>
        </w:rPr>
        <w:t xml:space="preserve">pportunities to further reduce emissions are </w:t>
      </w:r>
      <w:r w:rsidR="0056104E" w:rsidRPr="00D50C9A">
        <w:rPr>
          <w:lang w:val="en-US"/>
        </w:rPr>
        <w:t xml:space="preserve">available </w:t>
      </w:r>
      <w:r w:rsidR="0056104E">
        <w:rPr>
          <w:lang w:val="en-US"/>
        </w:rPr>
        <w:t xml:space="preserve">on </w:t>
      </w:r>
      <w:r w:rsidR="0056104E" w:rsidRPr="00D50C9A">
        <w:rPr>
          <w:lang w:val="en-US"/>
        </w:rPr>
        <w:t>stationary engines and the in-use mobile fleet</w:t>
      </w:r>
      <w:r w:rsidR="0056104E">
        <w:rPr>
          <w:lang w:val="en-US"/>
        </w:rPr>
        <w:t xml:space="preserve">, since </w:t>
      </w:r>
      <w:r w:rsidR="0056104E" w:rsidRPr="00D50C9A">
        <w:rPr>
          <w:lang w:val="en-US"/>
        </w:rPr>
        <w:t xml:space="preserve">older in-use diesel engines and vehicles can remain in operation for over 20 years.  </w:t>
      </w:r>
      <w:r w:rsidR="0056104E">
        <w:rPr>
          <w:lang w:val="en-US"/>
        </w:rPr>
        <w:t xml:space="preserve">Such measures include </w:t>
      </w:r>
      <w:r w:rsidR="0056104E" w:rsidRPr="00D50C9A">
        <w:rPr>
          <w:lang w:val="en-US"/>
        </w:rPr>
        <w:t>retrofitting or removing the older in-use fleet off the road to ensure that newer engines and vehicles, which are compliant with newer more recent air pollutant regulations, have a chance to lead to improved health and environmental outcomes.</w:t>
      </w:r>
      <w:r w:rsidR="0056104E">
        <w:rPr>
          <w:lang w:val="en-US"/>
        </w:rPr>
        <w:t xml:space="preserve"> Some initiatives in this area have already been undertaken by a number of governments. In particular, t</w:t>
      </w:r>
      <w:r w:rsidR="0056104E" w:rsidRPr="00D50C9A">
        <w:rPr>
          <w:lang w:val="en-US"/>
        </w:rPr>
        <w:t>he Government of Canada is the co-chair of a pan-Canadian working group which holds discussions on reducing emissions from the in-use fleet. The working group has identified off</w:t>
      </w:r>
      <w:r w:rsidR="00C50379">
        <w:rPr>
          <w:lang w:val="en-US"/>
        </w:rPr>
        <w:t>-</w:t>
      </w:r>
      <w:r w:rsidR="0056104E" w:rsidRPr="00D50C9A">
        <w:rPr>
          <w:lang w:val="en-US"/>
        </w:rPr>
        <w:t xml:space="preserve"> and </w:t>
      </w:r>
      <w:r w:rsidR="0056104E" w:rsidRPr="00D50C9A">
        <w:rPr>
          <w:lang w:val="en-US"/>
        </w:rPr>
        <w:lastRenderedPageBreak/>
        <w:t>on</w:t>
      </w:r>
      <w:r w:rsidR="00C50379">
        <w:rPr>
          <w:lang w:val="en-US"/>
        </w:rPr>
        <w:t>-</w:t>
      </w:r>
      <w:r w:rsidR="0056104E" w:rsidRPr="00D50C9A">
        <w:rPr>
          <w:lang w:val="en-US"/>
        </w:rPr>
        <w:t>road diesel emissions as a concern and</w:t>
      </w:r>
      <w:r w:rsidR="00C50379">
        <w:rPr>
          <w:lang w:val="en-US"/>
        </w:rPr>
        <w:t xml:space="preserve"> is now</w:t>
      </w:r>
      <w:r w:rsidR="0056104E" w:rsidRPr="00D50C9A">
        <w:rPr>
          <w:lang w:val="en-US"/>
        </w:rPr>
        <w:t xml:space="preserve"> looking at discrete initiatives to achieve reductions in this area over the next 3 years.</w:t>
      </w:r>
    </w:p>
    <w:p w:rsidR="0056104E" w:rsidRPr="00C50379" w:rsidRDefault="00A452A5" w:rsidP="001A2518">
      <w:pPr>
        <w:spacing w:after="120"/>
        <w:ind w:right="-45"/>
        <w:jc w:val="both"/>
        <w:rPr>
          <w:lang w:val="en-US"/>
        </w:rPr>
      </w:pPr>
      <w:r>
        <w:rPr>
          <w:lang w:val="en-US"/>
        </w:rPr>
        <w:t>62</w:t>
      </w:r>
      <w:r w:rsidR="00C50379">
        <w:rPr>
          <w:lang w:val="en-US"/>
        </w:rPr>
        <w:t>.</w:t>
      </w:r>
      <w:r w:rsidR="00C50379">
        <w:rPr>
          <w:lang w:val="en-US"/>
        </w:rPr>
        <w:tab/>
      </w:r>
      <w:r w:rsidR="00C50379" w:rsidRPr="009F0D55">
        <w:rPr>
          <w:color w:val="000000" w:themeColor="text1"/>
          <w:lang w:val="en-US"/>
        </w:rPr>
        <w:t>In some high exposure areas, there might be the need to set up policy measures aimed at replacing vehicles equipped with older engine technologies with new vehicles complying with the new regulations or to retrofit the engines with appropriate emission control devices.</w:t>
      </w:r>
      <w:r w:rsidR="00C50379">
        <w:rPr>
          <w:color w:val="000000" w:themeColor="text1"/>
          <w:lang w:val="en-US"/>
        </w:rPr>
        <w:t xml:space="preserve"> In this respect, c</w:t>
      </w:r>
      <w:r w:rsidR="00C50379">
        <w:rPr>
          <w:lang w:val="en-US"/>
        </w:rPr>
        <w:t xml:space="preserve">ountries like </w:t>
      </w:r>
      <w:r w:rsidR="0056104E" w:rsidRPr="00D50C9A">
        <w:rPr>
          <w:lang w:val="en-US"/>
        </w:rPr>
        <w:t>Canada and the U</w:t>
      </w:r>
      <w:r w:rsidR="00C50379">
        <w:rPr>
          <w:lang w:val="en-US"/>
        </w:rPr>
        <w:t xml:space="preserve">nited </w:t>
      </w:r>
      <w:r w:rsidR="0056104E" w:rsidRPr="00D50C9A">
        <w:rPr>
          <w:lang w:val="en-US"/>
        </w:rPr>
        <w:t>S</w:t>
      </w:r>
      <w:r w:rsidR="00C50379">
        <w:rPr>
          <w:lang w:val="en-US"/>
        </w:rPr>
        <w:t xml:space="preserve">tates of America are looking at </w:t>
      </w:r>
      <w:r w:rsidR="0056104E" w:rsidRPr="00D50C9A">
        <w:rPr>
          <w:lang w:val="en-US"/>
        </w:rPr>
        <w:t>initiative</w:t>
      </w:r>
      <w:r w:rsidR="00C50379">
        <w:rPr>
          <w:lang w:val="en-US"/>
        </w:rPr>
        <w:t>s</w:t>
      </w:r>
      <w:r w:rsidR="0056104E" w:rsidRPr="00D50C9A">
        <w:rPr>
          <w:lang w:val="en-US"/>
        </w:rPr>
        <w:t xml:space="preserve"> aimed at exploring the financing options which can help support heavy-duty fleets to further reduce GHG and air pollutant emissions by making the purchase of emission reduction technologies for their in-use fleets more feasible and affordable.</w:t>
      </w:r>
    </w:p>
    <w:p w:rsidR="001A2518" w:rsidRPr="0093482F" w:rsidRDefault="00C50379" w:rsidP="001A2518">
      <w:pPr>
        <w:spacing w:after="120"/>
        <w:ind w:right="-45"/>
        <w:jc w:val="both"/>
        <w:rPr>
          <w:color w:val="000000" w:themeColor="text1"/>
          <w:lang w:val="en-US"/>
        </w:rPr>
      </w:pPr>
      <w:r>
        <w:rPr>
          <w:color w:val="000000" w:themeColor="text1"/>
          <w:lang w:val="en-US"/>
        </w:rPr>
        <w:t>6</w:t>
      </w:r>
      <w:r w:rsidR="00A452A5">
        <w:rPr>
          <w:color w:val="000000" w:themeColor="text1"/>
          <w:lang w:val="en-US"/>
        </w:rPr>
        <w:t>3</w:t>
      </w:r>
      <w:r w:rsidR="001A2518" w:rsidRPr="0093482F">
        <w:rPr>
          <w:color w:val="000000" w:themeColor="text1"/>
          <w:lang w:val="en-US"/>
        </w:rPr>
        <w:t>.</w:t>
      </w:r>
      <w:r w:rsidR="001A2518" w:rsidRPr="0093482F">
        <w:rPr>
          <w:color w:val="000000" w:themeColor="text1"/>
          <w:lang w:val="en-US"/>
        </w:rPr>
        <w:tab/>
        <w:t>As pointed out in section VII, regulatory measures aiming to limit pollution from road transport applications were not frequently mirrored by comparable measures in other transport areas and in other economic domains, such as residential and commercial/institutional sector. This is especially relevant when looking at pollutants associated with diesel exhausts (namely PM and NO</w:t>
      </w:r>
      <w:r w:rsidR="001A2518" w:rsidRPr="0093482F">
        <w:rPr>
          <w:color w:val="000000" w:themeColor="text1"/>
          <w:vertAlign w:val="subscript"/>
          <w:lang w:val="en-US"/>
        </w:rPr>
        <w:t>X</w:t>
      </w:r>
      <w:r w:rsidR="001A2518" w:rsidRPr="0093482F">
        <w:rPr>
          <w:color w:val="000000" w:themeColor="text1"/>
          <w:lang w:val="en-US"/>
        </w:rPr>
        <w:t>), since substantial amounts of diesel and residual fuel oil are combusted in applications widely employed in the energy, industry and residential/commercial sector, and since a significant fraction of these emissions (namely those originating in the residential and commercial sector, which is responsible for the largest fraction of PM emissions) is likely to insist on urban agglomerations, i.e. the areas subject to the largest exposure to air pollution.</w:t>
      </w:r>
    </w:p>
    <w:p w:rsidR="001A2518" w:rsidRPr="0093482F" w:rsidRDefault="00C50379" w:rsidP="001A2518">
      <w:pPr>
        <w:spacing w:after="120"/>
        <w:ind w:right="-45"/>
        <w:jc w:val="both"/>
        <w:rPr>
          <w:color w:val="000000" w:themeColor="text1"/>
        </w:rPr>
      </w:pPr>
      <w:r>
        <w:rPr>
          <w:color w:val="000000" w:themeColor="text1"/>
          <w:lang w:val="en-US"/>
        </w:rPr>
        <w:t>6</w:t>
      </w:r>
      <w:r w:rsidR="00A452A5">
        <w:rPr>
          <w:color w:val="000000" w:themeColor="text1"/>
          <w:lang w:val="en-US"/>
        </w:rPr>
        <w:t>4</w:t>
      </w:r>
      <w:r w:rsidR="001A2518" w:rsidRPr="0093482F">
        <w:rPr>
          <w:color w:val="000000" w:themeColor="text1"/>
          <w:lang w:val="en-US"/>
        </w:rPr>
        <w:t>.</w:t>
      </w:r>
      <w:r w:rsidR="001A2518" w:rsidRPr="0093482F">
        <w:rPr>
          <w:color w:val="000000" w:themeColor="text1"/>
          <w:lang w:val="en-US"/>
        </w:rPr>
        <w:tab/>
        <w:t xml:space="preserve">Considering the existing and forthcoming legislative measures, action limiting the exposure to air pollution due to diesel exhausts is likely to be most urgently needed in economic sectors and applications that have not yet been targeted, such as residential diesel-powered heating plants. Even if road transport is not amongst these priorities, the rapid motorization taking place in urban areas of </w:t>
      </w:r>
      <w:r w:rsidR="001A2518" w:rsidRPr="009F0D55">
        <w:rPr>
          <w:color w:val="000000" w:themeColor="text1"/>
          <w:lang w:val="en-US"/>
        </w:rPr>
        <w:t xml:space="preserve">emerging economies and </w:t>
      </w:r>
      <w:r w:rsidR="001A2518" w:rsidRPr="0093482F">
        <w:rPr>
          <w:color w:val="000000" w:themeColor="text1"/>
          <w:lang w:val="en-US"/>
        </w:rPr>
        <w:t xml:space="preserve">developing countries, as well as the high motorization rate characterizing cities in developed regions are both likely to remain associated with high exposure to air pollution. This is likely to call for regulatory measures capable to promote a swifter evolution towards the adoption of advanced pollutant emission control technologies. The strong efforts already undertaken to reduce emissions of road vehicles for personal and collective use, as well as the contextual difficulties encountered in improving air quality to date, also encourage the adoption of measures that favor selection of transport modes that are characterized by lower emissions of pollutants. Finally, whenever their contribution to the concentration of air pollution </w:t>
      </w:r>
      <w:r w:rsidR="001A2518" w:rsidRPr="009F0D55">
        <w:rPr>
          <w:color w:val="000000" w:themeColor="text1"/>
          <w:lang w:val="en-US"/>
        </w:rPr>
        <w:t>in</w:t>
      </w:r>
      <w:r w:rsidR="001A2518" w:rsidRPr="0093482F">
        <w:rPr>
          <w:color w:val="000000" w:themeColor="text1"/>
          <w:lang w:val="en-US"/>
        </w:rPr>
        <w:t xml:space="preserve"> high exposure areas like cities is relevant, the example set by the pollutant emission regulation in road transport should also be extended (with greater ambition in comparison with current practice) to other transport modes.</w:t>
      </w:r>
    </w:p>
    <w:p w:rsidR="0042479C" w:rsidRPr="00C61948" w:rsidRDefault="005D0387" w:rsidP="00D741E0">
      <w:pPr>
        <w:pStyle w:val="Heading2"/>
        <w:jc w:val="both"/>
        <w:rPr>
          <w:lang w:val="en-US"/>
        </w:rPr>
      </w:pPr>
      <w:bookmarkStart w:id="15" w:name="_Toc343595885"/>
      <w:r>
        <w:rPr>
          <w:lang w:val="en-US"/>
        </w:rPr>
        <w:t>VIII</w:t>
      </w:r>
      <w:r w:rsidR="0042479C" w:rsidRPr="00C61948">
        <w:rPr>
          <w:lang w:val="en-US"/>
        </w:rPr>
        <w:t>.</w:t>
      </w:r>
      <w:r w:rsidR="00D741E0">
        <w:rPr>
          <w:lang w:val="en-US"/>
        </w:rPr>
        <w:t>3</w:t>
      </w:r>
      <w:r w:rsidR="0042479C" w:rsidRPr="00C61948">
        <w:rPr>
          <w:lang w:val="en-US"/>
        </w:rPr>
        <w:t xml:space="preserve"> </w:t>
      </w:r>
      <w:r w:rsidR="00A452A5">
        <w:rPr>
          <w:lang w:val="en-US"/>
        </w:rPr>
        <w:t>UNECE activities on t</w:t>
      </w:r>
      <w:r w:rsidR="00D62F98" w:rsidRPr="00C61948">
        <w:rPr>
          <w:lang w:val="en-US"/>
        </w:rPr>
        <w:t xml:space="preserve">echnologies </w:t>
      </w:r>
      <w:r w:rsidR="00F93239">
        <w:rPr>
          <w:lang w:val="en-US"/>
        </w:rPr>
        <w:t xml:space="preserve">reducing </w:t>
      </w:r>
      <w:r w:rsidR="00D62F98" w:rsidRPr="00C61948">
        <w:rPr>
          <w:lang w:val="en-US"/>
        </w:rPr>
        <w:t xml:space="preserve">harmful effects </w:t>
      </w:r>
      <w:r w:rsidR="00F93239">
        <w:rPr>
          <w:lang w:val="en-US"/>
        </w:rPr>
        <w:t>of diesel ICE</w:t>
      </w:r>
      <w:r w:rsidR="00A452A5">
        <w:rPr>
          <w:lang w:val="en-US"/>
        </w:rPr>
        <w:t>s</w:t>
      </w:r>
      <w:bookmarkEnd w:id="15"/>
    </w:p>
    <w:p w:rsidR="00E45E98" w:rsidRDefault="00A452A5" w:rsidP="00522CCF">
      <w:pPr>
        <w:spacing w:after="120" w:line="240" w:lineRule="auto"/>
        <w:ind w:right="95"/>
        <w:jc w:val="both"/>
        <w:rPr>
          <w:lang w:val="en-US"/>
        </w:rPr>
      </w:pPr>
      <w:r>
        <w:rPr>
          <w:color w:val="000000" w:themeColor="text1"/>
          <w:lang w:val="en-US"/>
        </w:rPr>
        <w:t>65</w:t>
      </w:r>
      <w:r w:rsidR="00E45E98" w:rsidRPr="009F0D55">
        <w:rPr>
          <w:color w:val="000000" w:themeColor="text1"/>
          <w:lang w:val="en-US"/>
        </w:rPr>
        <w:t>.</w:t>
      </w:r>
      <w:r w:rsidR="00C61948">
        <w:rPr>
          <w:color w:val="000000" w:themeColor="text1"/>
          <w:lang w:val="en-US"/>
        </w:rPr>
        <w:tab/>
      </w:r>
      <w:r w:rsidR="00E45E98" w:rsidRPr="009F0D55">
        <w:rPr>
          <w:color w:val="000000" w:themeColor="text1"/>
          <w:lang w:val="en-US"/>
        </w:rPr>
        <w:t xml:space="preserve"> UNECE Working Party 29 on Vehicles Regulations has already done </w:t>
      </w:r>
      <w:r w:rsidR="007B6C00" w:rsidRPr="009F0D55">
        <w:rPr>
          <w:color w:val="000000" w:themeColor="text1"/>
          <w:lang w:val="en-US"/>
        </w:rPr>
        <w:t xml:space="preserve">extensive </w:t>
      </w:r>
      <w:r w:rsidR="00E45E98" w:rsidRPr="009F0D55">
        <w:rPr>
          <w:color w:val="000000" w:themeColor="text1"/>
          <w:lang w:val="en-US"/>
        </w:rPr>
        <w:t xml:space="preserve">work </w:t>
      </w:r>
      <w:r w:rsidR="007B6C00" w:rsidRPr="009F0D55">
        <w:rPr>
          <w:color w:val="000000" w:themeColor="text1"/>
          <w:lang w:val="en-US"/>
        </w:rPr>
        <w:t>in this field, with</w:t>
      </w:r>
      <w:r w:rsidR="00E45E98" w:rsidRPr="009F0D55">
        <w:rPr>
          <w:color w:val="000000" w:themeColor="text1"/>
          <w:lang w:val="en-US"/>
        </w:rPr>
        <w:t xml:space="preserve"> major achievements towards reducing PM emissions of all motor vehicles engines (diesel </w:t>
      </w:r>
      <w:r w:rsidR="00F93239">
        <w:rPr>
          <w:color w:val="000000" w:themeColor="text1"/>
          <w:lang w:val="en-US"/>
        </w:rPr>
        <w:t>and</w:t>
      </w:r>
      <w:r w:rsidR="00F93239" w:rsidRPr="009F0D55">
        <w:rPr>
          <w:color w:val="000000" w:themeColor="text1"/>
          <w:lang w:val="en-US"/>
        </w:rPr>
        <w:t xml:space="preserve"> </w:t>
      </w:r>
      <w:r w:rsidR="00E45E98" w:rsidRPr="009F0D55">
        <w:rPr>
          <w:color w:val="000000" w:themeColor="text1"/>
          <w:lang w:val="en-US"/>
        </w:rPr>
        <w:t>petrol).</w:t>
      </w:r>
    </w:p>
    <w:tbl>
      <w:tblPr>
        <w:tblStyle w:val="TableGrid"/>
        <w:tblW w:w="11332" w:type="dxa"/>
        <w:jc w:val="center"/>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1"/>
        <w:gridCol w:w="5651"/>
      </w:tblGrid>
      <w:tr w:rsidR="00973B3D" w:rsidTr="00262142">
        <w:trPr>
          <w:jc w:val="center"/>
        </w:trPr>
        <w:tc>
          <w:tcPr>
            <w:tcW w:w="5681" w:type="dxa"/>
          </w:tcPr>
          <w:p w:rsidR="00973B3D" w:rsidRDefault="00973B3D" w:rsidP="00522CCF">
            <w:pPr>
              <w:keepNext/>
              <w:spacing w:after="120"/>
              <w:ind w:right="96"/>
              <w:jc w:val="both"/>
              <w:rPr>
                <w:lang w:val="en-US"/>
              </w:rPr>
            </w:pPr>
            <w:r>
              <w:rPr>
                <w:lang w:val="en-US"/>
              </w:rPr>
              <w:lastRenderedPageBreak/>
              <w:t xml:space="preserve">Figure </w:t>
            </w:r>
            <w:r w:rsidR="00D741E0">
              <w:rPr>
                <w:lang w:val="en-US"/>
              </w:rPr>
              <w:t>5</w:t>
            </w:r>
            <w:r>
              <w:rPr>
                <w:lang w:val="en-US"/>
              </w:rPr>
              <w:t xml:space="preserve">. </w:t>
            </w:r>
            <w:r w:rsidR="00B605F0">
              <w:rPr>
                <w:lang w:val="en-US"/>
              </w:rPr>
              <w:t>P</w:t>
            </w:r>
            <w:r w:rsidRPr="00973B3D">
              <w:rPr>
                <w:lang w:val="en-US"/>
              </w:rPr>
              <w:t>M</w:t>
            </w:r>
            <w:r w:rsidRPr="00B605F0">
              <w:rPr>
                <w:vertAlign w:val="subscript"/>
                <w:lang w:val="en-US"/>
              </w:rPr>
              <w:t xml:space="preserve">2.5 </w:t>
            </w:r>
            <w:r w:rsidRPr="00973B3D">
              <w:rPr>
                <w:lang w:val="en-US"/>
              </w:rPr>
              <w:t>emissions in the EU-27 share of emissions by sector group, 2010</w:t>
            </w:r>
          </w:p>
        </w:tc>
        <w:tc>
          <w:tcPr>
            <w:tcW w:w="5651" w:type="dxa"/>
          </w:tcPr>
          <w:p w:rsidR="00973B3D" w:rsidRDefault="00973B3D" w:rsidP="00522CCF">
            <w:pPr>
              <w:keepNext/>
              <w:spacing w:after="120"/>
              <w:ind w:right="96"/>
              <w:jc w:val="both"/>
              <w:rPr>
                <w:lang w:val="en-US"/>
              </w:rPr>
            </w:pPr>
            <w:r>
              <w:rPr>
                <w:lang w:val="en-US"/>
              </w:rPr>
              <w:t xml:space="preserve">Figure </w:t>
            </w:r>
            <w:r w:rsidR="00D741E0">
              <w:rPr>
                <w:lang w:val="en-US"/>
              </w:rPr>
              <w:t>6</w:t>
            </w:r>
            <w:r>
              <w:rPr>
                <w:lang w:val="en-US"/>
              </w:rPr>
              <w:t xml:space="preserve">. </w:t>
            </w:r>
            <w:r w:rsidRPr="00973B3D">
              <w:rPr>
                <w:lang w:val="en-US"/>
              </w:rPr>
              <w:t>PM</w:t>
            </w:r>
            <w:r w:rsidRPr="00B605F0">
              <w:rPr>
                <w:vertAlign w:val="subscript"/>
                <w:lang w:val="en-US"/>
              </w:rPr>
              <w:t>10</w:t>
            </w:r>
            <w:r w:rsidRPr="00973B3D">
              <w:rPr>
                <w:lang w:val="en-US"/>
              </w:rPr>
              <w:t xml:space="preserve"> emissions in the EU-27</w:t>
            </w:r>
            <w:r>
              <w:rPr>
                <w:lang w:val="en-US"/>
              </w:rPr>
              <w:t xml:space="preserve"> </w:t>
            </w:r>
            <w:r w:rsidRPr="00973B3D">
              <w:rPr>
                <w:lang w:val="en-US"/>
              </w:rPr>
              <w:t>share of emissions by sector group, 2010</w:t>
            </w:r>
          </w:p>
        </w:tc>
      </w:tr>
      <w:tr w:rsidR="00973B3D" w:rsidTr="00262142">
        <w:trPr>
          <w:jc w:val="center"/>
        </w:trPr>
        <w:tc>
          <w:tcPr>
            <w:tcW w:w="5681" w:type="dxa"/>
          </w:tcPr>
          <w:p w:rsidR="00973B3D" w:rsidRDefault="00973B3D" w:rsidP="00654B17">
            <w:pPr>
              <w:spacing w:after="120"/>
              <w:ind w:right="95"/>
              <w:jc w:val="both"/>
              <w:rPr>
                <w:lang w:val="en-US"/>
              </w:rPr>
            </w:pPr>
            <w:r>
              <w:rPr>
                <w:noProof/>
                <w:lang w:eastAsia="en-GB"/>
              </w:rPr>
              <w:drawing>
                <wp:inline distT="0" distB="0" distL="0" distR="0" wp14:anchorId="4ABD9A2B" wp14:editId="66D0312B">
                  <wp:extent cx="3409950" cy="224049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12059" cy="2241880"/>
                          </a:xfrm>
                          <a:prstGeom prst="rect">
                            <a:avLst/>
                          </a:prstGeom>
                        </pic:spPr>
                      </pic:pic>
                    </a:graphicData>
                  </a:graphic>
                </wp:inline>
              </w:drawing>
            </w:r>
          </w:p>
        </w:tc>
        <w:tc>
          <w:tcPr>
            <w:tcW w:w="5651" w:type="dxa"/>
          </w:tcPr>
          <w:p w:rsidR="00973B3D" w:rsidRDefault="00973B3D" w:rsidP="00654B17">
            <w:pPr>
              <w:spacing w:after="120"/>
              <w:ind w:right="95"/>
              <w:jc w:val="both"/>
              <w:rPr>
                <w:lang w:val="en-US"/>
              </w:rPr>
            </w:pPr>
            <w:r>
              <w:rPr>
                <w:noProof/>
                <w:lang w:eastAsia="en-GB"/>
              </w:rPr>
              <w:drawing>
                <wp:inline distT="0" distB="0" distL="0" distR="0" wp14:anchorId="5BFB3EBF" wp14:editId="50A31674">
                  <wp:extent cx="3390849" cy="22383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90476" cy="2238129"/>
                          </a:xfrm>
                          <a:prstGeom prst="rect">
                            <a:avLst/>
                          </a:prstGeom>
                        </pic:spPr>
                      </pic:pic>
                    </a:graphicData>
                  </a:graphic>
                </wp:inline>
              </w:drawing>
            </w:r>
          </w:p>
        </w:tc>
      </w:tr>
    </w:tbl>
    <w:p w:rsidR="00262142" w:rsidRPr="00F93239" w:rsidRDefault="00A452A5" w:rsidP="00F93239">
      <w:pPr>
        <w:rPr>
          <w:rFonts w:cstheme="minorHAnsi"/>
        </w:rPr>
      </w:pPr>
      <w:r>
        <w:rPr>
          <w:lang w:val="en-US"/>
        </w:rPr>
        <w:t>66</w:t>
      </w:r>
      <w:r w:rsidR="00F93239" w:rsidRPr="009F0D55">
        <w:rPr>
          <w:lang w:val="en-US"/>
        </w:rPr>
        <w:t>.</w:t>
      </w:r>
      <w:r w:rsidR="00F93239">
        <w:rPr>
          <w:lang w:val="en-US"/>
        </w:rPr>
        <w:tab/>
      </w:r>
      <w:r w:rsidR="00262142" w:rsidRPr="00F93239">
        <w:rPr>
          <w:lang w:val="en-US"/>
        </w:rPr>
        <w:t>In 2001, WP.29/GRPE established an informal expert group on the Particle Measurement Programme (PMP). The main focus of this group is</w:t>
      </w:r>
      <w:r w:rsidR="00297E96" w:rsidRPr="00F93239">
        <w:rPr>
          <w:lang w:val="en-US"/>
        </w:rPr>
        <w:t>,</w:t>
      </w:r>
      <w:r w:rsidR="00262142" w:rsidRPr="00F93239">
        <w:rPr>
          <w:lang w:val="en-US"/>
        </w:rPr>
        <w:t xml:space="preserve"> and has been</w:t>
      </w:r>
      <w:r w:rsidR="00297E96" w:rsidRPr="00F93239">
        <w:rPr>
          <w:lang w:val="en-US"/>
        </w:rPr>
        <w:t>,</w:t>
      </w:r>
      <w:r w:rsidR="00262142" w:rsidRPr="00F93239">
        <w:rPr>
          <w:lang w:val="en-US"/>
        </w:rPr>
        <w:t xml:space="preserve"> the development of standardized methodologies to test emissions from vehicles and engines. This has been instrumental for the development of regulatory instruments targeting the emissions of pollutants, including particulate matter. In 2008</w:t>
      </w:r>
      <w:r w:rsidR="00297E96" w:rsidRPr="00F93239">
        <w:rPr>
          <w:lang w:val="en-US"/>
        </w:rPr>
        <w:t>,</w:t>
      </w:r>
      <w:r w:rsidR="00262142" w:rsidRPr="00F93239">
        <w:rPr>
          <w:lang w:val="en-US"/>
        </w:rPr>
        <w:t xml:space="preserve"> WP.29 adopted the new particle number measurement method for light vehicles (UN Regulation No. 83), including new limit values (Euro 5 level) that have to be fulfilled by petrol and diesel engines. In </w:t>
      </w:r>
      <w:r w:rsidR="00262142" w:rsidRPr="00F93239">
        <w:rPr>
          <w:rFonts w:cstheme="minorHAnsi"/>
        </w:rPr>
        <w:t>2010</w:t>
      </w:r>
      <w:r w:rsidR="00297E96" w:rsidRPr="00F93239">
        <w:rPr>
          <w:rFonts w:cstheme="minorHAnsi"/>
        </w:rPr>
        <w:t>,</w:t>
      </w:r>
      <w:r w:rsidR="00262142" w:rsidRPr="00F93239">
        <w:rPr>
          <w:rFonts w:cstheme="minorHAnsi"/>
        </w:rPr>
        <w:t xml:space="preserve"> WP.29 adopted the new particle number measurement method for heavy duty vehicles (UN Regulation No. 49).</w:t>
      </w:r>
    </w:p>
    <w:p w:rsidR="00262142" w:rsidRPr="00F93239" w:rsidRDefault="00A452A5" w:rsidP="00F93239">
      <w:pPr>
        <w:rPr>
          <w:rFonts w:cstheme="minorHAnsi"/>
        </w:rPr>
      </w:pPr>
      <w:r>
        <w:rPr>
          <w:rFonts w:cstheme="minorHAnsi"/>
        </w:rPr>
        <w:t>67</w:t>
      </w:r>
      <w:r w:rsidR="00262142" w:rsidRPr="009F0D55">
        <w:rPr>
          <w:rFonts w:cstheme="minorHAnsi"/>
        </w:rPr>
        <w:t>.</w:t>
      </w:r>
      <w:r w:rsidR="00C61948" w:rsidRPr="00F93239">
        <w:rPr>
          <w:rFonts w:cstheme="minorHAnsi"/>
        </w:rPr>
        <w:tab/>
      </w:r>
      <w:r w:rsidR="00262142" w:rsidRPr="00F93239">
        <w:rPr>
          <w:rFonts w:cstheme="minorHAnsi"/>
        </w:rPr>
        <w:t>Today, PMP is still an active group dealing with calibration issues. The measurement limit of today's particle measuring devices is about 23 nm. GRPE agreed to resume, at its next session in January 2013, discussions on the possib</w:t>
      </w:r>
      <w:r w:rsidR="00297E96" w:rsidRPr="00F93239">
        <w:rPr>
          <w:rFonts w:cstheme="minorHAnsi"/>
        </w:rPr>
        <w:t>le</w:t>
      </w:r>
      <w:r w:rsidR="00262142" w:rsidRPr="00F93239">
        <w:rPr>
          <w:rFonts w:cstheme="minorHAnsi"/>
        </w:rPr>
        <w:t xml:space="preserve"> need </w:t>
      </w:r>
      <w:r w:rsidR="00297E96" w:rsidRPr="00F93239">
        <w:rPr>
          <w:rFonts w:cstheme="minorHAnsi"/>
        </w:rPr>
        <w:t xml:space="preserve">for </w:t>
      </w:r>
      <w:r w:rsidR="00262142" w:rsidRPr="00F93239">
        <w:rPr>
          <w:rFonts w:cstheme="minorHAnsi"/>
        </w:rPr>
        <w:t>measurements of sub 23 nm particles (for future diesel and petrol engines).</w:t>
      </w:r>
    </w:p>
    <w:p w:rsidR="00807FFE" w:rsidRPr="00F93239" w:rsidRDefault="00A452A5" w:rsidP="00F93239">
      <w:pPr>
        <w:rPr>
          <w:lang w:val="en-US"/>
        </w:rPr>
      </w:pPr>
      <w:r>
        <w:rPr>
          <w:lang w:val="en-US"/>
        </w:rPr>
        <w:t>68</w:t>
      </w:r>
      <w:r w:rsidR="00807FFE" w:rsidRPr="009F0D55">
        <w:rPr>
          <w:lang w:val="en-US"/>
        </w:rPr>
        <w:t>.</w:t>
      </w:r>
      <w:r w:rsidR="00807FFE" w:rsidRPr="00F93239">
        <w:rPr>
          <w:lang w:val="en-US"/>
        </w:rPr>
        <w:tab/>
        <w:t>UN Regulations Nos. 49 (heavy duty vehicles) and 83 (light vehicles) specify limit values for emissions of particulate matter (expressed both in terms of particulate mass and particle number). These values are reported in the figures below. The evolution of regulatory instruments on emissions of local pollutants led to limit values for PM emissions of light vehicles that are today more than 30 times lower than 2 decades ago.</w:t>
      </w:r>
    </w:p>
    <w:p w:rsidR="00807FFE" w:rsidRPr="00F93239" w:rsidRDefault="00A452A5" w:rsidP="00F93239">
      <w:pPr>
        <w:rPr>
          <w:lang w:val="en-US"/>
        </w:rPr>
      </w:pPr>
      <w:r>
        <w:rPr>
          <w:lang w:val="en-US"/>
        </w:rPr>
        <w:t>69</w:t>
      </w:r>
      <w:r w:rsidR="00F93239">
        <w:rPr>
          <w:lang w:val="en-US"/>
        </w:rPr>
        <w:t>.</w:t>
      </w:r>
      <w:r w:rsidR="00807FFE" w:rsidRPr="00F93239">
        <w:rPr>
          <w:lang w:val="en-US"/>
        </w:rPr>
        <w:tab/>
        <w:t>Similar limit values for PM have been enforced for engines of non-road mobile machinery (UN Regulation No. 96), i.e. engine fitted to self-propelled machinery including agricultural/forestry tractors, construction site engines, locomotives, navigation vessels, etc. The current limit values are for non-road mobile machinery depend on the net power of the engine and range between 0.025 g/kWh (large engines) and 0.8 g/kWh (small ones).</w:t>
      </w:r>
    </w:p>
    <w:tbl>
      <w:tblPr>
        <w:tblStyle w:val="TableGrid"/>
        <w:tblW w:w="111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1"/>
        <w:gridCol w:w="5544"/>
      </w:tblGrid>
      <w:tr w:rsidR="00807FFE" w:rsidTr="003B2503">
        <w:trPr>
          <w:jc w:val="center"/>
        </w:trPr>
        <w:tc>
          <w:tcPr>
            <w:tcW w:w="5651" w:type="dxa"/>
          </w:tcPr>
          <w:p w:rsidR="00807FFE" w:rsidRDefault="00807FFE" w:rsidP="00522CCF">
            <w:pPr>
              <w:keepNext/>
              <w:spacing w:after="120"/>
              <w:ind w:left="977" w:right="96"/>
              <w:jc w:val="both"/>
              <w:rPr>
                <w:lang w:val="en-US"/>
              </w:rPr>
            </w:pPr>
            <w:r>
              <w:rPr>
                <w:lang w:val="en-US"/>
              </w:rPr>
              <w:lastRenderedPageBreak/>
              <w:t xml:space="preserve">Figure </w:t>
            </w:r>
            <w:r w:rsidR="00D741E0">
              <w:rPr>
                <w:lang w:val="en-US"/>
              </w:rPr>
              <w:t>7</w:t>
            </w:r>
            <w:r>
              <w:rPr>
                <w:lang w:val="en-US"/>
              </w:rPr>
              <w:t xml:space="preserve">. </w:t>
            </w:r>
            <w:r w:rsidRPr="00807FFE">
              <w:rPr>
                <w:lang w:val="en-US"/>
              </w:rPr>
              <w:t>PM emission limits for light vehicles</w:t>
            </w:r>
          </w:p>
        </w:tc>
        <w:tc>
          <w:tcPr>
            <w:tcW w:w="5544" w:type="dxa"/>
          </w:tcPr>
          <w:p w:rsidR="00807FFE" w:rsidRDefault="00807FFE" w:rsidP="00522CCF">
            <w:pPr>
              <w:keepNext/>
              <w:spacing w:after="120"/>
              <w:ind w:right="96"/>
              <w:jc w:val="both"/>
              <w:rPr>
                <w:lang w:val="en-US"/>
              </w:rPr>
            </w:pPr>
          </w:p>
        </w:tc>
      </w:tr>
      <w:tr w:rsidR="001E0C7F" w:rsidTr="0093482F">
        <w:trPr>
          <w:jc w:val="center"/>
        </w:trPr>
        <w:tc>
          <w:tcPr>
            <w:tcW w:w="11195" w:type="dxa"/>
            <w:gridSpan w:val="2"/>
          </w:tcPr>
          <w:p w:rsidR="001E0C7F" w:rsidRDefault="001E0C7F" w:rsidP="001E0C7F">
            <w:pPr>
              <w:spacing w:after="120"/>
              <w:ind w:right="95"/>
              <w:jc w:val="center"/>
              <w:rPr>
                <w:noProof/>
                <w:lang w:eastAsia="en-GB"/>
              </w:rPr>
            </w:pPr>
            <w:r>
              <w:rPr>
                <w:noProof/>
                <w:lang w:eastAsia="en-GB"/>
              </w:rPr>
              <w:drawing>
                <wp:inline distT="0" distB="0" distL="0" distR="0" wp14:anchorId="222E54DC" wp14:editId="667A4A38">
                  <wp:extent cx="5297060" cy="1914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04507" cy="1917217"/>
                          </a:xfrm>
                          <a:prstGeom prst="rect">
                            <a:avLst/>
                          </a:prstGeom>
                        </pic:spPr>
                      </pic:pic>
                    </a:graphicData>
                  </a:graphic>
                </wp:inline>
              </w:drawing>
            </w:r>
          </w:p>
        </w:tc>
      </w:tr>
      <w:tr w:rsidR="001E0C7F" w:rsidTr="0093482F">
        <w:trPr>
          <w:jc w:val="center"/>
        </w:trPr>
        <w:tc>
          <w:tcPr>
            <w:tcW w:w="11195" w:type="dxa"/>
            <w:gridSpan w:val="2"/>
          </w:tcPr>
          <w:p w:rsidR="001E0C7F" w:rsidRDefault="001E0C7F" w:rsidP="00522CCF">
            <w:pPr>
              <w:spacing w:after="120"/>
              <w:ind w:left="977" w:right="95"/>
              <w:jc w:val="both"/>
              <w:rPr>
                <w:noProof/>
                <w:lang w:eastAsia="en-GB"/>
              </w:rPr>
            </w:pPr>
            <w:r>
              <w:rPr>
                <w:lang w:val="en-US"/>
              </w:rPr>
              <w:t xml:space="preserve">Figure 8. </w:t>
            </w:r>
            <w:r w:rsidRPr="00807FFE">
              <w:rPr>
                <w:lang w:val="en-US"/>
              </w:rPr>
              <w:t>PM emission limits for heavy duty vehicles</w:t>
            </w:r>
          </w:p>
        </w:tc>
      </w:tr>
      <w:tr w:rsidR="001E0C7F" w:rsidTr="001E0C7F">
        <w:trPr>
          <w:jc w:val="center"/>
        </w:trPr>
        <w:tc>
          <w:tcPr>
            <w:tcW w:w="11195" w:type="dxa"/>
            <w:gridSpan w:val="2"/>
          </w:tcPr>
          <w:p w:rsidR="001E0C7F" w:rsidRDefault="001E0C7F" w:rsidP="001E0C7F">
            <w:pPr>
              <w:spacing w:after="120"/>
              <w:ind w:right="95"/>
              <w:jc w:val="center"/>
              <w:rPr>
                <w:lang w:val="en-US"/>
              </w:rPr>
            </w:pPr>
            <w:r>
              <w:rPr>
                <w:noProof/>
                <w:lang w:eastAsia="en-GB"/>
              </w:rPr>
              <w:drawing>
                <wp:inline distT="0" distB="0" distL="0" distR="0" wp14:anchorId="41E4B8D5" wp14:editId="7E9390B4">
                  <wp:extent cx="5295900" cy="178566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10453" cy="1790576"/>
                          </a:xfrm>
                          <a:prstGeom prst="rect">
                            <a:avLst/>
                          </a:prstGeom>
                        </pic:spPr>
                      </pic:pic>
                    </a:graphicData>
                  </a:graphic>
                </wp:inline>
              </w:drawing>
            </w:r>
          </w:p>
        </w:tc>
      </w:tr>
      <w:tr w:rsidR="008E0182" w:rsidTr="003B2503">
        <w:trPr>
          <w:jc w:val="center"/>
        </w:trPr>
        <w:tc>
          <w:tcPr>
            <w:tcW w:w="11195" w:type="dxa"/>
            <w:gridSpan w:val="2"/>
          </w:tcPr>
          <w:p w:rsidR="008E0182" w:rsidRDefault="00481179" w:rsidP="00522CCF">
            <w:pPr>
              <w:spacing w:after="120"/>
              <w:ind w:left="977" w:right="95"/>
              <w:jc w:val="both"/>
              <w:rPr>
                <w:noProof/>
                <w:lang w:eastAsia="en-GB"/>
              </w:rPr>
            </w:pPr>
            <w:r>
              <w:rPr>
                <w:noProof/>
                <w:lang w:eastAsia="en-GB"/>
              </w:rPr>
              <w:t xml:space="preserve">Figure </w:t>
            </w:r>
            <w:r w:rsidR="00D741E0">
              <w:rPr>
                <w:noProof/>
                <w:lang w:eastAsia="en-GB"/>
              </w:rPr>
              <w:t>9</w:t>
            </w:r>
            <w:r>
              <w:rPr>
                <w:noProof/>
                <w:lang w:eastAsia="en-GB"/>
              </w:rPr>
              <w:t xml:space="preserve">. </w:t>
            </w:r>
            <w:r w:rsidRPr="00481179">
              <w:rPr>
                <w:noProof/>
                <w:lang w:eastAsia="en-GB"/>
              </w:rPr>
              <w:t>E</w:t>
            </w:r>
            <w:r w:rsidR="00D8316A">
              <w:rPr>
                <w:noProof/>
                <w:lang w:eastAsia="en-GB"/>
              </w:rPr>
              <w:t xml:space="preserve">mmission limits for heavy duty vehicles </w:t>
            </w:r>
            <w:r w:rsidR="00B75847">
              <w:rPr>
                <w:noProof/>
                <w:lang w:eastAsia="en-GB"/>
              </w:rPr>
              <w:t>(CO, HC, NO, PM)</w:t>
            </w:r>
          </w:p>
        </w:tc>
      </w:tr>
      <w:tr w:rsidR="008E0182" w:rsidTr="003B2503">
        <w:trPr>
          <w:jc w:val="center"/>
        </w:trPr>
        <w:tc>
          <w:tcPr>
            <w:tcW w:w="11195" w:type="dxa"/>
            <w:gridSpan w:val="2"/>
          </w:tcPr>
          <w:p w:rsidR="008E0182" w:rsidRDefault="008E0182" w:rsidP="008E0182">
            <w:pPr>
              <w:spacing w:after="120"/>
              <w:ind w:right="95"/>
              <w:jc w:val="center"/>
              <w:rPr>
                <w:noProof/>
                <w:lang w:eastAsia="en-GB"/>
              </w:rPr>
            </w:pPr>
            <w:r>
              <w:rPr>
                <w:noProof/>
                <w:lang w:eastAsia="en-GB"/>
              </w:rPr>
              <w:drawing>
                <wp:inline distT="0" distB="0" distL="0" distR="0" wp14:anchorId="16F1DAB3" wp14:editId="575FC4CA">
                  <wp:extent cx="3743325" cy="254322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56223" cy="2551985"/>
                          </a:xfrm>
                          <a:prstGeom prst="rect">
                            <a:avLst/>
                          </a:prstGeom>
                        </pic:spPr>
                      </pic:pic>
                    </a:graphicData>
                  </a:graphic>
                </wp:inline>
              </w:drawing>
            </w:r>
          </w:p>
        </w:tc>
      </w:tr>
    </w:tbl>
    <w:p w:rsidR="00F93239" w:rsidRPr="00971E96" w:rsidRDefault="00A452A5" w:rsidP="00F93239">
      <w:pPr>
        <w:spacing w:after="0"/>
        <w:rPr>
          <w:lang w:val="en-US"/>
        </w:rPr>
      </w:pPr>
      <w:r>
        <w:rPr>
          <w:color w:val="000000" w:themeColor="text1"/>
          <w:lang w:val="en-US"/>
        </w:rPr>
        <w:t>70</w:t>
      </w:r>
      <w:r w:rsidR="0068267F" w:rsidRPr="009F0D55">
        <w:rPr>
          <w:color w:val="000000" w:themeColor="text1"/>
          <w:lang w:val="en-US"/>
        </w:rPr>
        <w:t>.</w:t>
      </w:r>
      <w:r w:rsidR="00D741E0">
        <w:rPr>
          <w:color w:val="000000" w:themeColor="text1"/>
          <w:lang w:val="en-US"/>
        </w:rPr>
        <w:tab/>
      </w:r>
      <w:r w:rsidR="00F93239" w:rsidRPr="00971E96">
        <w:rPr>
          <w:lang w:val="en-US"/>
        </w:rPr>
        <w:t>The World Forum considered at its Round Table on Climate Change and Transport (ECE/TRANS/WP.29/1070, para. 77) that a possible strategy for the automotive sector to contribute to the abatement of the emissions of greenhouse gases and air pollutants was to pursue:</w:t>
      </w:r>
    </w:p>
    <w:p w:rsidR="00F93239" w:rsidRPr="00971E96" w:rsidRDefault="00F93239" w:rsidP="00F93239">
      <w:pPr>
        <w:spacing w:after="0"/>
        <w:ind w:left="1440" w:hanging="720"/>
        <w:rPr>
          <w:lang w:val="en-US"/>
        </w:rPr>
      </w:pPr>
      <w:r w:rsidRPr="00971E96">
        <w:rPr>
          <w:lang w:val="en-US"/>
        </w:rPr>
        <w:t>a)</w:t>
      </w:r>
      <w:r w:rsidRPr="00971E96">
        <w:rPr>
          <w:lang w:val="en-US"/>
        </w:rPr>
        <w:tab/>
      </w:r>
      <w:proofErr w:type="gramStart"/>
      <w:r w:rsidRPr="00971E96">
        <w:rPr>
          <w:lang w:val="en-US"/>
        </w:rPr>
        <w:t>improved</w:t>
      </w:r>
      <w:proofErr w:type="gramEnd"/>
      <w:r w:rsidRPr="00971E96">
        <w:rPr>
          <w:lang w:val="en-US"/>
        </w:rPr>
        <w:t xml:space="preserve"> energy efficiency and the use of sustainable biofuels as a short-term objective (2015);</w:t>
      </w:r>
    </w:p>
    <w:p w:rsidR="00F93239" w:rsidRPr="00971E96" w:rsidRDefault="00F93239" w:rsidP="00F93239">
      <w:pPr>
        <w:spacing w:after="0"/>
        <w:ind w:left="1440" w:hanging="720"/>
        <w:rPr>
          <w:lang w:val="en-US"/>
        </w:rPr>
      </w:pPr>
      <w:r w:rsidRPr="00971E96">
        <w:rPr>
          <w:lang w:val="en-US"/>
        </w:rPr>
        <w:t>b)</w:t>
      </w:r>
      <w:r w:rsidRPr="00971E96">
        <w:rPr>
          <w:lang w:val="en-US"/>
        </w:rPr>
        <w:tab/>
      </w:r>
      <w:proofErr w:type="gramStart"/>
      <w:r w:rsidRPr="00971E96">
        <w:rPr>
          <w:lang w:val="en-US"/>
        </w:rPr>
        <w:t>the</w:t>
      </w:r>
      <w:proofErr w:type="gramEnd"/>
      <w:r w:rsidRPr="00971E96">
        <w:rPr>
          <w:lang w:val="en-US"/>
        </w:rPr>
        <w:t xml:space="preserve"> development and introduction into the market of plug-in hybrid vehicles as a mid-term objective (2015-2025); and</w:t>
      </w:r>
    </w:p>
    <w:p w:rsidR="00F93239" w:rsidRPr="00971E96" w:rsidRDefault="00F93239" w:rsidP="00F93239">
      <w:pPr>
        <w:spacing w:after="120"/>
        <w:ind w:left="1440" w:hanging="720"/>
        <w:rPr>
          <w:lang w:val="en-US"/>
        </w:rPr>
      </w:pPr>
      <w:r w:rsidRPr="00971E96">
        <w:rPr>
          <w:lang w:val="en-US"/>
        </w:rPr>
        <w:t>c)</w:t>
      </w:r>
      <w:r w:rsidRPr="00971E96">
        <w:rPr>
          <w:lang w:val="en-US"/>
        </w:rPr>
        <w:tab/>
      </w:r>
      <w:proofErr w:type="gramStart"/>
      <w:r w:rsidRPr="00971E96">
        <w:rPr>
          <w:lang w:val="en-US"/>
        </w:rPr>
        <w:t>the</w:t>
      </w:r>
      <w:proofErr w:type="gramEnd"/>
      <w:r w:rsidRPr="00971E96">
        <w:rPr>
          <w:lang w:val="en-US"/>
        </w:rPr>
        <w:t xml:space="preserve"> development and introduction into the market of electric vehicles as a long-term objective (2025- 2040).</w:t>
      </w:r>
    </w:p>
    <w:p w:rsidR="00F93239" w:rsidRDefault="00F93239" w:rsidP="00F93239">
      <w:pPr>
        <w:spacing w:after="120" w:line="240" w:lineRule="auto"/>
        <w:ind w:right="95"/>
        <w:jc w:val="both"/>
        <w:rPr>
          <w:color w:val="000000" w:themeColor="text1"/>
          <w:lang w:val="en-US"/>
        </w:rPr>
      </w:pPr>
      <w:r w:rsidRPr="0093482F">
        <w:rPr>
          <w:color w:val="000000" w:themeColor="text1"/>
          <w:lang w:val="en-US"/>
        </w:rPr>
        <w:lastRenderedPageBreak/>
        <w:t xml:space="preserve">This strategy would shift the automotive sector from the use of fossil energy to the use of hydrogen and electric energy. </w:t>
      </w:r>
      <w:r w:rsidRPr="009F0D55">
        <w:rPr>
          <w:color w:val="000000" w:themeColor="text1"/>
          <w:lang w:val="en-US"/>
        </w:rPr>
        <w:t xml:space="preserve">To be effective, this strategy would need to rely on the sustainable production of electricity and hydrogen, a crucial policy issue identified for future discussions on global warming and the reduction of </w:t>
      </w:r>
      <w:r>
        <w:rPr>
          <w:color w:val="000000" w:themeColor="text1"/>
          <w:lang w:val="en-US"/>
        </w:rPr>
        <w:t xml:space="preserve">air pollutants and </w:t>
      </w:r>
      <w:r w:rsidRPr="009F0D55">
        <w:rPr>
          <w:color w:val="000000" w:themeColor="text1"/>
          <w:lang w:val="en-US"/>
        </w:rPr>
        <w:t>CO</w:t>
      </w:r>
      <w:r w:rsidRPr="00D8489F">
        <w:rPr>
          <w:color w:val="000000" w:themeColor="text1"/>
          <w:vertAlign w:val="subscript"/>
          <w:lang w:val="en-US"/>
        </w:rPr>
        <w:t>2</w:t>
      </w:r>
      <w:r w:rsidRPr="009F0D55">
        <w:rPr>
          <w:color w:val="000000" w:themeColor="text1"/>
          <w:lang w:val="en-US"/>
        </w:rPr>
        <w:t xml:space="preserve"> emissions.</w:t>
      </w:r>
    </w:p>
    <w:p w:rsidR="00D8316A" w:rsidRPr="00C61948" w:rsidRDefault="00050017" w:rsidP="00C61948">
      <w:pPr>
        <w:pStyle w:val="Heading1"/>
        <w:rPr>
          <w:lang w:val="en-US"/>
        </w:rPr>
      </w:pPr>
      <w:bookmarkStart w:id="16" w:name="_Toc343595886"/>
      <w:r>
        <w:rPr>
          <w:lang w:val="en-US"/>
        </w:rPr>
        <w:t>IX</w:t>
      </w:r>
      <w:r w:rsidR="00D8316A" w:rsidRPr="00C61948">
        <w:rPr>
          <w:lang w:val="en-US"/>
        </w:rPr>
        <w:t>. Conclusions and recommendations.</w:t>
      </w:r>
      <w:bookmarkEnd w:id="16"/>
      <w:r w:rsidR="00D8316A" w:rsidRPr="00C61948">
        <w:rPr>
          <w:lang w:val="en-US"/>
        </w:rPr>
        <w:t xml:space="preserve"> </w:t>
      </w:r>
    </w:p>
    <w:p w:rsidR="00FA2A19" w:rsidRPr="00FA2A19" w:rsidRDefault="00A452A5" w:rsidP="00C61948">
      <w:r>
        <w:t>71</w:t>
      </w:r>
      <w:r w:rsidR="00D741E0">
        <w:t xml:space="preserve">. </w:t>
      </w:r>
      <w:r w:rsidR="00D741E0">
        <w:tab/>
      </w:r>
      <w:r w:rsidR="00FA2A19" w:rsidRPr="00FA2A19">
        <w:t xml:space="preserve">The conclusions and recommendations will be drafted following the discussions of the Working Party. </w:t>
      </w:r>
    </w:p>
    <w:p w:rsidR="001A2518" w:rsidRPr="006846B5" w:rsidRDefault="00050017" w:rsidP="0093482F">
      <w:pPr>
        <w:pStyle w:val="Heading1"/>
      </w:pPr>
      <w:bookmarkStart w:id="17" w:name="_Toc343595887"/>
      <w:r>
        <w:t xml:space="preserve">X. </w:t>
      </w:r>
      <w:r w:rsidR="001A2518" w:rsidRPr="006846B5">
        <w:t>References</w:t>
      </w:r>
      <w:bookmarkEnd w:id="17"/>
    </w:p>
    <w:p w:rsidR="001A2518" w:rsidRPr="00561491" w:rsidRDefault="001A2518" w:rsidP="001A2518">
      <w:pPr>
        <w:pStyle w:val="ListParagraph"/>
        <w:spacing w:line="300" w:lineRule="atLeast"/>
        <w:ind w:left="0"/>
      </w:pPr>
      <w:r w:rsidRPr="00561491">
        <w:t xml:space="preserve">ADB (2009), </w:t>
      </w:r>
      <w:r w:rsidRPr="00561491">
        <w:rPr>
          <w:i/>
        </w:rPr>
        <w:t>Rethinking Transport and Climate Change</w:t>
      </w:r>
      <w:r w:rsidRPr="00561491">
        <w:t>, ADB Sustainable Development</w:t>
      </w:r>
    </w:p>
    <w:p w:rsidR="001A2518" w:rsidRPr="00561491" w:rsidRDefault="001A2518" w:rsidP="001A2518">
      <w:pPr>
        <w:pStyle w:val="ListParagraph"/>
        <w:spacing w:line="300" w:lineRule="atLeast"/>
        <w:ind w:left="0"/>
        <w:contextualSpacing w:val="0"/>
      </w:pPr>
      <w:r w:rsidRPr="00561491">
        <w:t xml:space="preserve">Working Paper Series, </w:t>
      </w:r>
      <w:hyperlink r:id="rId30" w:history="1">
        <w:r w:rsidRPr="00561491">
          <w:rPr>
            <w:rStyle w:val="Hyperlink"/>
            <w:color w:val="auto"/>
          </w:rPr>
          <w:t>http://www.adb.org/Documents/Papers/ADB-Working-Paper-Series/ADB-WP10-Rethinking-Transport-Climate-Change.pdf</w:t>
        </w:r>
      </w:hyperlink>
    </w:p>
    <w:p w:rsidR="001A2518" w:rsidRPr="00561491" w:rsidRDefault="001A2518" w:rsidP="001A2518">
      <w:pPr>
        <w:spacing w:after="120" w:line="240" w:lineRule="auto"/>
        <w:rPr>
          <w:lang w:val="de-DE"/>
        </w:rPr>
      </w:pPr>
      <w:r w:rsidRPr="00561491">
        <w:rPr>
          <w:lang w:val="de-DE"/>
        </w:rPr>
        <w:t xml:space="preserve">BMU (Bundesministerium für Umwelt, Naturschutz und Reaktorsicherheit) (2010), General </w:t>
      </w:r>
      <w:proofErr w:type="spellStart"/>
      <w:r w:rsidRPr="00561491">
        <w:rPr>
          <w:lang w:val="de-DE"/>
        </w:rPr>
        <w:t>information</w:t>
      </w:r>
      <w:proofErr w:type="spellEnd"/>
      <w:r w:rsidRPr="00561491">
        <w:rPr>
          <w:lang w:val="de-DE"/>
        </w:rPr>
        <w:t xml:space="preserve"> Air Pollution </w:t>
      </w:r>
      <w:proofErr w:type="spellStart"/>
      <w:r w:rsidRPr="00561491">
        <w:rPr>
          <w:lang w:val="de-DE"/>
        </w:rPr>
        <w:t>Control</w:t>
      </w:r>
      <w:proofErr w:type="spellEnd"/>
      <w:r w:rsidRPr="00561491">
        <w:rPr>
          <w:lang w:val="de-DE"/>
        </w:rPr>
        <w:t xml:space="preserve">, </w:t>
      </w:r>
      <w:hyperlink r:id="rId31" w:history="1">
        <w:r w:rsidRPr="00561491">
          <w:rPr>
            <w:rStyle w:val="Hyperlink"/>
            <w:color w:val="auto"/>
            <w:lang w:val="de-DE"/>
          </w:rPr>
          <w:t>http://www.bmu.de/english/air_pollution_control/general_information/doc/4352.php</w:t>
        </w:r>
      </w:hyperlink>
    </w:p>
    <w:p w:rsidR="00C50379" w:rsidRDefault="001A2518" w:rsidP="001A2518">
      <w:pPr>
        <w:spacing w:after="120" w:line="240" w:lineRule="auto"/>
        <w:rPr>
          <w:rStyle w:val="Hyperlink"/>
          <w:color w:val="auto"/>
        </w:rPr>
      </w:pPr>
      <w:r w:rsidRPr="00561491">
        <w:t xml:space="preserve">CEIP (Centre on Emission Inventories and Projections) (2012), </w:t>
      </w:r>
      <w:proofErr w:type="spellStart"/>
      <w:r w:rsidRPr="00561491">
        <w:t>WebDab</w:t>
      </w:r>
      <w:proofErr w:type="spellEnd"/>
      <w:r w:rsidRPr="00561491">
        <w:t xml:space="preserve"> -EMEP (Co-operative programme for monitoring and evaluation of long range transmission of air pollutants in Europe) database, </w:t>
      </w:r>
      <w:hyperlink r:id="rId32" w:history="1">
        <w:r w:rsidRPr="00561491">
          <w:rPr>
            <w:rStyle w:val="Hyperlink"/>
            <w:color w:val="auto"/>
          </w:rPr>
          <w:t>http://www.ceip.at/webdab-emission-database/</w:t>
        </w:r>
      </w:hyperlink>
    </w:p>
    <w:p w:rsidR="001A2518" w:rsidRPr="00561491" w:rsidRDefault="001A2518" w:rsidP="001A2518">
      <w:pPr>
        <w:spacing w:after="120" w:line="240" w:lineRule="auto"/>
      </w:pPr>
      <w:r w:rsidRPr="00561491">
        <w:t xml:space="preserve">EC (European Commission) (2001), Directive 2001/81/EC of the European Parliament and of the Council of 23 October 2001 on national emission ceilings for certain atmospheric pollutants, </w:t>
      </w:r>
      <w:hyperlink r:id="rId33" w:history="1">
        <w:r w:rsidRPr="00561491">
          <w:rPr>
            <w:rStyle w:val="Hyperlink"/>
            <w:color w:val="auto"/>
          </w:rPr>
          <w:t>http://eur-lex.europa.eu/LexUriServ/LexUriServ.do?uri=OJ:L:2001:309:0022:0030:EN:PDF</w:t>
        </w:r>
      </w:hyperlink>
    </w:p>
    <w:p w:rsidR="001A2518" w:rsidRPr="00561491" w:rsidRDefault="001A2518" w:rsidP="001A2518">
      <w:pPr>
        <w:spacing w:after="120" w:line="240" w:lineRule="auto"/>
      </w:pPr>
      <w:r w:rsidRPr="00561491">
        <w:t xml:space="preserve">EC (2005), Thematic Strategy on air pollution, </w:t>
      </w:r>
      <w:proofErr w:type="gramStart"/>
      <w:r w:rsidRPr="00561491">
        <w:t>COM(</w:t>
      </w:r>
      <w:proofErr w:type="gramEnd"/>
      <w:r w:rsidRPr="00561491">
        <w:t>2005) 446,  http://eur-lex.europa.eu/LexUriServ/LexUriServ.do?uri=COM:2005:0446:FIN:EN:PDF</w:t>
      </w:r>
    </w:p>
    <w:p w:rsidR="001A2518" w:rsidRPr="00561491" w:rsidRDefault="001A2518" w:rsidP="001A2518">
      <w:pPr>
        <w:spacing w:after="120" w:line="240" w:lineRule="auto"/>
      </w:pPr>
      <w:r w:rsidRPr="00561491">
        <w:t xml:space="preserve">EC (2008), Directive 2008/50/EC of the European Parliament and of the Council of 21 May 2008 on ambient air quality and cleaner air for Europe, </w:t>
      </w:r>
      <w:hyperlink r:id="rId34" w:history="1">
        <w:r w:rsidRPr="00561491">
          <w:rPr>
            <w:rStyle w:val="Hyperlink"/>
            <w:color w:val="auto"/>
          </w:rPr>
          <w:t>http://eur-lex.europa.eu/LexUriServ/LexUriServ.do?uri=OJ:L:2008:152:0001:0044:EN:PDF</w:t>
        </w:r>
      </w:hyperlink>
    </w:p>
    <w:p w:rsidR="001A2518" w:rsidRPr="00561491" w:rsidRDefault="001A2518" w:rsidP="001A2518">
      <w:pPr>
        <w:spacing w:after="120" w:line="240" w:lineRule="auto"/>
        <w:rPr>
          <w:lang w:val="en-US"/>
        </w:rPr>
      </w:pPr>
      <w:r w:rsidRPr="00561491">
        <w:rPr>
          <w:lang w:val="en-US"/>
        </w:rPr>
        <w:t xml:space="preserve">EC (2011), The Sixth Community Environment Action Programme. Final assessment, </w:t>
      </w:r>
      <w:proofErr w:type="gramStart"/>
      <w:r w:rsidRPr="00561491">
        <w:rPr>
          <w:lang w:val="en-US"/>
        </w:rPr>
        <w:t>COM(</w:t>
      </w:r>
      <w:proofErr w:type="gramEnd"/>
      <w:r w:rsidRPr="00561491">
        <w:rPr>
          <w:lang w:val="en-US"/>
        </w:rPr>
        <w:t xml:space="preserve">2011) 531, </w:t>
      </w:r>
      <w:hyperlink r:id="rId35" w:history="1">
        <w:r w:rsidRPr="00561491">
          <w:rPr>
            <w:rStyle w:val="Hyperlink"/>
            <w:color w:val="auto"/>
            <w:lang w:val="en-US"/>
          </w:rPr>
          <w:t>http://eur-lex.europa.eu/LexUriServ/LexUriServ.do?uri=COM:2011:0531:FIN:EN:PDF</w:t>
        </w:r>
      </w:hyperlink>
    </w:p>
    <w:p w:rsidR="001A2518" w:rsidRPr="00561491" w:rsidRDefault="001A2518" w:rsidP="001A2518">
      <w:pPr>
        <w:spacing w:after="120" w:line="240" w:lineRule="auto"/>
        <w:rPr>
          <w:lang w:val="en-US"/>
        </w:rPr>
      </w:pPr>
      <w:r w:rsidRPr="00561491">
        <w:rPr>
          <w:lang w:val="en-US"/>
        </w:rPr>
        <w:t xml:space="preserve">EC (2012a), European Commission, Environment, Air, Emissions of Air Pollutants, Revision of the National Emission Ceilings Directive, </w:t>
      </w:r>
      <w:hyperlink r:id="rId36" w:history="1">
        <w:r w:rsidRPr="00561491">
          <w:rPr>
            <w:rStyle w:val="Hyperlink"/>
            <w:color w:val="auto"/>
            <w:lang w:val="en-US"/>
          </w:rPr>
          <w:t>http://ec.europa.eu/environment/air/pollutants/rev_nec_dir.htm</w:t>
        </w:r>
      </w:hyperlink>
    </w:p>
    <w:p w:rsidR="001A2518" w:rsidRPr="00561491" w:rsidRDefault="001A2518" w:rsidP="001A2518">
      <w:pPr>
        <w:spacing w:after="120" w:line="240" w:lineRule="auto"/>
        <w:rPr>
          <w:lang w:val="en-US"/>
        </w:rPr>
      </w:pPr>
      <w:r w:rsidRPr="00561491">
        <w:rPr>
          <w:lang w:val="en-US"/>
        </w:rPr>
        <w:t xml:space="preserve">EC (2012b), European Commission, Environment, Air, Emissions of Air Pollutants, National Emission Ceilings, </w:t>
      </w:r>
      <w:hyperlink r:id="rId37" w:history="1">
        <w:r w:rsidRPr="00561491">
          <w:rPr>
            <w:rStyle w:val="Hyperlink"/>
            <w:color w:val="auto"/>
            <w:lang w:val="en-US"/>
          </w:rPr>
          <w:t>http://ec.europa.eu/environment/air/pollutants/ceilings.htm</w:t>
        </w:r>
      </w:hyperlink>
    </w:p>
    <w:p w:rsidR="001A2518" w:rsidRPr="00561491" w:rsidRDefault="001A2518" w:rsidP="001A2518">
      <w:pPr>
        <w:spacing w:after="120" w:line="240" w:lineRule="auto"/>
        <w:rPr>
          <w:rFonts w:ascii="Helv" w:hAnsi="Helv" w:cs="Helv"/>
          <w:sz w:val="20"/>
          <w:szCs w:val="20"/>
          <w:lang w:val="fr-CH"/>
        </w:rPr>
      </w:pPr>
      <w:r w:rsidRPr="00561491">
        <w:t xml:space="preserve">EEA (European Environment Agency) (2010), The European environment </w:t>
      </w:r>
      <w:proofErr w:type="gramStart"/>
      <w:r w:rsidRPr="00561491">
        <w:t>-  state</w:t>
      </w:r>
      <w:proofErr w:type="gramEnd"/>
      <w:r w:rsidRPr="00561491">
        <w:t xml:space="preserve"> and outlook 2010. </w:t>
      </w:r>
      <w:r w:rsidRPr="00561491">
        <w:rPr>
          <w:lang w:val="fr-CH"/>
        </w:rPr>
        <w:t xml:space="preserve">Air pollution, </w:t>
      </w:r>
      <w:r w:rsidR="00DC0044">
        <w:fldChar w:fldCharType="begin"/>
      </w:r>
      <w:r w:rsidR="00DC0044" w:rsidRPr="00DC0044">
        <w:rPr>
          <w:lang w:val="fr-CH"/>
        </w:rPr>
        <w:instrText xml:space="preserve"> HYPERLINK "http://www.eea.europa.eu/soer/europe/air-pollution/at_download/file" </w:instrText>
      </w:r>
      <w:r w:rsidR="00DC0044">
        <w:fldChar w:fldCharType="separate"/>
      </w:r>
      <w:r w:rsidRPr="00561491">
        <w:rPr>
          <w:rStyle w:val="Hyperlink"/>
          <w:color w:val="auto"/>
          <w:lang w:val="fr-CH"/>
        </w:rPr>
        <w:t>http://www.eea.europa.eu/soer/europe/air-pollution/at_download/file</w:t>
      </w:r>
      <w:r w:rsidR="00DC0044">
        <w:rPr>
          <w:rStyle w:val="Hyperlink"/>
          <w:color w:val="auto"/>
          <w:lang w:val="fr-CH"/>
        </w:rPr>
        <w:fldChar w:fldCharType="end"/>
      </w:r>
    </w:p>
    <w:p w:rsidR="001A2518" w:rsidRPr="00561491" w:rsidRDefault="001A2518" w:rsidP="001A2518">
      <w:pPr>
        <w:spacing w:after="120" w:line="240" w:lineRule="auto"/>
        <w:rPr>
          <w:lang w:val="en-US"/>
        </w:rPr>
      </w:pPr>
      <w:r w:rsidRPr="00561491">
        <w:t>EEA (2012a)</w:t>
      </w:r>
      <w:proofErr w:type="gramStart"/>
      <w:r w:rsidRPr="00561491">
        <w:t>,European</w:t>
      </w:r>
      <w:proofErr w:type="gramEnd"/>
      <w:r w:rsidRPr="00561491">
        <w:t xml:space="preserve"> Union emission inventory report 1990–2010 under the UNECE Convention on Long-range Transboundary Air Pollution (LRTAP), </w:t>
      </w:r>
      <w:hyperlink r:id="rId38" w:history="1">
        <w:r w:rsidRPr="00561491">
          <w:rPr>
            <w:rStyle w:val="Hyperlink"/>
            <w:color w:val="auto"/>
          </w:rPr>
          <w:t>http://www.eea.europa.eu/publications/eu-emission-inventory-report-1990-2010/at_download/file</w:t>
        </w:r>
      </w:hyperlink>
    </w:p>
    <w:p w:rsidR="001A2518" w:rsidRPr="00561491" w:rsidRDefault="001A2518" w:rsidP="001A2518">
      <w:pPr>
        <w:spacing w:after="120" w:line="240" w:lineRule="auto"/>
      </w:pPr>
      <w:r w:rsidRPr="00561491">
        <w:t xml:space="preserve">EEA (2012b), Eleven Member States exceed air emissions limits under LRTAP Convention, </w:t>
      </w:r>
      <w:hyperlink r:id="rId39" w:history="1">
        <w:r w:rsidRPr="00561491">
          <w:rPr>
            <w:rStyle w:val="Hyperlink"/>
            <w:color w:val="auto"/>
          </w:rPr>
          <w:t>http://www.eea.europa.eu/highlights/eleven-member-states-exceed-air</w:t>
        </w:r>
      </w:hyperlink>
    </w:p>
    <w:p w:rsidR="006212DE" w:rsidRPr="006212DE" w:rsidRDefault="006212DE" w:rsidP="001A2518">
      <w:pPr>
        <w:spacing w:after="120" w:line="240" w:lineRule="auto"/>
      </w:pPr>
      <w:r w:rsidRPr="006212DE">
        <w:t xml:space="preserve">International Agency for research on Cancer, World Health Organization (IARC) (2012), IARC: Diesel engines exhaust carcinogenic, press release N° 213, 12 June 2012, </w:t>
      </w:r>
      <w:hyperlink r:id="rId40" w:history="1">
        <w:r w:rsidRPr="006212DE">
          <w:rPr>
            <w:rStyle w:val="Hyperlink"/>
            <w:color w:val="auto"/>
          </w:rPr>
          <w:t>http://press.iarc.fr/pr213_E.pdf</w:t>
        </w:r>
      </w:hyperlink>
    </w:p>
    <w:p w:rsidR="006212DE" w:rsidRDefault="006212DE" w:rsidP="001A2518">
      <w:pPr>
        <w:spacing w:after="120" w:line="240" w:lineRule="auto"/>
        <w:rPr>
          <w:lang w:val="en-US"/>
        </w:rPr>
      </w:pPr>
      <w:r w:rsidRPr="00394181">
        <w:rPr>
          <w:lang w:val="en-US"/>
        </w:rPr>
        <w:lastRenderedPageBreak/>
        <w:t>International Road Transport Union (IRU) 2012</w:t>
      </w:r>
      <w:r>
        <w:rPr>
          <w:lang w:val="en-US"/>
        </w:rPr>
        <w:t xml:space="preserve">, </w:t>
      </w:r>
      <w:r w:rsidRPr="00394181">
        <w:rPr>
          <w:lang w:val="en-US"/>
        </w:rPr>
        <w:t xml:space="preserve">Vehicles are getting </w:t>
      </w:r>
      <w:r w:rsidRPr="00394181">
        <w:rPr>
          <w:lang w:val="en-US"/>
        </w:rPr>
        <w:br/>
        <w:t>cleaner worldwide</w:t>
      </w:r>
      <w:r>
        <w:rPr>
          <w:lang w:val="en-US"/>
        </w:rPr>
        <w:t>, quoting a Price Waterhouse Coopers report (2008), personal communication</w:t>
      </w:r>
      <w:r w:rsidRPr="00561491">
        <w:rPr>
          <w:lang w:val="en-US"/>
        </w:rPr>
        <w:t xml:space="preserve"> </w:t>
      </w:r>
    </w:p>
    <w:p w:rsidR="001A2518" w:rsidRPr="00561491" w:rsidRDefault="001A2518" w:rsidP="001A2518">
      <w:pPr>
        <w:spacing w:after="120" w:line="240" w:lineRule="auto"/>
        <w:rPr>
          <w:lang w:val="en-US"/>
        </w:rPr>
      </w:pPr>
      <w:r w:rsidRPr="00561491">
        <w:rPr>
          <w:lang w:val="en-US"/>
        </w:rPr>
        <w:t xml:space="preserve">Jacobson, M. Z. (2002), Atmospheric pollution, </w:t>
      </w:r>
      <w:hyperlink r:id="rId41" w:history="1">
        <w:r w:rsidRPr="00561491">
          <w:rPr>
            <w:rStyle w:val="Hyperlink"/>
            <w:color w:val="auto"/>
            <w:lang w:val="en-US"/>
          </w:rPr>
          <w:t>http://books.google.com/books?id=NN5S0_3dEvkC</w:t>
        </w:r>
      </w:hyperlink>
      <w:r w:rsidRPr="00561491">
        <w:rPr>
          <w:lang w:val="en-US"/>
        </w:rPr>
        <w:t xml:space="preserve"> </w:t>
      </w:r>
    </w:p>
    <w:p w:rsidR="001A2518" w:rsidRPr="00561491" w:rsidRDefault="001A2518" w:rsidP="001A2518">
      <w:pPr>
        <w:spacing w:after="120" w:line="240" w:lineRule="auto"/>
      </w:pPr>
      <w:r w:rsidRPr="00561491">
        <w:rPr>
          <w:lang w:val="en-US"/>
        </w:rPr>
        <w:t xml:space="preserve">UNECE (1979), Convention on Long-range Transboundary Air Pollution, </w:t>
      </w:r>
      <w:hyperlink r:id="rId42" w:history="1">
        <w:r w:rsidRPr="00561491">
          <w:rPr>
            <w:rStyle w:val="Hyperlink"/>
            <w:color w:val="auto"/>
          </w:rPr>
          <w:t>http://www.unece.org/env/lrtap/lrtap_h1.html</w:t>
        </w:r>
      </w:hyperlink>
    </w:p>
    <w:p w:rsidR="001A2518" w:rsidRPr="00561491" w:rsidRDefault="001A2518" w:rsidP="001A2518">
      <w:pPr>
        <w:spacing w:after="120" w:line="240" w:lineRule="auto"/>
      </w:pPr>
      <w:r w:rsidRPr="00561491">
        <w:t xml:space="preserve">UNECE (1999), Gothenburg Protocol to Abate Acidification, Eutrophication and Ground-level Ozone, </w:t>
      </w:r>
      <w:hyperlink r:id="rId43" w:history="1">
        <w:r w:rsidRPr="00561491">
          <w:rPr>
            <w:rStyle w:val="Hyperlink"/>
            <w:color w:val="auto"/>
          </w:rPr>
          <w:t>http://www.unece.org/env/lrtap/multi_h1.html</w:t>
        </w:r>
      </w:hyperlink>
    </w:p>
    <w:p w:rsidR="001A2518" w:rsidRPr="00561491" w:rsidRDefault="001A2518" w:rsidP="001A2518">
      <w:pPr>
        <w:spacing w:after="120" w:line="240" w:lineRule="auto"/>
      </w:pPr>
      <w:r w:rsidRPr="00561491">
        <w:t>UNECE (2010), Report of the World Forum for Harmonization of Vehicle Regulations on its 150</w:t>
      </w:r>
      <w:r w:rsidRPr="00561491">
        <w:rPr>
          <w:vertAlign w:val="superscript"/>
        </w:rPr>
        <w:t>th</w:t>
      </w:r>
      <w:r w:rsidRPr="00561491">
        <w:t xml:space="preserve"> session, paragraph 83, </w:t>
      </w:r>
      <w:hyperlink r:id="rId44" w:history="1">
        <w:r w:rsidRPr="00561491">
          <w:rPr>
            <w:rStyle w:val="Hyperlink"/>
            <w:color w:val="auto"/>
          </w:rPr>
          <w:t>http://www.unece.org/fileadmin/DAM/trans/doc/2010/wp29/ECE-TRANS-WP29-1083e.pdf</w:t>
        </w:r>
      </w:hyperlink>
    </w:p>
    <w:p w:rsidR="001A2518" w:rsidRPr="00561491" w:rsidRDefault="001A2518" w:rsidP="001A2518">
      <w:pPr>
        <w:spacing w:after="120" w:line="240" w:lineRule="auto"/>
        <w:rPr>
          <w:u w:val="single"/>
        </w:rPr>
      </w:pPr>
      <w:r w:rsidRPr="00561491">
        <w:t>UNECE (2012), Report of the World Forum for Harmonization of Vehicle Regulations on its 157</w:t>
      </w:r>
      <w:r w:rsidRPr="00561491">
        <w:rPr>
          <w:vertAlign w:val="superscript"/>
        </w:rPr>
        <w:t>th</w:t>
      </w:r>
      <w:r w:rsidRPr="00561491">
        <w:t xml:space="preserve"> session</w:t>
      </w:r>
      <w:proofErr w:type="gramStart"/>
      <w:r w:rsidRPr="00561491">
        <w:t>, ,</w:t>
      </w:r>
      <w:proofErr w:type="gramEnd"/>
      <w:r w:rsidRPr="00561491">
        <w:t xml:space="preserve"> paragraph 77, </w:t>
      </w:r>
      <w:hyperlink r:id="rId45" w:history="1">
        <w:r w:rsidRPr="00561491">
          <w:rPr>
            <w:rStyle w:val="Hyperlink"/>
            <w:color w:val="auto"/>
          </w:rPr>
          <w:t>http://www.unece.org/fileadmin/DAM/trans/doc/2012/wp29/ECE-TRANS-WP29-1097e_01.pdf</w:t>
        </w:r>
      </w:hyperlink>
    </w:p>
    <w:p w:rsidR="001A2518" w:rsidRPr="00561491" w:rsidRDefault="001A2518" w:rsidP="001A2518">
      <w:pPr>
        <w:spacing w:after="120" w:line="240" w:lineRule="auto"/>
      </w:pPr>
      <w:r w:rsidRPr="00561491">
        <w:t xml:space="preserve">US EPA (2000), Control of Air Pollution </w:t>
      </w:r>
      <w:proofErr w:type="gramStart"/>
      <w:r w:rsidRPr="00561491">
        <w:t>From</w:t>
      </w:r>
      <w:proofErr w:type="gramEnd"/>
      <w:r w:rsidRPr="00561491">
        <w:t xml:space="preserve"> New Motor Vehicles: Tier 2 Motor Vehicle Emissions Standards and Gasoline </w:t>
      </w:r>
      <w:proofErr w:type="spellStart"/>
      <w:r w:rsidRPr="00561491">
        <w:t>Sulfur</w:t>
      </w:r>
      <w:proofErr w:type="spellEnd"/>
      <w:r w:rsidRPr="00561491">
        <w:t xml:space="preserve"> Control Requirements, </w:t>
      </w:r>
      <w:hyperlink r:id="rId46" w:history="1">
        <w:r w:rsidRPr="00561491">
          <w:rPr>
            <w:rStyle w:val="Hyperlink"/>
            <w:color w:val="auto"/>
          </w:rPr>
          <w:t>http://www.gpo.gov/fdsys/pkg/FR-2000-02-10/pdf/00-19.pdf</w:t>
        </w:r>
      </w:hyperlink>
    </w:p>
    <w:p w:rsidR="001A2518" w:rsidRPr="00561491" w:rsidRDefault="001A2518" w:rsidP="001A2518">
      <w:pPr>
        <w:spacing w:after="120" w:line="240" w:lineRule="auto"/>
        <w:rPr>
          <w:lang w:val="en-US"/>
        </w:rPr>
      </w:pPr>
      <w:r w:rsidRPr="00561491">
        <w:t xml:space="preserve">US EPA (2002), Diesel Hazard Assessment Document for Diesel Engine Exhaust, EPA600-9-90-057F Office of Research and Development, Washington DC, </w:t>
      </w:r>
      <w:hyperlink r:id="rId47" w:history="1">
        <w:r w:rsidRPr="00561491">
          <w:rPr>
            <w:rStyle w:val="Hyperlink"/>
            <w:color w:val="auto"/>
          </w:rPr>
          <w:t>http://cfpub.epa.gov/ncea/cfm/recordisplay.cfm?deid=29060</w:t>
        </w:r>
      </w:hyperlink>
    </w:p>
    <w:p w:rsidR="001A2518" w:rsidRPr="00561491" w:rsidRDefault="001A2518" w:rsidP="001A2518">
      <w:pPr>
        <w:spacing w:after="120" w:line="240" w:lineRule="auto"/>
        <w:rPr>
          <w:lang w:val="en-US"/>
        </w:rPr>
      </w:pPr>
      <w:r w:rsidRPr="00561491">
        <w:rPr>
          <w:lang w:val="en-US"/>
        </w:rPr>
        <w:t>US EPA (2012), What Are the Six Common Air Pollutants</w:t>
      </w:r>
      <w:proofErr w:type="gramStart"/>
      <w:r w:rsidRPr="00561491">
        <w:rPr>
          <w:lang w:val="en-US"/>
        </w:rPr>
        <w:t>?,</w:t>
      </w:r>
      <w:proofErr w:type="gramEnd"/>
      <w:r w:rsidRPr="00561491">
        <w:rPr>
          <w:lang w:val="en-US"/>
        </w:rPr>
        <w:t xml:space="preserve"> </w:t>
      </w:r>
      <w:hyperlink r:id="rId48" w:history="1">
        <w:r w:rsidRPr="00561491">
          <w:rPr>
            <w:rStyle w:val="Hyperlink"/>
            <w:color w:val="auto"/>
            <w:lang w:val="en-US"/>
          </w:rPr>
          <w:t>http://www.epa.gov/air/urbanair/</w:t>
        </w:r>
      </w:hyperlink>
      <w:r w:rsidRPr="00561491">
        <w:rPr>
          <w:lang w:val="en-US"/>
        </w:rPr>
        <w:t xml:space="preserve"> </w:t>
      </w:r>
    </w:p>
    <w:p w:rsidR="001A2518" w:rsidRPr="00561491" w:rsidRDefault="001A2518" w:rsidP="001A2518">
      <w:pPr>
        <w:spacing w:after="120" w:line="240" w:lineRule="auto"/>
        <w:rPr>
          <w:lang w:val="en-US"/>
        </w:rPr>
      </w:pPr>
      <w:r w:rsidRPr="00561491">
        <w:t xml:space="preserve">Wild. C. (2012), </w:t>
      </w:r>
      <w:proofErr w:type="spellStart"/>
      <w:r w:rsidRPr="00561491">
        <w:t>Videocast</w:t>
      </w:r>
      <w:proofErr w:type="spellEnd"/>
      <w:r w:rsidRPr="00561491">
        <w:t xml:space="preserve">, </w:t>
      </w:r>
      <w:hyperlink r:id="rId49" w:history="1">
        <w:r w:rsidRPr="00561491">
          <w:rPr>
            <w:rStyle w:val="Hyperlink"/>
            <w:color w:val="auto"/>
          </w:rPr>
          <w:t>http://www.iarc.fr/en/media-centre/iarcnews/2012/mono105-videocast_Wild.php</w:t>
        </w:r>
      </w:hyperlink>
    </w:p>
    <w:p w:rsidR="00C50379" w:rsidRDefault="001A2518" w:rsidP="0074384F">
      <w:pPr>
        <w:spacing w:after="120" w:line="240" w:lineRule="auto"/>
        <w:rPr>
          <w:rStyle w:val="Hyperlink"/>
          <w:color w:val="auto"/>
        </w:rPr>
      </w:pPr>
      <w:r w:rsidRPr="00561491">
        <w:rPr>
          <w:lang w:val="en-US"/>
        </w:rPr>
        <w:t xml:space="preserve">WHO (World Health Organization) (2011), Air quality and health, Fact sheet N°313, </w:t>
      </w:r>
      <w:hyperlink r:id="rId50" w:history="1">
        <w:r w:rsidRPr="00561491">
          <w:rPr>
            <w:rStyle w:val="Hyperlink"/>
            <w:color w:val="auto"/>
          </w:rPr>
          <w:t>http://www.who.int/mediacentre/factsheets/fs313/en/index.html</w:t>
        </w:r>
      </w:hyperlink>
    </w:p>
    <w:sectPr w:rsidR="00C50379" w:rsidSect="0093482F">
      <w:headerReference w:type="default" r:id="rId51"/>
      <w:footerReference w:type="default" r:id="rId52"/>
      <w:pgSz w:w="11906" w:h="16838"/>
      <w:pgMar w:top="1440" w:right="1440" w:bottom="1134"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CCF" w:rsidRDefault="00522CCF" w:rsidP="0093482F">
      <w:pPr>
        <w:spacing w:after="0" w:line="240" w:lineRule="auto"/>
      </w:pPr>
      <w:r>
        <w:separator/>
      </w:r>
    </w:p>
  </w:endnote>
  <w:endnote w:type="continuationSeparator" w:id="0">
    <w:p w:rsidR="00522CCF" w:rsidRDefault="00522CCF" w:rsidP="0093482F">
      <w:pPr>
        <w:spacing w:after="0" w:line="240" w:lineRule="auto"/>
      </w:pPr>
      <w:r>
        <w:continuationSeparator/>
      </w:r>
    </w:p>
  </w:endnote>
  <w:endnote w:type="continuationNotice" w:id="1">
    <w:p w:rsidR="00522CCF" w:rsidRDefault="00522C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CCF" w:rsidRDefault="00522CCF" w:rsidP="009348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CCF" w:rsidRDefault="00522CCF" w:rsidP="006E798A">
      <w:pPr>
        <w:spacing w:after="0" w:line="240" w:lineRule="auto"/>
      </w:pPr>
      <w:r>
        <w:separator/>
      </w:r>
    </w:p>
  </w:footnote>
  <w:footnote w:type="continuationSeparator" w:id="0">
    <w:p w:rsidR="00522CCF" w:rsidRDefault="00522CCF" w:rsidP="0093482F">
      <w:pPr>
        <w:spacing w:after="0" w:line="240" w:lineRule="auto"/>
      </w:pPr>
      <w:r>
        <w:continuationSeparator/>
      </w:r>
    </w:p>
  </w:footnote>
  <w:footnote w:type="continuationNotice" w:id="1">
    <w:p w:rsidR="00522CCF" w:rsidRDefault="00522CCF">
      <w:pPr>
        <w:spacing w:after="0" w:line="240" w:lineRule="auto"/>
      </w:pPr>
    </w:p>
  </w:footnote>
  <w:footnote w:id="2">
    <w:p w:rsidR="00522CCF" w:rsidRPr="002447CB" w:rsidRDefault="00522CCF">
      <w:pPr>
        <w:pStyle w:val="FootnoteText"/>
      </w:pPr>
      <w:r>
        <w:rPr>
          <w:rStyle w:val="FootnoteReference"/>
        </w:rPr>
        <w:footnoteRef/>
      </w:r>
      <w:r>
        <w:t xml:space="preserve"> L</w:t>
      </w:r>
      <w:r w:rsidRPr="002447CB">
        <w:t>ater amended as part of the accession of new Member States</w:t>
      </w:r>
      <w:r>
        <w:t>.</w:t>
      </w:r>
    </w:p>
  </w:footnote>
  <w:footnote w:id="3">
    <w:p w:rsidR="00522CCF" w:rsidRPr="00AB7600" w:rsidRDefault="00522CCF" w:rsidP="001A2518">
      <w:pPr>
        <w:pStyle w:val="FootnoteText"/>
      </w:pPr>
      <w:r>
        <w:rPr>
          <w:rStyle w:val="FootnoteReference"/>
        </w:rPr>
        <w:footnoteRef/>
      </w:r>
      <w:r>
        <w:t xml:space="preserve"> </w:t>
      </w:r>
      <w:r w:rsidRPr="00AB7600">
        <w:t>In the case of road transport, the scale and relevance of the action already taken in recent years (in relation to measures addressing other sectors) is further confirmed by the explicit reference to Euro 5/6 and EURO VI regulation amongst the key examples to take into account in the proposals for the forthcoming revision of the NEC Directive (EC, 2012a).</w:t>
      </w:r>
    </w:p>
  </w:footnote>
  <w:footnote w:id="4">
    <w:p w:rsidR="00522CCF" w:rsidRPr="0093482F" w:rsidRDefault="00522CCF" w:rsidP="00B41E24">
      <w:pPr>
        <w:pStyle w:val="FootnoteText"/>
        <w:rPr>
          <w:lang w:val="en-US"/>
        </w:rPr>
      </w:pPr>
      <w:r>
        <w:rPr>
          <w:rStyle w:val="FootnoteReference"/>
        </w:rPr>
        <w:footnoteRef/>
      </w:r>
      <w:r>
        <w:t xml:space="preserve"> </w:t>
      </w:r>
      <w:r w:rsidRPr="0091135B">
        <w:t xml:space="preserve">IARC is a specialized agency of WHO. It produces evidence-based science to be translated into public health policies and actions by national or international public health authorities such as </w:t>
      </w:r>
      <w:proofErr w:type="gramStart"/>
      <w:r w:rsidRPr="0091135B">
        <w:t>WHO</w:t>
      </w:r>
      <w:proofErr w:type="gramEnd"/>
      <w:r w:rsidRPr="0091135B">
        <w:t>. IARC defines potential cancer risks to humans, but it does not recommend legislation or regulation. The IARC evaluation is designed to assist national and international health authorities in making their risk assessments and taking preventive action.</w:t>
      </w:r>
    </w:p>
  </w:footnote>
  <w:footnote w:id="5">
    <w:p w:rsidR="00522CCF" w:rsidRPr="00537FF6" w:rsidRDefault="00522CCF" w:rsidP="007B2285">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338"/>
      <w:gridCol w:w="1904"/>
    </w:tblGrid>
    <w:tr w:rsidR="00522CCF" w:rsidTr="00D21D47">
      <w:trPr>
        <w:trHeight w:val="475"/>
      </w:trPr>
      <w:sdt>
        <w:sdtPr>
          <w:rPr>
            <w:caps/>
            <w:color w:val="FFFFFF" w:themeColor="background1"/>
          </w:rPr>
          <w:alias w:val="Τίτλος"/>
          <w:id w:val="78273368"/>
          <w:dataBinding w:prefixMappings="xmlns:ns0='http://schemas.openxmlformats.org/package/2006/metadata/core-properties' xmlns:ns1='http://purl.org/dc/elements/1.1/'" w:xpath="/ns0:coreProperties[1]/ns1:title[1]" w:storeItemID="{6C3C8BC8-F283-45AE-878A-BAB7291924A1}"/>
          <w:text/>
        </w:sdtPr>
        <w:sdtEndPr/>
        <w:sdtContent>
          <w:tc>
            <w:tcPr>
              <w:tcW w:w="3970" w:type="pct"/>
              <w:shd w:val="clear" w:color="auto" w:fill="8064A2" w:themeFill="accent4"/>
              <w:vAlign w:val="center"/>
            </w:tcPr>
            <w:p w:rsidR="00522CCF" w:rsidRDefault="00522CCF" w:rsidP="00BA70DF">
              <w:pPr>
                <w:pStyle w:val="Header"/>
                <w:jc w:val="right"/>
                <w:rPr>
                  <w:caps/>
                  <w:color w:val="FFFFFF" w:themeColor="background1"/>
                </w:rPr>
              </w:pPr>
              <w:r>
                <w:rPr>
                  <w:caps/>
                  <w:color w:val="FFFFFF" w:themeColor="background1"/>
                </w:rPr>
                <w:t>Diesel Engines Exhausts: myths and realities</w:t>
              </w:r>
            </w:p>
          </w:tc>
        </w:sdtContent>
      </w:sdt>
      <w:tc>
        <w:tcPr>
          <w:tcW w:w="1030" w:type="pct"/>
          <w:shd w:val="clear" w:color="auto" w:fill="000000" w:themeFill="text1"/>
          <w:vAlign w:val="center"/>
        </w:tcPr>
        <w:p w:rsidR="00522CCF" w:rsidRDefault="00522CCF" w:rsidP="007E1EB7">
          <w:pPr>
            <w:pStyle w:val="Header"/>
            <w:jc w:val="right"/>
            <w:rPr>
              <w:color w:val="FFFFFF" w:themeColor="background1"/>
            </w:rPr>
          </w:pPr>
        </w:p>
      </w:tc>
    </w:tr>
  </w:tbl>
  <w:p w:rsidR="00522CCF" w:rsidRDefault="00522CCF" w:rsidP="009348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C22"/>
    <w:multiLevelType w:val="hybridMultilevel"/>
    <w:tmpl w:val="42A41EC4"/>
    <w:lvl w:ilvl="0" w:tplc="52D2AFD2">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9D14D9"/>
    <w:multiLevelType w:val="hybridMultilevel"/>
    <w:tmpl w:val="45D2EC80"/>
    <w:lvl w:ilvl="0" w:tplc="9CC6D4B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BA19B4"/>
    <w:multiLevelType w:val="hybridMultilevel"/>
    <w:tmpl w:val="7EECA134"/>
    <w:lvl w:ilvl="0" w:tplc="08090001">
      <w:start w:val="1"/>
      <w:numFmt w:val="bullet"/>
      <w:lvlText w:val=""/>
      <w:lvlJc w:val="left"/>
      <w:pPr>
        <w:ind w:left="1074" w:hanging="360"/>
      </w:pPr>
      <w:rPr>
        <w:rFonts w:ascii="Symbol" w:hAnsi="Symbol"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
    <w:nsid w:val="29671498"/>
    <w:multiLevelType w:val="hybridMultilevel"/>
    <w:tmpl w:val="67746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0805EE"/>
    <w:multiLevelType w:val="hybridMultilevel"/>
    <w:tmpl w:val="FC0859B2"/>
    <w:lvl w:ilvl="0" w:tplc="94749FAC">
      <w:start w:val="1"/>
      <w:numFmt w:val="lowerLetter"/>
      <w:lvlText w:val="%1)"/>
      <w:lvlJc w:val="left"/>
      <w:pPr>
        <w:ind w:left="1794" w:hanging="72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5">
    <w:nsid w:val="2FCD17BA"/>
    <w:multiLevelType w:val="hybridMultilevel"/>
    <w:tmpl w:val="F322F4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nsid w:val="31E56327"/>
    <w:multiLevelType w:val="hybridMultilevel"/>
    <w:tmpl w:val="22CC53C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323133C1"/>
    <w:multiLevelType w:val="hybridMultilevel"/>
    <w:tmpl w:val="81E847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30A4686"/>
    <w:multiLevelType w:val="hybridMultilevel"/>
    <w:tmpl w:val="A120B152"/>
    <w:lvl w:ilvl="0" w:tplc="69AC4BA0">
      <w:start w:val="1"/>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FF5B0A"/>
    <w:multiLevelType w:val="hybridMultilevel"/>
    <w:tmpl w:val="35184972"/>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7AE41AE"/>
    <w:multiLevelType w:val="hybridMultilevel"/>
    <w:tmpl w:val="50D42726"/>
    <w:lvl w:ilvl="0" w:tplc="0784D0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E6688E"/>
    <w:multiLevelType w:val="hybridMultilevel"/>
    <w:tmpl w:val="9C10BAF8"/>
    <w:lvl w:ilvl="0" w:tplc="52D2AF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6DE6DE8"/>
    <w:multiLevelType w:val="hybridMultilevel"/>
    <w:tmpl w:val="42A41EC4"/>
    <w:lvl w:ilvl="0" w:tplc="52D2AFD2">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B44E2E"/>
    <w:multiLevelType w:val="hybridMultilevel"/>
    <w:tmpl w:val="1E04C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6776BD"/>
    <w:multiLevelType w:val="hybridMultilevel"/>
    <w:tmpl w:val="9BFA5B4C"/>
    <w:lvl w:ilvl="0" w:tplc="258CAE78">
      <w:start w:val="1"/>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B5012C"/>
    <w:multiLevelType w:val="hybridMultilevel"/>
    <w:tmpl w:val="A0EE5560"/>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AA3292"/>
    <w:multiLevelType w:val="hybridMultilevel"/>
    <w:tmpl w:val="AAB0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4D3109"/>
    <w:multiLevelType w:val="hybridMultilevel"/>
    <w:tmpl w:val="A5D6977E"/>
    <w:lvl w:ilvl="0" w:tplc="52D2AFD2">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182C55"/>
    <w:multiLevelType w:val="hybridMultilevel"/>
    <w:tmpl w:val="E07ED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C21108"/>
    <w:multiLevelType w:val="hybridMultilevel"/>
    <w:tmpl w:val="54E41750"/>
    <w:lvl w:ilvl="0" w:tplc="6F9AF5EA">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E3A1F25"/>
    <w:multiLevelType w:val="hybridMultilevel"/>
    <w:tmpl w:val="30848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5472D5"/>
    <w:multiLevelType w:val="hybridMultilevel"/>
    <w:tmpl w:val="02EC6E16"/>
    <w:lvl w:ilvl="0" w:tplc="08090001">
      <w:start w:val="1"/>
      <w:numFmt w:val="bullet"/>
      <w:lvlText w:val=""/>
      <w:lvlJc w:val="left"/>
      <w:pPr>
        <w:ind w:left="720" w:hanging="360"/>
      </w:pPr>
      <w:rPr>
        <w:rFonts w:ascii="Symbol" w:hAnsi="Symbol" w:hint="default"/>
      </w:rPr>
    </w:lvl>
    <w:lvl w:ilvl="1" w:tplc="6F9AF5EA">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FB3197D"/>
    <w:multiLevelType w:val="hybridMultilevel"/>
    <w:tmpl w:val="1F8C8B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nsid w:val="64C17FA5"/>
    <w:multiLevelType w:val="hybridMultilevel"/>
    <w:tmpl w:val="76B21800"/>
    <w:lvl w:ilvl="0" w:tplc="52D2AF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6116C27"/>
    <w:multiLevelType w:val="hybridMultilevel"/>
    <w:tmpl w:val="CBC60EF8"/>
    <w:lvl w:ilvl="0" w:tplc="52D2AF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ADC4754"/>
    <w:multiLevelType w:val="hybridMultilevel"/>
    <w:tmpl w:val="D49AB612"/>
    <w:lvl w:ilvl="0" w:tplc="99ACEF9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E724B6B"/>
    <w:multiLevelType w:val="hybridMultilevel"/>
    <w:tmpl w:val="4ECC682C"/>
    <w:lvl w:ilvl="0" w:tplc="CA0CB6A4">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E904C93"/>
    <w:multiLevelType w:val="hybridMultilevel"/>
    <w:tmpl w:val="DF28835E"/>
    <w:lvl w:ilvl="0" w:tplc="52D2AFD2">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4A3F65"/>
    <w:multiLevelType w:val="hybridMultilevel"/>
    <w:tmpl w:val="6EF88A0C"/>
    <w:lvl w:ilvl="0" w:tplc="52D2AF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5EF2F2F"/>
    <w:multiLevelType w:val="hybridMultilevel"/>
    <w:tmpl w:val="FC0859B2"/>
    <w:lvl w:ilvl="0" w:tplc="94749FAC">
      <w:start w:val="1"/>
      <w:numFmt w:val="lowerLetter"/>
      <w:lvlText w:val="%1)"/>
      <w:lvlJc w:val="left"/>
      <w:pPr>
        <w:ind w:left="1794" w:hanging="72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0">
    <w:nsid w:val="78AF1C4D"/>
    <w:multiLevelType w:val="hybridMultilevel"/>
    <w:tmpl w:val="EF3A4868"/>
    <w:lvl w:ilvl="0" w:tplc="52D2AFD2">
      <w:start w:val="1"/>
      <w:numFmt w:val="lowerLetter"/>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7"/>
  </w:num>
  <w:num w:numId="2">
    <w:abstractNumId w:val="10"/>
  </w:num>
  <w:num w:numId="3">
    <w:abstractNumId w:val="25"/>
  </w:num>
  <w:num w:numId="4">
    <w:abstractNumId w:val="21"/>
  </w:num>
  <w:num w:numId="5">
    <w:abstractNumId w:val="23"/>
  </w:num>
  <w:num w:numId="6">
    <w:abstractNumId w:val="19"/>
  </w:num>
  <w:num w:numId="7">
    <w:abstractNumId w:val="3"/>
  </w:num>
  <w:num w:numId="8">
    <w:abstractNumId w:val="5"/>
  </w:num>
  <w:num w:numId="9">
    <w:abstractNumId w:val="20"/>
  </w:num>
  <w:num w:numId="10">
    <w:abstractNumId w:val="16"/>
  </w:num>
  <w:num w:numId="11">
    <w:abstractNumId w:val="11"/>
  </w:num>
  <w:num w:numId="12">
    <w:abstractNumId w:val="26"/>
  </w:num>
  <w:num w:numId="13">
    <w:abstractNumId w:val="1"/>
  </w:num>
  <w:num w:numId="14">
    <w:abstractNumId w:val="28"/>
  </w:num>
  <w:num w:numId="15">
    <w:abstractNumId w:val="8"/>
  </w:num>
  <w:num w:numId="16">
    <w:abstractNumId w:val="24"/>
  </w:num>
  <w:num w:numId="17">
    <w:abstractNumId w:val="14"/>
  </w:num>
  <w:num w:numId="18">
    <w:abstractNumId w:val="17"/>
  </w:num>
  <w:num w:numId="19">
    <w:abstractNumId w:val="27"/>
  </w:num>
  <w:num w:numId="20">
    <w:abstractNumId w:val="30"/>
  </w:num>
  <w:num w:numId="21">
    <w:abstractNumId w:val="12"/>
  </w:num>
  <w:num w:numId="22">
    <w:abstractNumId w:val="4"/>
  </w:num>
  <w:num w:numId="23">
    <w:abstractNumId w:val="6"/>
  </w:num>
  <w:num w:numId="24">
    <w:abstractNumId w:val="13"/>
  </w:num>
  <w:num w:numId="25">
    <w:abstractNumId w:val="22"/>
  </w:num>
  <w:num w:numId="26">
    <w:abstractNumId w:val="2"/>
  </w:num>
  <w:num w:numId="27">
    <w:abstractNumId w:val="18"/>
  </w:num>
  <w:num w:numId="28">
    <w:abstractNumId w:val="29"/>
  </w:num>
  <w:num w:numId="29">
    <w:abstractNumId w:val="9"/>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D39"/>
    <w:rsid w:val="00000144"/>
    <w:rsid w:val="00002890"/>
    <w:rsid w:val="000049BD"/>
    <w:rsid w:val="000054D4"/>
    <w:rsid w:val="00006661"/>
    <w:rsid w:val="00007DEF"/>
    <w:rsid w:val="00024972"/>
    <w:rsid w:val="000257BD"/>
    <w:rsid w:val="00030052"/>
    <w:rsid w:val="000316D0"/>
    <w:rsid w:val="00040E8E"/>
    <w:rsid w:val="000464C7"/>
    <w:rsid w:val="00050017"/>
    <w:rsid w:val="00050C0A"/>
    <w:rsid w:val="00092CFD"/>
    <w:rsid w:val="000A20BD"/>
    <w:rsid w:val="000B128A"/>
    <w:rsid w:val="000D512D"/>
    <w:rsid w:val="000D7885"/>
    <w:rsid w:val="001034AC"/>
    <w:rsid w:val="00110E7A"/>
    <w:rsid w:val="00112D39"/>
    <w:rsid w:val="001158A5"/>
    <w:rsid w:val="00130168"/>
    <w:rsid w:val="00134FE5"/>
    <w:rsid w:val="00152574"/>
    <w:rsid w:val="00155CA6"/>
    <w:rsid w:val="00155F93"/>
    <w:rsid w:val="001766AB"/>
    <w:rsid w:val="001A2518"/>
    <w:rsid w:val="001B53F0"/>
    <w:rsid w:val="001D4593"/>
    <w:rsid w:val="001E0C7F"/>
    <w:rsid w:val="001E1CDC"/>
    <w:rsid w:val="001F4CEB"/>
    <w:rsid w:val="001F671F"/>
    <w:rsid w:val="00204177"/>
    <w:rsid w:val="002145A9"/>
    <w:rsid w:val="00235234"/>
    <w:rsid w:val="002447CB"/>
    <w:rsid w:val="00262142"/>
    <w:rsid w:val="002647DA"/>
    <w:rsid w:val="00271971"/>
    <w:rsid w:val="00272AAA"/>
    <w:rsid w:val="0027583D"/>
    <w:rsid w:val="00281887"/>
    <w:rsid w:val="0029004E"/>
    <w:rsid w:val="00297E96"/>
    <w:rsid w:val="002A3644"/>
    <w:rsid w:val="002B6407"/>
    <w:rsid w:val="002D2B04"/>
    <w:rsid w:val="002E1A66"/>
    <w:rsid w:val="002E5699"/>
    <w:rsid w:val="002F1F78"/>
    <w:rsid w:val="002F3708"/>
    <w:rsid w:val="002F5579"/>
    <w:rsid w:val="002F7FAF"/>
    <w:rsid w:val="0031328A"/>
    <w:rsid w:val="00326C97"/>
    <w:rsid w:val="00350B8F"/>
    <w:rsid w:val="00367DAB"/>
    <w:rsid w:val="00373E5F"/>
    <w:rsid w:val="003751DE"/>
    <w:rsid w:val="003772B3"/>
    <w:rsid w:val="00377586"/>
    <w:rsid w:val="003856F3"/>
    <w:rsid w:val="003909BA"/>
    <w:rsid w:val="003B2503"/>
    <w:rsid w:val="003B3380"/>
    <w:rsid w:val="003B3AB6"/>
    <w:rsid w:val="003C1C6E"/>
    <w:rsid w:val="003D44EB"/>
    <w:rsid w:val="003E1CE9"/>
    <w:rsid w:val="003E6B63"/>
    <w:rsid w:val="003F41ED"/>
    <w:rsid w:val="00421AEE"/>
    <w:rsid w:val="0042479C"/>
    <w:rsid w:val="00430C2E"/>
    <w:rsid w:val="00430CB9"/>
    <w:rsid w:val="00436AA2"/>
    <w:rsid w:val="00437B30"/>
    <w:rsid w:val="00442014"/>
    <w:rsid w:val="00451984"/>
    <w:rsid w:val="00452E5D"/>
    <w:rsid w:val="004553D8"/>
    <w:rsid w:val="00466B18"/>
    <w:rsid w:val="00477571"/>
    <w:rsid w:val="00481179"/>
    <w:rsid w:val="00484BBD"/>
    <w:rsid w:val="0048669C"/>
    <w:rsid w:val="0049144D"/>
    <w:rsid w:val="0049315B"/>
    <w:rsid w:val="00496414"/>
    <w:rsid w:val="004A1F72"/>
    <w:rsid w:val="004A5638"/>
    <w:rsid w:val="004B029D"/>
    <w:rsid w:val="004B0DC9"/>
    <w:rsid w:val="004B658E"/>
    <w:rsid w:val="004C4968"/>
    <w:rsid w:val="0050119F"/>
    <w:rsid w:val="00511DFA"/>
    <w:rsid w:val="00522CCF"/>
    <w:rsid w:val="005274C3"/>
    <w:rsid w:val="00537FF6"/>
    <w:rsid w:val="0056104E"/>
    <w:rsid w:val="00561491"/>
    <w:rsid w:val="005623AF"/>
    <w:rsid w:val="00564DF6"/>
    <w:rsid w:val="00570031"/>
    <w:rsid w:val="005825E6"/>
    <w:rsid w:val="0058285B"/>
    <w:rsid w:val="00596C95"/>
    <w:rsid w:val="005A6262"/>
    <w:rsid w:val="005B71A7"/>
    <w:rsid w:val="005C7C88"/>
    <w:rsid w:val="005D0387"/>
    <w:rsid w:val="005D1287"/>
    <w:rsid w:val="005D3BEF"/>
    <w:rsid w:val="005E086D"/>
    <w:rsid w:val="005F06FA"/>
    <w:rsid w:val="006212DE"/>
    <w:rsid w:val="00625297"/>
    <w:rsid w:val="006371D8"/>
    <w:rsid w:val="00643B16"/>
    <w:rsid w:val="00645AE2"/>
    <w:rsid w:val="006467AA"/>
    <w:rsid w:val="00647392"/>
    <w:rsid w:val="00654B17"/>
    <w:rsid w:val="006807E3"/>
    <w:rsid w:val="0068267F"/>
    <w:rsid w:val="006846B5"/>
    <w:rsid w:val="00691E2D"/>
    <w:rsid w:val="006A738B"/>
    <w:rsid w:val="006E0CA7"/>
    <w:rsid w:val="006E191E"/>
    <w:rsid w:val="006E1D6D"/>
    <w:rsid w:val="006E798A"/>
    <w:rsid w:val="006F5CA7"/>
    <w:rsid w:val="00700372"/>
    <w:rsid w:val="00700EFD"/>
    <w:rsid w:val="007237B3"/>
    <w:rsid w:val="0072560D"/>
    <w:rsid w:val="00742228"/>
    <w:rsid w:val="0074384F"/>
    <w:rsid w:val="0075215D"/>
    <w:rsid w:val="00757F16"/>
    <w:rsid w:val="007856A7"/>
    <w:rsid w:val="00786004"/>
    <w:rsid w:val="007A43CF"/>
    <w:rsid w:val="007A6A8C"/>
    <w:rsid w:val="007B2285"/>
    <w:rsid w:val="007B3D38"/>
    <w:rsid w:val="007B6932"/>
    <w:rsid w:val="007B6C00"/>
    <w:rsid w:val="007B744D"/>
    <w:rsid w:val="007D0049"/>
    <w:rsid w:val="007D3B1C"/>
    <w:rsid w:val="007E1EB7"/>
    <w:rsid w:val="00800E41"/>
    <w:rsid w:val="00807FFE"/>
    <w:rsid w:val="00827A21"/>
    <w:rsid w:val="00827F74"/>
    <w:rsid w:val="00834142"/>
    <w:rsid w:val="008375C0"/>
    <w:rsid w:val="00837837"/>
    <w:rsid w:val="00837C86"/>
    <w:rsid w:val="008402AB"/>
    <w:rsid w:val="008536DB"/>
    <w:rsid w:val="00860D3B"/>
    <w:rsid w:val="00872D9E"/>
    <w:rsid w:val="008736F1"/>
    <w:rsid w:val="0089091E"/>
    <w:rsid w:val="00893223"/>
    <w:rsid w:val="00896629"/>
    <w:rsid w:val="008A3EEC"/>
    <w:rsid w:val="008B499B"/>
    <w:rsid w:val="008C1E47"/>
    <w:rsid w:val="008D4A08"/>
    <w:rsid w:val="008D7B19"/>
    <w:rsid w:val="008E0182"/>
    <w:rsid w:val="008F7395"/>
    <w:rsid w:val="00906855"/>
    <w:rsid w:val="0091135B"/>
    <w:rsid w:val="0092106C"/>
    <w:rsid w:val="00923F9D"/>
    <w:rsid w:val="0092472C"/>
    <w:rsid w:val="0093482F"/>
    <w:rsid w:val="009377CF"/>
    <w:rsid w:val="009427B1"/>
    <w:rsid w:val="0094698A"/>
    <w:rsid w:val="00967F79"/>
    <w:rsid w:val="00970DAD"/>
    <w:rsid w:val="00971E96"/>
    <w:rsid w:val="00973B3D"/>
    <w:rsid w:val="0098477B"/>
    <w:rsid w:val="009865C7"/>
    <w:rsid w:val="009A15D0"/>
    <w:rsid w:val="009A57AF"/>
    <w:rsid w:val="009A60D7"/>
    <w:rsid w:val="009A76D3"/>
    <w:rsid w:val="009B653C"/>
    <w:rsid w:val="009C07D7"/>
    <w:rsid w:val="009D1B2C"/>
    <w:rsid w:val="009D373F"/>
    <w:rsid w:val="009D6C1C"/>
    <w:rsid w:val="009E231C"/>
    <w:rsid w:val="009F0D55"/>
    <w:rsid w:val="009F19F8"/>
    <w:rsid w:val="00A075C4"/>
    <w:rsid w:val="00A12A65"/>
    <w:rsid w:val="00A14B9E"/>
    <w:rsid w:val="00A14DAE"/>
    <w:rsid w:val="00A219F5"/>
    <w:rsid w:val="00A40B4C"/>
    <w:rsid w:val="00A452A5"/>
    <w:rsid w:val="00A511E7"/>
    <w:rsid w:val="00A51B61"/>
    <w:rsid w:val="00A62E78"/>
    <w:rsid w:val="00A81D3C"/>
    <w:rsid w:val="00A90A82"/>
    <w:rsid w:val="00AA291A"/>
    <w:rsid w:val="00AA51B9"/>
    <w:rsid w:val="00AB14F6"/>
    <w:rsid w:val="00AB179F"/>
    <w:rsid w:val="00AB33EA"/>
    <w:rsid w:val="00AB413E"/>
    <w:rsid w:val="00AB7600"/>
    <w:rsid w:val="00AC2859"/>
    <w:rsid w:val="00AC6D70"/>
    <w:rsid w:val="00AE31CF"/>
    <w:rsid w:val="00B00ADF"/>
    <w:rsid w:val="00B047E1"/>
    <w:rsid w:val="00B05897"/>
    <w:rsid w:val="00B223E3"/>
    <w:rsid w:val="00B36927"/>
    <w:rsid w:val="00B41E24"/>
    <w:rsid w:val="00B55C7C"/>
    <w:rsid w:val="00B605F0"/>
    <w:rsid w:val="00B65C75"/>
    <w:rsid w:val="00B75847"/>
    <w:rsid w:val="00B806B2"/>
    <w:rsid w:val="00B831F3"/>
    <w:rsid w:val="00B9555D"/>
    <w:rsid w:val="00BA70DF"/>
    <w:rsid w:val="00BC2A38"/>
    <w:rsid w:val="00BD22F2"/>
    <w:rsid w:val="00BD32A5"/>
    <w:rsid w:val="00C0246A"/>
    <w:rsid w:val="00C055A6"/>
    <w:rsid w:val="00C103AF"/>
    <w:rsid w:val="00C1289D"/>
    <w:rsid w:val="00C25A82"/>
    <w:rsid w:val="00C40DE1"/>
    <w:rsid w:val="00C50379"/>
    <w:rsid w:val="00C60E67"/>
    <w:rsid w:val="00C61948"/>
    <w:rsid w:val="00C62687"/>
    <w:rsid w:val="00C63DBC"/>
    <w:rsid w:val="00C7231C"/>
    <w:rsid w:val="00C8724D"/>
    <w:rsid w:val="00CA42B0"/>
    <w:rsid w:val="00CB2546"/>
    <w:rsid w:val="00CB76C5"/>
    <w:rsid w:val="00CC491E"/>
    <w:rsid w:val="00CD5CAC"/>
    <w:rsid w:val="00CE6616"/>
    <w:rsid w:val="00CF73BE"/>
    <w:rsid w:val="00D0632C"/>
    <w:rsid w:val="00D20308"/>
    <w:rsid w:val="00D20C9C"/>
    <w:rsid w:val="00D21D47"/>
    <w:rsid w:val="00D235B4"/>
    <w:rsid w:val="00D32ED8"/>
    <w:rsid w:val="00D36487"/>
    <w:rsid w:val="00D41BF6"/>
    <w:rsid w:val="00D46D9D"/>
    <w:rsid w:val="00D50AAA"/>
    <w:rsid w:val="00D52C1E"/>
    <w:rsid w:val="00D62F98"/>
    <w:rsid w:val="00D741E0"/>
    <w:rsid w:val="00D76429"/>
    <w:rsid w:val="00D8316A"/>
    <w:rsid w:val="00D8489F"/>
    <w:rsid w:val="00D93A00"/>
    <w:rsid w:val="00D95F47"/>
    <w:rsid w:val="00D97497"/>
    <w:rsid w:val="00DA57DA"/>
    <w:rsid w:val="00DA789A"/>
    <w:rsid w:val="00DB044C"/>
    <w:rsid w:val="00DC0044"/>
    <w:rsid w:val="00DC12B9"/>
    <w:rsid w:val="00DC6F8E"/>
    <w:rsid w:val="00DD3C68"/>
    <w:rsid w:val="00DD69C4"/>
    <w:rsid w:val="00DF4AA2"/>
    <w:rsid w:val="00E03BA2"/>
    <w:rsid w:val="00E06374"/>
    <w:rsid w:val="00E10368"/>
    <w:rsid w:val="00E17725"/>
    <w:rsid w:val="00E45E98"/>
    <w:rsid w:val="00E60400"/>
    <w:rsid w:val="00E71EDE"/>
    <w:rsid w:val="00E862E3"/>
    <w:rsid w:val="00EC427D"/>
    <w:rsid w:val="00ED27C4"/>
    <w:rsid w:val="00ED3A07"/>
    <w:rsid w:val="00ED59A0"/>
    <w:rsid w:val="00EF28A0"/>
    <w:rsid w:val="00EF4462"/>
    <w:rsid w:val="00EF4DB4"/>
    <w:rsid w:val="00EF6963"/>
    <w:rsid w:val="00F0566F"/>
    <w:rsid w:val="00F10445"/>
    <w:rsid w:val="00F13D39"/>
    <w:rsid w:val="00F22645"/>
    <w:rsid w:val="00F42FD3"/>
    <w:rsid w:val="00F450E7"/>
    <w:rsid w:val="00F539FA"/>
    <w:rsid w:val="00F55713"/>
    <w:rsid w:val="00F64DF4"/>
    <w:rsid w:val="00F854CC"/>
    <w:rsid w:val="00F93239"/>
    <w:rsid w:val="00FA0953"/>
    <w:rsid w:val="00FA2A19"/>
    <w:rsid w:val="00FA4E9F"/>
    <w:rsid w:val="00FB47BD"/>
    <w:rsid w:val="00FB6F5B"/>
    <w:rsid w:val="00FD33AE"/>
    <w:rsid w:val="00FD4EE3"/>
    <w:rsid w:val="00FF74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384F"/>
    <w:pPr>
      <w:keepNext/>
      <w:keepLines/>
      <w:spacing w:before="36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2C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44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348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00E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0E41"/>
    <w:rPr>
      <w:sz w:val="20"/>
      <w:szCs w:val="20"/>
    </w:rPr>
  </w:style>
  <w:style w:type="character" w:styleId="FootnoteReference">
    <w:name w:val="footnote reference"/>
    <w:basedOn w:val="DefaultParagraphFont"/>
    <w:uiPriority w:val="99"/>
    <w:semiHidden/>
    <w:unhideWhenUsed/>
    <w:rsid w:val="00800E41"/>
    <w:rPr>
      <w:vertAlign w:val="superscript"/>
    </w:rPr>
  </w:style>
  <w:style w:type="character" w:styleId="CommentReference">
    <w:name w:val="annotation reference"/>
    <w:basedOn w:val="DefaultParagraphFont"/>
    <w:uiPriority w:val="99"/>
    <w:semiHidden/>
    <w:unhideWhenUsed/>
    <w:rsid w:val="002F5579"/>
    <w:rPr>
      <w:sz w:val="16"/>
      <w:szCs w:val="16"/>
    </w:rPr>
  </w:style>
  <w:style w:type="paragraph" w:styleId="CommentText">
    <w:name w:val="annotation text"/>
    <w:basedOn w:val="Normal"/>
    <w:link w:val="CommentTextChar"/>
    <w:uiPriority w:val="99"/>
    <w:semiHidden/>
    <w:unhideWhenUsed/>
    <w:rsid w:val="002F5579"/>
    <w:pPr>
      <w:spacing w:line="240" w:lineRule="auto"/>
    </w:pPr>
    <w:rPr>
      <w:sz w:val="20"/>
      <w:szCs w:val="20"/>
    </w:rPr>
  </w:style>
  <w:style w:type="character" w:customStyle="1" w:styleId="CommentTextChar">
    <w:name w:val="Comment Text Char"/>
    <w:basedOn w:val="DefaultParagraphFont"/>
    <w:link w:val="CommentText"/>
    <w:uiPriority w:val="99"/>
    <w:semiHidden/>
    <w:rsid w:val="002F5579"/>
    <w:rPr>
      <w:sz w:val="20"/>
      <w:szCs w:val="20"/>
    </w:rPr>
  </w:style>
  <w:style w:type="paragraph" w:styleId="CommentSubject">
    <w:name w:val="annotation subject"/>
    <w:basedOn w:val="CommentText"/>
    <w:next w:val="CommentText"/>
    <w:link w:val="CommentSubjectChar"/>
    <w:uiPriority w:val="99"/>
    <w:semiHidden/>
    <w:unhideWhenUsed/>
    <w:rsid w:val="002F5579"/>
    <w:rPr>
      <w:b/>
      <w:bCs/>
    </w:rPr>
  </w:style>
  <w:style w:type="character" w:customStyle="1" w:styleId="CommentSubjectChar">
    <w:name w:val="Comment Subject Char"/>
    <w:basedOn w:val="CommentTextChar"/>
    <w:link w:val="CommentSubject"/>
    <w:uiPriority w:val="99"/>
    <w:semiHidden/>
    <w:rsid w:val="002F5579"/>
    <w:rPr>
      <w:b/>
      <w:bCs/>
      <w:sz w:val="20"/>
      <w:szCs w:val="20"/>
    </w:rPr>
  </w:style>
  <w:style w:type="paragraph" w:styleId="BalloonText">
    <w:name w:val="Balloon Text"/>
    <w:basedOn w:val="Normal"/>
    <w:link w:val="BalloonTextChar"/>
    <w:uiPriority w:val="99"/>
    <w:semiHidden/>
    <w:unhideWhenUsed/>
    <w:rsid w:val="002F5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579"/>
    <w:rPr>
      <w:rFonts w:ascii="Tahoma" w:hAnsi="Tahoma" w:cs="Tahoma"/>
      <w:sz w:val="16"/>
      <w:szCs w:val="16"/>
    </w:rPr>
  </w:style>
  <w:style w:type="paragraph" w:styleId="ListParagraph">
    <w:name w:val="List Paragraph"/>
    <w:basedOn w:val="Normal"/>
    <w:link w:val="ListParagraphChar"/>
    <w:uiPriority w:val="34"/>
    <w:qFormat/>
    <w:rsid w:val="00271971"/>
    <w:pPr>
      <w:ind w:left="720"/>
      <w:contextualSpacing/>
    </w:pPr>
  </w:style>
  <w:style w:type="table" w:styleId="TableGrid">
    <w:name w:val="Table Grid"/>
    <w:basedOn w:val="TableNormal"/>
    <w:uiPriority w:val="59"/>
    <w:rsid w:val="00807F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arkList-Accent5">
    <w:name w:val="Dark List Accent 5"/>
    <w:basedOn w:val="TableNormal"/>
    <w:uiPriority w:val="70"/>
    <w:rsid w:val="00DF4AA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5">
    <w:name w:val="Colorful Shading Accent 5"/>
    <w:basedOn w:val="TableNormal"/>
    <w:uiPriority w:val="71"/>
    <w:rsid w:val="007D3B1C"/>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styleId="Hyperlink">
    <w:name w:val="Hyperlink"/>
    <w:basedOn w:val="DefaultParagraphFont"/>
    <w:uiPriority w:val="99"/>
    <w:unhideWhenUsed/>
    <w:rsid w:val="005623AF"/>
    <w:rPr>
      <w:color w:val="0000FF" w:themeColor="hyperlink"/>
      <w:u w:val="single"/>
    </w:rPr>
  </w:style>
  <w:style w:type="paragraph" w:styleId="Header">
    <w:name w:val="header"/>
    <w:basedOn w:val="Normal"/>
    <w:link w:val="HeaderChar"/>
    <w:uiPriority w:val="99"/>
    <w:unhideWhenUsed/>
    <w:rsid w:val="00D21D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D47"/>
  </w:style>
  <w:style w:type="paragraph" w:styleId="Footer">
    <w:name w:val="footer"/>
    <w:basedOn w:val="Normal"/>
    <w:link w:val="FooterChar"/>
    <w:uiPriority w:val="99"/>
    <w:unhideWhenUsed/>
    <w:rsid w:val="00D21D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D47"/>
  </w:style>
  <w:style w:type="paragraph" w:styleId="Title">
    <w:name w:val="Title"/>
    <w:basedOn w:val="Normal"/>
    <w:next w:val="Normal"/>
    <w:link w:val="TitleChar"/>
    <w:uiPriority w:val="10"/>
    <w:qFormat/>
    <w:rsid w:val="00D21D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1D47"/>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030052"/>
    <w:pPr>
      <w:spacing w:after="0" w:line="240" w:lineRule="auto"/>
    </w:pPr>
    <w:rPr>
      <w:rFonts w:eastAsiaTheme="minorEastAsia"/>
      <w:lang w:val="el-GR" w:eastAsia="el-GR"/>
    </w:rPr>
  </w:style>
  <w:style w:type="character" w:customStyle="1" w:styleId="NoSpacingChar">
    <w:name w:val="No Spacing Char"/>
    <w:basedOn w:val="DefaultParagraphFont"/>
    <w:link w:val="NoSpacing"/>
    <w:uiPriority w:val="1"/>
    <w:rsid w:val="00030052"/>
    <w:rPr>
      <w:rFonts w:eastAsiaTheme="minorEastAsia"/>
      <w:lang w:val="el-GR" w:eastAsia="el-GR"/>
    </w:rPr>
  </w:style>
  <w:style w:type="character" w:customStyle="1" w:styleId="Heading1Char">
    <w:name w:val="Heading 1 Char"/>
    <w:basedOn w:val="DefaultParagraphFont"/>
    <w:link w:val="Heading1"/>
    <w:uiPriority w:val="9"/>
    <w:rsid w:val="0074384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25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2518"/>
    <w:rPr>
      <w:rFonts w:asciiTheme="majorHAnsi" w:eastAsiaTheme="majorEastAsia" w:hAnsiTheme="majorHAnsi" w:cstheme="majorBidi"/>
      <w:b/>
      <w:bCs/>
      <w:color w:val="4F81BD" w:themeColor="accent1"/>
    </w:rPr>
  </w:style>
  <w:style w:type="character" w:customStyle="1" w:styleId="ListParagraphChar">
    <w:name w:val="List Paragraph Char"/>
    <w:link w:val="ListParagraph"/>
    <w:uiPriority w:val="34"/>
    <w:locked/>
    <w:rsid w:val="001A2518"/>
  </w:style>
  <w:style w:type="paragraph" w:styleId="TOCHeading">
    <w:name w:val="TOC Heading"/>
    <w:basedOn w:val="Heading1"/>
    <w:next w:val="Normal"/>
    <w:uiPriority w:val="39"/>
    <w:semiHidden/>
    <w:unhideWhenUsed/>
    <w:qFormat/>
    <w:rsid w:val="00C61948"/>
    <w:pPr>
      <w:outlineLvl w:val="9"/>
    </w:pPr>
    <w:rPr>
      <w:lang w:val="en-US" w:eastAsia="ja-JP"/>
    </w:rPr>
  </w:style>
  <w:style w:type="paragraph" w:styleId="TOC1">
    <w:name w:val="toc 1"/>
    <w:basedOn w:val="Normal"/>
    <w:next w:val="Normal"/>
    <w:autoRedefine/>
    <w:uiPriority w:val="39"/>
    <w:unhideWhenUsed/>
    <w:rsid w:val="00C61948"/>
    <w:pPr>
      <w:spacing w:after="100"/>
    </w:pPr>
  </w:style>
  <w:style w:type="paragraph" w:styleId="TOC2">
    <w:name w:val="toc 2"/>
    <w:basedOn w:val="Normal"/>
    <w:next w:val="Normal"/>
    <w:autoRedefine/>
    <w:uiPriority w:val="39"/>
    <w:unhideWhenUsed/>
    <w:rsid w:val="00C61948"/>
    <w:pPr>
      <w:spacing w:after="100"/>
      <w:ind w:left="220"/>
    </w:pPr>
  </w:style>
  <w:style w:type="paragraph" w:styleId="TOC3">
    <w:name w:val="toc 3"/>
    <w:basedOn w:val="Normal"/>
    <w:next w:val="Normal"/>
    <w:autoRedefine/>
    <w:uiPriority w:val="39"/>
    <w:unhideWhenUsed/>
    <w:rsid w:val="00C61948"/>
    <w:pPr>
      <w:spacing w:after="100"/>
      <w:ind w:left="440"/>
    </w:pPr>
  </w:style>
  <w:style w:type="character" w:customStyle="1" w:styleId="Heading4Char">
    <w:name w:val="Heading 4 Char"/>
    <w:basedOn w:val="DefaultParagraphFont"/>
    <w:link w:val="Heading4"/>
    <w:uiPriority w:val="9"/>
    <w:rsid w:val="0093482F"/>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3482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384F"/>
    <w:pPr>
      <w:keepNext/>
      <w:keepLines/>
      <w:spacing w:before="36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2C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44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348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00E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0E41"/>
    <w:rPr>
      <w:sz w:val="20"/>
      <w:szCs w:val="20"/>
    </w:rPr>
  </w:style>
  <w:style w:type="character" w:styleId="FootnoteReference">
    <w:name w:val="footnote reference"/>
    <w:basedOn w:val="DefaultParagraphFont"/>
    <w:uiPriority w:val="99"/>
    <w:semiHidden/>
    <w:unhideWhenUsed/>
    <w:rsid w:val="00800E41"/>
    <w:rPr>
      <w:vertAlign w:val="superscript"/>
    </w:rPr>
  </w:style>
  <w:style w:type="character" w:styleId="CommentReference">
    <w:name w:val="annotation reference"/>
    <w:basedOn w:val="DefaultParagraphFont"/>
    <w:uiPriority w:val="99"/>
    <w:semiHidden/>
    <w:unhideWhenUsed/>
    <w:rsid w:val="002F5579"/>
    <w:rPr>
      <w:sz w:val="16"/>
      <w:szCs w:val="16"/>
    </w:rPr>
  </w:style>
  <w:style w:type="paragraph" w:styleId="CommentText">
    <w:name w:val="annotation text"/>
    <w:basedOn w:val="Normal"/>
    <w:link w:val="CommentTextChar"/>
    <w:uiPriority w:val="99"/>
    <w:semiHidden/>
    <w:unhideWhenUsed/>
    <w:rsid w:val="002F5579"/>
    <w:pPr>
      <w:spacing w:line="240" w:lineRule="auto"/>
    </w:pPr>
    <w:rPr>
      <w:sz w:val="20"/>
      <w:szCs w:val="20"/>
    </w:rPr>
  </w:style>
  <w:style w:type="character" w:customStyle="1" w:styleId="CommentTextChar">
    <w:name w:val="Comment Text Char"/>
    <w:basedOn w:val="DefaultParagraphFont"/>
    <w:link w:val="CommentText"/>
    <w:uiPriority w:val="99"/>
    <w:semiHidden/>
    <w:rsid w:val="002F5579"/>
    <w:rPr>
      <w:sz w:val="20"/>
      <w:szCs w:val="20"/>
    </w:rPr>
  </w:style>
  <w:style w:type="paragraph" w:styleId="CommentSubject">
    <w:name w:val="annotation subject"/>
    <w:basedOn w:val="CommentText"/>
    <w:next w:val="CommentText"/>
    <w:link w:val="CommentSubjectChar"/>
    <w:uiPriority w:val="99"/>
    <w:semiHidden/>
    <w:unhideWhenUsed/>
    <w:rsid w:val="002F5579"/>
    <w:rPr>
      <w:b/>
      <w:bCs/>
    </w:rPr>
  </w:style>
  <w:style w:type="character" w:customStyle="1" w:styleId="CommentSubjectChar">
    <w:name w:val="Comment Subject Char"/>
    <w:basedOn w:val="CommentTextChar"/>
    <w:link w:val="CommentSubject"/>
    <w:uiPriority w:val="99"/>
    <w:semiHidden/>
    <w:rsid w:val="002F5579"/>
    <w:rPr>
      <w:b/>
      <w:bCs/>
      <w:sz w:val="20"/>
      <w:szCs w:val="20"/>
    </w:rPr>
  </w:style>
  <w:style w:type="paragraph" w:styleId="BalloonText">
    <w:name w:val="Balloon Text"/>
    <w:basedOn w:val="Normal"/>
    <w:link w:val="BalloonTextChar"/>
    <w:uiPriority w:val="99"/>
    <w:semiHidden/>
    <w:unhideWhenUsed/>
    <w:rsid w:val="002F5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579"/>
    <w:rPr>
      <w:rFonts w:ascii="Tahoma" w:hAnsi="Tahoma" w:cs="Tahoma"/>
      <w:sz w:val="16"/>
      <w:szCs w:val="16"/>
    </w:rPr>
  </w:style>
  <w:style w:type="paragraph" w:styleId="ListParagraph">
    <w:name w:val="List Paragraph"/>
    <w:basedOn w:val="Normal"/>
    <w:link w:val="ListParagraphChar"/>
    <w:uiPriority w:val="34"/>
    <w:qFormat/>
    <w:rsid w:val="00271971"/>
    <w:pPr>
      <w:ind w:left="720"/>
      <w:contextualSpacing/>
    </w:pPr>
  </w:style>
  <w:style w:type="table" w:styleId="TableGrid">
    <w:name w:val="Table Grid"/>
    <w:basedOn w:val="TableNormal"/>
    <w:uiPriority w:val="59"/>
    <w:rsid w:val="00807F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arkList-Accent5">
    <w:name w:val="Dark List Accent 5"/>
    <w:basedOn w:val="TableNormal"/>
    <w:uiPriority w:val="70"/>
    <w:rsid w:val="00DF4AA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5">
    <w:name w:val="Colorful Shading Accent 5"/>
    <w:basedOn w:val="TableNormal"/>
    <w:uiPriority w:val="71"/>
    <w:rsid w:val="007D3B1C"/>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styleId="Hyperlink">
    <w:name w:val="Hyperlink"/>
    <w:basedOn w:val="DefaultParagraphFont"/>
    <w:uiPriority w:val="99"/>
    <w:unhideWhenUsed/>
    <w:rsid w:val="005623AF"/>
    <w:rPr>
      <w:color w:val="0000FF" w:themeColor="hyperlink"/>
      <w:u w:val="single"/>
    </w:rPr>
  </w:style>
  <w:style w:type="paragraph" w:styleId="Header">
    <w:name w:val="header"/>
    <w:basedOn w:val="Normal"/>
    <w:link w:val="HeaderChar"/>
    <w:uiPriority w:val="99"/>
    <w:unhideWhenUsed/>
    <w:rsid w:val="00D21D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D47"/>
  </w:style>
  <w:style w:type="paragraph" w:styleId="Footer">
    <w:name w:val="footer"/>
    <w:basedOn w:val="Normal"/>
    <w:link w:val="FooterChar"/>
    <w:uiPriority w:val="99"/>
    <w:unhideWhenUsed/>
    <w:rsid w:val="00D21D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D47"/>
  </w:style>
  <w:style w:type="paragraph" w:styleId="Title">
    <w:name w:val="Title"/>
    <w:basedOn w:val="Normal"/>
    <w:next w:val="Normal"/>
    <w:link w:val="TitleChar"/>
    <w:uiPriority w:val="10"/>
    <w:qFormat/>
    <w:rsid w:val="00D21D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1D47"/>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030052"/>
    <w:pPr>
      <w:spacing w:after="0" w:line="240" w:lineRule="auto"/>
    </w:pPr>
    <w:rPr>
      <w:rFonts w:eastAsiaTheme="minorEastAsia"/>
      <w:lang w:val="el-GR" w:eastAsia="el-GR"/>
    </w:rPr>
  </w:style>
  <w:style w:type="character" w:customStyle="1" w:styleId="NoSpacingChar">
    <w:name w:val="No Spacing Char"/>
    <w:basedOn w:val="DefaultParagraphFont"/>
    <w:link w:val="NoSpacing"/>
    <w:uiPriority w:val="1"/>
    <w:rsid w:val="00030052"/>
    <w:rPr>
      <w:rFonts w:eastAsiaTheme="minorEastAsia"/>
      <w:lang w:val="el-GR" w:eastAsia="el-GR"/>
    </w:rPr>
  </w:style>
  <w:style w:type="character" w:customStyle="1" w:styleId="Heading1Char">
    <w:name w:val="Heading 1 Char"/>
    <w:basedOn w:val="DefaultParagraphFont"/>
    <w:link w:val="Heading1"/>
    <w:uiPriority w:val="9"/>
    <w:rsid w:val="0074384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25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2518"/>
    <w:rPr>
      <w:rFonts w:asciiTheme="majorHAnsi" w:eastAsiaTheme="majorEastAsia" w:hAnsiTheme="majorHAnsi" w:cstheme="majorBidi"/>
      <w:b/>
      <w:bCs/>
      <w:color w:val="4F81BD" w:themeColor="accent1"/>
    </w:rPr>
  </w:style>
  <w:style w:type="character" w:customStyle="1" w:styleId="ListParagraphChar">
    <w:name w:val="List Paragraph Char"/>
    <w:link w:val="ListParagraph"/>
    <w:uiPriority w:val="34"/>
    <w:locked/>
    <w:rsid w:val="001A2518"/>
  </w:style>
  <w:style w:type="paragraph" w:styleId="TOCHeading">
    <w:name w:val="TOC Heading"/>
    <w:basedOn w:val="Heading1"/>
    <w:next w:val="Normal"/>
    <w:uiPriority w:val="39"/>
    <w:semiHidden/>
    <w:unhideWhenUsed/>
    <w:qFormat/>
    <w:rsid w:val="00C61948"/>
    <w:pPr>
      <w:outlineLvl w:val="9"/>
    </w:pPr>
    <w:rPr>
      <w:lang w:val="en-US" w:eastAsia="ja-JP"/>
    </w:rPr>
  </w:style>
  <w:style w:type="paragraph" w:styleId="TOC1">
    <w:name w:val="toc 1"/>
    <w:basedOn w:val="Normal"/>
    <w:next w:val="Normal"/>
    <w:autoRedefine/>
    <w:uiPriority w:val="39"/>
    <w:unhideWhenUsed/>
    <w:rsid w:val="00C61948"/>
    <w:pPr>
      <w:spacing w:after="100"/>
    </w:pPr>
  </w:style>
  <w:style w:type="paragraph" w:styleId="TOC2">
    <w:name w:val="toc 2"/>
    <w:basedOn w:val="Normal"/>
    <w:next w:val="Normal"/>
    <w:autoRedefine/>
    <w:uiPriority w:val="39"/>
    <w:unhideWhenUsed/>
    <w:rsid w:val="00C61948"/>
    <w:pPr>
      <w:spacing w:after="100"/>
      <w:ind w:left="220"/>
    </w:pPr>
  </w:style>
  <w:style w:type="paragraph" w:styleId="TOC3">
    <w:name w:val="toc 3"/>
    <w:basedOn w:val="Normal"/>
    <w:next w:val="Normal"/>
    <w:autoRedefine/>
    <w:uiPriority w:val="39"/>
    <w:unhideWhenUsed/>
    <w:rsid w:val="00C61948"/>
    <w:pPr>
      <w:spacing w:after="100"/>
      <w:ind w:left="440"/>
    </w:pPr>
  </w:style>
  <w:style w:type="character" w:customStyle="1" w:styleId="Heading4Char">
    <w:name w:val="Heading 4 Char"/>
    <w:basedOn w:val="DefaultParagraphFont"/>
    <w:link w:val="Heading4"/>
    <w:uiPriority w:val="9"/>
    <w:rsid w:val="0093482F"/>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348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16696">
      <w:bodyDiv w:val="1"/>
      <w:marLeft w:val="0"/>
      <w:marRight w:val="0"/>
      <w:marTop w:val="0"/>
      <w:marBottom w:val="0"/>
      <w:divBdr>
        <w:top w:val="none" w:sz="0" w:space="0" w:color="auto"/>
        <w:left w:val="none" w:sz="0" w:space="0" w:color="auto"/>
        <w:bottom w:val="none" w:sz="0" w:space="0" w:color="auto"/>
        <w:right w:val="none" w:sz="0" w:space="0" w:color="auto"/>
      </w:divBdr>
    </w:div>
    <w:div w:id="806628796">
      <w:bodyDiv w:val="1"/>
      <w:marLeft w:val="0"/>
      <w:marRight w:val="0"/>
      <w:marTop w:val="0"/>
      <w:marBottom w:val="0"/>
      <w:divBdr>
        <w:top w:val="none" w:sz="0" w:space="0" w:color="auto"/>
        <w:left w:val="none" w:sz="0" w:space="0" w:color="auto"/>
        <w:bottom w:val="none" w:sz="0" w:space="0" w:color="auto"/>
        <w:right w:val="none" w:sz="0" w:space="0" w:color="auto"/>
      </w:divBdr>
    </w:div>
    <w:div w:id="153965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www.eea.europa.eu/highlights/eleven-member-states-exceed-air" TargetMode="External"/><Relationship Id="rId21" Type="http://schemas.microsoft.com/office/2007/relationships/hdphoto" Target="media/hdphoto4.wdp"/><Relationship Id="rId34" Type="http://schemas.openxmlformats.org/officeDocument/2006/relationships/hyperlink" Target="http://eur-lex.europa.eu/LexUriServ/LexUriServ.do?uri=OJ:L:2008:152:0001:0044:EN:PDF" TargetMode="External"/><Relationship Id="rId42" Type="http://schemas.openxmlformats.org/officeDocument/2006/relationships/hyperlink" Target="http://www.unece.org/env/lrtap/lrtap_h1.html" TargetMode="External"/><Relationship Id="rId47" Type="http://schemas.openxmlformats.org/officeDocument/2006/relationships/hyperlink" Target="http://cfpub.epa.gov/ncea/cfm/recordisplay.cfm?deid=29060" TargetMode="External"/><Relationship Id="rId50" Type="http://schemas.openxmlformats.org/officeDocument/2006/relationships/hyperlink" Target="http://www.who.int/mediacentre/factsheets/fs313/en/index.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1.png"/><Relationship Id="rId24" Type="http://schemas.microsoft.com/office/2007/relationships/hdphoto" Target="media/hdphoto5.wdp"/><Relationship Id="rId32" Type="http://schemas.openxmlformats.org/officeDocument/2006/relationships/hyperlink" Target="http://www.ceip.at/webdab-emission-database/" TargetMode="External"/><Relationship Id="rId37" Type="http://schemas.openxmlformats.org/officeDocument/2006/relationships/hyperlink" Target="http://ec.europa.eu/environment/air/pollutants/ceilings.htm" TargetMode="External"/><Relationship Id="rId40" Type="http://schemas.openxmlformats.org/officeDocument/2006/relationships/hyperlink" Target="http://press.iarc.fr/pr213_E.pdf" TargetMode="External"/><Relationship Id="rId45" Type="http://schemas.openxmlformats.org/officeDocument/2006/relationships/hyperlink" Target="http://www.unece.org/fileadmin/DAM/trans/doc/2012/wp29/ECE-TRANS-WP29-1097e_01.pdf" TargetMode="Externa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endnotes" Target="endnotes.xml"/><Relationship Id="rId19" Type="http://schemas.microsoft.com/office/2007/relationships/hdphoto" Target="media/hdphoto3.wdp"/><Relationship Id="rId31" Type="http://schemas.openxmlformats.org/officeDocument/2006/relationships/hyperlink" Target="http://www.bmu.de/english/air_pollution_control/general_information/doc/4352.php" TargetMode="External"/><Relationship Id="rId44" Type="http://schemas.openxmlformats.org/officeDocument/2006/relationships/hyperlink" Target="http://www.unece.org/fileadmin/DAM/trans/doc/2010/wp29/ECE-TRANS-WP29-1083e.pdf" TargetMode="External"/><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adb.org/Documents/Papers/ADB-Working-Paper-Series/ADB-WP10-Rethinking-Transport-Climate-Change.pdf" TargetMode="External"/><Relationship Id="rId35" Type="http://schemas.openxmlformats.org/officeDocument/2006/relationships/hyperlink" Target="http://eur-lex.europa.eu/LexUriServ/LexUriServ.do?uri=COM:2011:0531:FIN:EN:PDF" TargetMode="External"/><Relationship Id="rId43" Type="http://schemas.openxmlformats.org/officeDocument/2006/relationships/hyperlink" Target="http://www.unece.org/env/lrtap/multi_h1.html" TargetMode="External"/><Relationship Id="rId48" Type="http://schemas.openxmlformats.org/officeDocument/2006/relationships/hyperlink" Target="http://www.epa.gov/air/urbanair/"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emf"/><Relationship Id="rId17" Type="http://schemas.microsoft.com/office/2007/relationships/hdphoto" Target="media/hdphoto2.wdp"/><Relationship Id="rId25" Type="http://schemas.openxmlformats.org/officeDocument/2006/relationships/image" Target="media/image10.png"/><Relationship Id="rId33" Type="http://schemas.openxmlformats.org/officeDocument/2006/relationships/hyperlink" Target="http://eur-lex.europa.eu/LexUriServ/LexUriServ.do?uri=OJ:L:2001:309:0022:0030:EN:PDF" TargetMode="External"/><Relationship Id="rId38" Type="http://schemas.openxmlformats.org/officeDocument/2006/relationships/hyperlink" Target="http://www.eea.europa.eu/publications/eu-emission-inventory-report-1990-2010/at_download/file" TargetMode="External"/><Relationship Id="rId46" Type="http://schemas.openxmlformats.org/officeDocument/2006/relationships/hyperlink" Target="http://www.gpo.gov/fdsys/pkg/FR-2000-02-10/pdf/00-19.pdf" TargetMode="External"/><Relationship Id="rId20" Type="http://schemas.openxmlformats.org/officeDocument/2006/relationships/image" Target="media/image7.png"/><Relationship Id="rId41" Type="http://schemas.openxmlformats.org/officeDocument/2006/relationships/hyperlink" Target="http://books.google.com/books?id=NN5S0_3dEvkC"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ec.europa.eu/environment/air/pollutants/rev_nec_dir.htm" TargetMode="External"/><Relationship Id="rId49" Type="http://schemas.openxmlformats.org/officeDocument/2006/relationships/hyperlink" Target="http://www.iarc.fr/en/media-centre/iarcnews/2012/mono105-videocast_Wild.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59D9A3-1B1A-4C3A-A603-5D9639055AA9}">
  <ds:schemaRefs>
    <ds:schemaRef ds:uri="http://schemas.openxmlformats.org/officeDocument/2006/bibliography"/>
  </ds:schemaRefs>
</ds:datastoreItem>
</file>

<file path=customXml/itemProps3.xml><?xml version="1.0" encoding="utf-8"?>
<ds:datastoreItem xmlns:ds="http://schemas.openxmlformats.org/officeDocument/2006/customXml" ds:itemID="{3F3B1689-03E4-4BC0-8691-E5A223B0D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8342</Words>
  <Characters>47555</Characters>
  <Application>Microsoft Office Word</Application>
  <DocSecurity>0</DocSecurity>
  <Lines>396</Lines>
  <Paragraphs>111</Paragraphs>
  <ScaleCrop>false</ScaleCrop>
  <HeadingPairs>
    <vt:vector size="6" baseType="variant">
      <vt:variant>
        <vt:lpstr>Title</vt:lpstr>
      </vt:variant>
      <vt:variant>
        <vt:i4>1</vt:i4>
      </vt:variant>
      <vt:variant>
        <vt:lpstr>Τίτλος</vt:lpstr>
      </vt:variant>
      <vt:variant>
        <vt:i4>1</vt:i4>
      </vt:variant>
      <vt:variant>
        <vt:lpstr>Tytuł</vt:lpstr>
      </vt:variant>
      <vt:variant>
        <vt:i4>1</vt:i4>
      </vt:variant>
    </vt:vector>
  </HeadingPairs>
  <TitlesOfParts>
    <vt:vector size="3" baseType="lpstr">
      <vt:lpstr>Diesel Engines Exhausts: myths and realities</vt:lpstr>
      <vt:lpstr>DIESEL Engines exhausts:myths and realities</vt:lpstr>
      <vt:lpstr/>
    </vt:vector>
  </TitlesOfParts>
  <Company>UNECE</Company>
  <LinksUpToDate>false</LinksUpToDate>
  <CharactersWithSpaces>55786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Diesel Engines Exhausts: myths and realities</dc:title>
  <dc:creator>Konstantinos Alexopoulos</dc:creator>
  <cp:lastModifiedBy>Pierpaolo Cazzola</cp:lastModifiedBy>
  <cp:revision>3</cp:revision>
  <cp:lastPrinted>2012-12-11T11:23:00Z</cp:lastPrinted>
  <dcterms:created xsi:type="dcterms:W3CDTF">2012-12-20T10:27:00Z</dcterms:created>
  <dcterms:modified xsi:type="dcterms:W3CDTF">2012-12-20T10:48:00Z</dcterms:modified>
</cp:coreProperties>
</file>