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E9" w:rsidRDefault="008236E9" w:rsidP="008236E9">
      <w:pPr>
        <w:spacing w:line="240" w:lineRule="auto"/>
        <w:rPr>
          <w:sz w:val="2"/>
        </w:rPr>
        <w:sectPr w:rsidR="008236E9" w:rsidSect="008236E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8236E9" w:rsidRDefault="008236E9" w:rsidP="008236E9">
      <w:pPr>
        <w:pStyle w:val="H1"/>
        <w:spacing w:after="120"/>
        <w:rPr>
          <w:sz w:val="28"/>
        </w:rPr>
      </w:pPr>
      <w:r>
        <w:rPr>
          <w:sz w:val="28"/>
        </w:rPr>
        <w:lastRenderedPageBreak/>
        <w:t>Commission économique pour l’Europe</w:t>
      </w:r>
    </w:p>
    <w:p w:rsidR="008236E9" w:rsidRDefault="008236E9" w:rsidP="008236E9">
      <w:pPr>
        <w:pStyle w:val="H1"/>
        <w:spacing w:after="120" w:line="300" w:lineRule="exact"/>
        <w:rPr>
          <w:b w:val="0"/>
          <w:sz w:val="28"/>
        </w:rPr>
      </w:pPr>
      <w:r>
        <w:rPr>
          <w:b w:val="0"/>
          <w:sz w:val="28"/>
        </w:rPr>
        <w:t>Comité des transports intérieurs</w:t>
      </w:r>
    </w:p>
    <w:p w:rsidR="00077AC9" w:rsidRDefault="00077AC9" w:rsidP="00077AC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77AC9">
        <w:rPr>
          <w:lang w:val="fr-FR"/>
        </w:rPr>
        <w:t xml:space="preserve">Forum mondial de l’harmonisation </w:t>
      </w:r>
      <w:r>
        <w:rPr>
          <w:lang w:val="fr-FR"/>
        </w:rPr>
        <w:br/>
      </w:r>
      <w:r w:rsidRPr="00077AC9">
        <w:rPr>
          <w:lang w:val="fr-FR"/>
        </w:rPr>
        <w:t>des Règl</w:t>
      </w:r>
      <w:r>
        <w:rPr>
          <w:lang w:val="fr-FR"/>
        </w:rPr>
        <w:t>ements concernant les véhicules</w:t>
      </w:r>
    </w:p>
    <w:p w:rsidR="00077AC9" w:rsidRPr="00077AC9" w:rsidRDefault="00077AC9" w:rsidP="00077AC9">
      <w:pPr>
        <w:spacing w:line="120" w:lineRule="exact"/>
        <w:rPr>
          <w:sz w:val="10"/>
          <w:lang w:val="fr-FR"/>
        </w:rPr>
      </w:pPr>
    </w:p>
    <w:p w:rsidR="00077AC9" w:rsidRDefault="00077AC9" w:rsidP="00077AC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77AC9">
        <w:rPr>
          <w:lang w:val="fr-FR"/>
        </w:rPr>
        <w:t>Groupe de travail des dis</w:t>
      </w:r>
      <w:r>
        <w:rPr>
          <w:lang w:val="fr-FR"/>
        </w:rPr>
        <w:t>positions générales de sécurité</w:t>
      </w:r>
    </w:p>
    <w:p w:rsidR="00077AC9" w:rsidRPr="00077AC9" w:rsidRDefault="00077AC9" w:rsidP="00077AC9">
      <w:pPr>
        <w:spacing w:line="120" w:lineRule="exact"/>
        <w:rPr>
          <w:sz w:val="10"/>
          <w:lang w:val="fr-FR"/>
        </w:rPr>
      </w:pPr>
    </w:p>
    <w:p w:rsidR="00077AC9" w:rsidRPr="00077AC9" w:rsidRDefault="00077AC9" w:rsidP="00077AC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77AC9">
        <w:rPr>
          <w:lang w:val="fr-FR"/>
        </w:rPr>
        <w:t>109</w:t>
      </w:r>
      <w:r w:rsidRPr="00077AC9">
        <w:rPr>
          <w:vertAlign w:val="superscript"/>
          <w:lang w:val="fr-FR"/>
        </w:rPr>
        <w:t>e</w:t>
      </w:r>
      <w:r>
        <w:rPr>
          <w:lang w:val="fr-FR"/>
        </w:rPr>
        <w:t xml:space="preserve"> session</w:t>
      </w:r>
    </w:p>
    <w:p w:rsidR="00077AC9" w:rsidRPr="00077AC9" w:rsidRDefault="00077AC9" w:rsidP="00077AC9">
      <w:pPr>
        <w:rPr>
          <w:lang w:val="fr-FR"/>
        </w:rPr>
      </w:pPr>
      <w:r>
        <w:rPr>
          <w:lang w:val="fr-FR"/>
        </w:rPr>
        <w:t>Genève, 29 septembre-2 </w:t>
      </w:r>
      <w:r w:rsidRPr="00077AC9">
        <w:rPr>
          <w:lang w:val="fr-FR"/>
        </w:rPr>
        <w:t>octobre 2015</w:t>
      </w:r>
    </w:p>
    <w:p w:rsidR="00077AC9" w:rsidRPr="00077AC9" w:rsidRDefault="00077AC9" w:rsidP="00077AC9">
      <w:pPr>
        <w:rPr>
          <w:lang w:val="fr-FR"/>
        </w:rPr>
      </w:pPr>
      <w:r w:rsidRPr="00077AC9">
        <w:rPr>
          <w:lang w:val="fr-FR"/>
        </w:rPr>
        <w:t>Point 11 de l’ordre du jour provisoire</w:t>
      </w:r>
    </w:p>
    <w:p w:rsidR="00077AC9" w:rsidRDefault="00077AC9" w:rsidP="00077AC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77AC9">
        <w:rPr>
          <w:lang w:val="fr-FR"/>
        </w:rPr>
        <w:t>Règlement</w:t>
      </w:r>
      <w:r>
        <w:rPr>
          <w:lang w:val="fr-FR"/>
        </w:rPr>
        <w:t xml:space="preserve"> n</w:t>
      </w:r>
      <w:r w:rsidRPr="00077AC9">
        <w:rPr>
          <w:vertAlign w:val="superscript"/>
          <w:lang w:val="fr-FR"/>
        </w:rPr>
        <w:t>o</w:t>
      </w:r>
      <w:r>
        <w:rPr>
          <w:lang w:val="fr-FR"/>
        </w:rPr>
        <w:t> </w:t>
      </w:r>
      <w:r w:rsidRPr="00077AC9">
        <w:rPr>
          <w:lang w:val="fr-FR"/>
        </w:rPr>
        <w:t xml:space="preserve">110 (Organes spéciaux des véhicules </w:t>
      </w:r>
      <w:r>
        <w:rPr>
          <w:lang w:val="fr-FR"/>
        </w:rPr>
        <w:br/>
      </w:r>
      <w:r w:rsidRPr="00077AC9">
        <w:rPr>
          <w:lang w:val="fr-FR"/>
        </w:rPr>
        <w:t>alimentés au GNC)</w:t>
      </w:r>
    </w:p>
    <w:p w:rsidR="00077AC9" w:rsidRPr="00077AC9" w:rsidRDefault="00077AC9" w:rsidP="00077AC9">
      <w:pPr>
        <w:spacing w:line="120" w:lineRule="exact"/>
        <w:rPr>
          <w:sz w:val="10"/>
          <w:lang w:val="fr-FR"/>
        </w:rPr>
      </w:pPr>
    </w:p>
    <w:p w:rsidR="00077AC9" w:rsidRPr="00077AC9" w:rsidRDefault="00077AC9" w:rsidP="00077AC9">
      <w:pPr>
        <w:spacing w:line="120" w:lineRule="exact"/>
        <w:rPr>
          <w:sz w:val="10"/>
          <w:lang w:val="fr-FR"/>
        </w:rPr>
      </w:pPr>
    </w:p>
    <w:p w:rsidR="00077AC9" w:rsidRPr="00077AC9" w:rsidRDefault="00077AC9" w:rsidP="00077AC9">
      <w:pPr>
        <w:spacing w:line="120" w:lineRule="exact"/>
        <w:rPr>
          <w:sz w:val="10"/>
          <w:lang w:val="fr-FR"/>
        </w:rPr>
      </w:pPr>
    </w:p>
    <w:p w:rsidR="00077AC9" w:rsidRDefault="00077AC9" w:rsidP="00077A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77AC9">
        <w:rPr>
          <w:lang w:val="fr-FR"/>
        </w:rPr>
        <w:t>Proposition d’amendements au Règlement</w:t>
      </w:r>
      <w:r>
        <w:rPr>
          <w:lang w:val="fr-FR"/>
        </w:rPr>
        <w:t xml:space="preserve"> n</w:t>
      </w:r>
      <w:r w:rsidRPr="00077AC9">
        <w:rPr>
          <w:vertAlign w:val="superscript"/>
          <w:lang w:val="fr-FR"/>
        </w:rPr>
        <w:t>o</w:t>
      </w:r>
      <w:r>
        <w:rPr>
          <w:lang w:val="fr-FR"/>
        </w:rPr>
        <w:t> </w:t>
      </w:r>
      <w:r w:rsidRPr="00077AC9">
        <w:rPr>
          <w:lang w:val="fr-FR"/>
        </w:rPr>
        <w:t xml:space="preserve">110 </w:t>
      </w:r>
      <w:r>
        <w:rPr>
          <w:lang w:val="fr-FR"/>
        </w:rPr>
        <w:br/>
      </w:r>
      <w:r w:rsidRPr="00077AC9">
        <w:rPr>
          <w:lang w:val="fr-FR"/>
        </w:rPr>
        <w:t xml:space="preserve">(Organes spéciaux </w:t>
      </w:r>
      <w:r>
        <w:rPr>
          <w:lang w:val="fr-FR"/>
        </w:rPr>
        <w:t>des véhicules alimentés au GNC)</w:t>
      </w:r>
    </w:p>
    <w:p w:rsidR="00077AC9" w:rsidRPr="00077AC9" w:rsidRDefault="00077AC9" w:rsidP="00077AC9">
      <w:pPr>
        <w:pStyle w:val="SingleTxt"/>
        <w:spacing w:after="0" w:line="120" w:lineRule="exact"/>
        <w:rPr>
          <w:sz w:val="10"/>
          <w:lang w:val="fr-FR"/>
        </w:rPr>
      </w:pPr>
    </w:p>
    <w:p w:rsidR="00077AC9" w:rsidRPr="00077AC9" w:rsidRDefault="00077AC9" w:rsidP="00077AC9">
      <w:pPr>
        <w:pStyle w:val="SingleTxt"/>
        <w:spacing w:after="0" w:line="120" w:lineRule="exact"/>
        <w:rPr>
          <w:sz w:val="10"/>
          <w:lang w:val="fr-FR"/>
        </w:rPr>
      </w:pPr>
    </w:p>
    <w:p w:rsidR="00077AC9" w:rsidRDefault="00077AC9" w:rsidP="00077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Pr="00077AC9">
        <w:rPr>
          <w:lang w:val="fr-FR"/>
        </w:rPr>
        <w:t xml:space="preserve">Communication de l’expert de l’Organisation </w:t>
      </w:r>
      <w:r>
        <w:rPr>
          <w:lang w:val="fr-FR"/>
        </w:rPr>
        <w:br/>
      </w:r>
      <w:r w:rsidRPr="00077AC9">
        <w:rPr>
          <w:lang w:val="fr-FR"/>
        </w:rPr>
        <w:t>internationale des constructeurs d’automobiles</w:t>
      </w:r>
      <w:r w:rsidRPr="00F82021">
        <w:rPr>
          <w:rStyle w:val="FootnoteReference"/>
          <w:b w:val="0"/>
          <w:color w:val="auto"/>
          <w:sz w:val="20"/>
          <w:szCs w:val="20"/>
          <w:vertAlign w:val="baseline"/>
          <w:lang w:val="fr-FR"/>
        </w:rPr>
        <w:footnoteReference w:customMarkFollows="1" w:id="1"/>
        <w:t>*</w:t>
      </w:r>
    </w:p>
    <w:p w:rsidR="00077AC9" w:rsidRPr="00077AC9" w:rsidRDefault="00077AC9" w:rsidP="00077AC9">
      <w:pPr>
        <w:pStyle w:val="SingleTxt"/>
        <w:spacing w:after="0" w:line="120" w:lineRule="exact"/>
        <w:rPr>
          <w:sz w:val="10"/>
          <w:lang w:val="fr-FR"/>
        </w:rPr>
      </w:pPr>
    </w:p>
    <w:p w:rsidR="00077AC9" w:rsidRPr="00077AC9" w:rsidRDefault="00077AC9" w:rsidP="00077AC9">
      <w:pPr>
        <w:pStyle w:val="SingleTxt"/>
        <w:spacing w:after="0" w:line="120" w:lineRule="exact"/>
        <w:rPr>
          <w:sz w:val="10"/>
          <w:lang w:val="fr-FR"/>
        </w:rPr>
      </w:pPr>
    </w:p>
    <w:p w:rsidR="008236E9" w:rsidRDefault="00077AC9" w:rsidP="00077AC9">
      <w:pPr>
        <w:pStyle w:val="SingleTxt"/>
        <w:rPr>
          <w:lang w:val="fr-FR"/>
        </w:rPr>
      </w:pPr>
      <w:r>
        <w:rPr>
          <w:lang w:val="fr-FR"/>
        </w:rPr>
        <w:tab/>
      </w:r>
      <w:r w:rsidRPr="00077AC9">
        <w:rPr>
          <w:lang w:val="fr-FR"/>
        </w:rPr>
        <w:t>Le texte reproduit ci-après, établi par l’expert de l’Organisation internationale des constructeurs d’automobiles (OICA), permettrait l’utilisation d’un dispositif de chauffage autonome à gaz naturel comprimé pour réchauffer les moteurs avant le démarrage du véhicule. Il s’inspire du document informel GRSG-108-29 et tient compte des observations reçues lors de la 108</w:t>
      </w:r>
      <w:r w:rsidRPr="00077AC9">
        <w:rPr>
          <w:vertAlign w:val="superscript"/>
          <w:lang w:val="fr-FR"/>
        </w:rPr>
        <w:t>e</w:t>
      </w:r>
      <w:r w:rsidRPr="00077AC9">
        <w:rPr>
          <w:lang w:val="fr-FR"/>
        </w:rPr>
        <w:t xml:space="preserve"> session du Groupe de travail des dispositions générale</w:t>
      </w:r>
      <w:r>
        <w:rPr>
          <w:lang w:val="fr-FR"/>
        </w:rPr>
        <w:t>s de sécurité (GRSG) (voir par. </w:t>
      </w:r>
      <w:r w:rsidRPr="00077AC9">
        <w:rPr>
          <w:lang w:val="fr-FR"/>
        </w:rPr>
        <w:t>44 du rapport ECE/TRANS/WP.29/GRSG/87)</w:t>
      </w:r>
      <w:r w:rsidR="00EB36D1">
        <w:rPr>
          <w:lang w:val="fr-FR"/>
        </w:rPr>
        <w:t>.</w:t>
      </w:r>
      <w:r w:rsidRPr="00077AC9">
        <w:rPr>
          <w:lang w:val="fr-FR"/>
        </w:rPr>
        <w:t xml:space="preserve"> Les modifications qu’il est proposé d’apporter au texte actuel du Règlement</w:t>
      </w:r>
      <w:r>
        <w:rPr>
          <w:lang w:val="fr-FR"/>
        </w:rPr>
        <w:t xml:space="preserve"> n</w:t>
      </w:r>
      <w:r w:rsidRPr="00077AC9">
        <w:rPr>
          <w:vertAlign w:val="superscript"/>
          <w:lang w:val="fr-FR"/>
        </w:rPr>
        <w:t>o</w:t>
      </w:r>
      <w:r>
        <w:rPr>
          <w:lang w:val="fr-FR"/>
        </w:rPr>
        <w:t> </w:t>
      </w:r>
      <w:r w:rsidRPr="00077AC9">
        <w:rPr>
          <w:lang w:val="fr-FR"/>
        </w:rPr>
        <w:t>110 sont signalées en caractères gras.</w:t>
      </w:r>
    </w:p>
    <w:p w:rsidR="00077AC9" w:rsidRDefault="00077AC9">
      <w:pPr>
        <w:spacing w:line="240" w:lineRule="auto"/>
        <w:rPr>
          <w:lang w:val="fr-FR"/>
        </w:rPr>
      </w:pPr>
      <w:r>
        <w:rPr>
          <w:lang w:val="fr-FR"/>
        </w:rPr>
        <w:br w:type="page"/>
      </w:r>
    </w:p>
    <w:p w:rsidR="006C1F18" w:rsidRDefault="006C1F18" w:rsidP="006C1F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6C1F18">
        <w:rPr>
          <w:lang w:val="fr-FR"/>
        </w:rPr>
        <w:t>I.</w:t>
      </w:r>
      <w:r w:rsidRPr="006C1F18">
        <w:rPr>
          <w:lang w:val="fr-FR"/>
        </w:rPr>
        <w:tab/>
        <w:t>Proposition</w:t>
      </w:r>
    </w:p>
    <w:p w:rsidR="006C1F18" w:rsidRPr="006C1F18" w:rsidRDefault="006C1F18" w:rsidP="006C1F18">
      <w:pPr>
        <w:pStyle w:val="SingleTxt"/>
        <w:spacing w:after="0" w:line="120" w:lineRule="exact"/>
        <w:rPr>
          <w:sz w:val="10"/>
          <w:lang w:val="fr-FR"/>
        </w:rPr>
      </w:pPr>
    </w:p>
    <w:p w:rsidR="006C1F18" w:rsidRPr="006C1F18" w:rsidRDefault="006C1F18" w:rsidP="006C1F18">
      <w:pPr>
        <w:pStyle w:val="SingleTxt"/>
        <w:spacing w:after="0" w:line="120" w:lineRule="exact"/>
        <w:rPr>
          <w:sz w:val="10"/>
          <w:lang w:val="fr-FR"/>
        </w:rPr>
      </w:pPr>
    </w:p>
    <w:p w:rsidR="006C1F18" w:rsidRPr="006C1F18" w:rsidRDefault="006C1F18" w:rsidP="006C1F18">
      <w:pPr>
        <w:pStyle w:val="SingleTxt"/>
        <w:rPr>
          <w:i/>
          <w:lang w:val="fr-FR"/>
        </w:rPr>
      </w:pPr>
      <w:r w:rsidRPr="006C1F18">
        <w:rPr>
          <w:i/>
          <w:lang w:val="fr-FR"/>
        </w:rPr>
        <w:t>Deuxième partie, paragraphes 18.5 à 18.5.1.4</w:t>
      </w:r>
      <w:r w:rsidRPr="006C1F18">
        <w:rPr>
          <w:lang w:val="fr-FR"/>
        </w:rPr>
        <w:t>,</w:t>
      </w:r>
      <w:r w:rsidRPr="006C1F18">
        <w:rPr>
          <w:i/>
          <w:lang w:val="fr-FR"/>
        </w:rPr>
        <w:t xml:space="preserve"> </w:t>
      </w:r>
      <w:r w:rsidRPr="006C1F18">
        <w:rPr>
          <w:lang w:val="fr-FR"/>
        </w:rPr>
        <w:t>modifier comme suit</w:t>
      </w:r>
      <w:r>
        <w:rPr>
          <w:lang w:val="fr-FR"/>
        </w:rPr>
        <w:t> </w:t>
      </w:r>
      <w:r w:rsidRPr="006C1F18">
        <w:rPr>
          <w:lang w:val="fr-FR"/>
        </w:rPr>
        <w:t>:</w:t>
      </w:r>
    </w:p>
    <w:p w:rsidR="006C1F18" w:rsidRPr="006C1F18" w:rsidRDefault="006C1F18" w:rsidP="006C1F18">
      <w:pPr>
        <w:pStyle w:val="SingleTxt"/>
        <w:rPr>
          <w:lang w:val="fr-FR"/>
        </w:rPr>
      </w:pPr>
      <w:r>
        <w:rPr>
          <w:lang w:val="fr-FR"/>
        </w:rPr>
        <w:t>« 18.5</w:t>
      </w:r>
      <w:r w:rsidRPr="006C1F18">
        <w:rPr>
          <w:lang w:val="fr-FR"/>
        </w:rPr>
        <w:tab/>
        <w:t>Accessoires mont</w:t>
      </w:r>
      <w:r>
        <w:rPr>
          <w:lang w:val="fr-FR"/>
        </w:rPr>
        <w:t>és sur le(s) réservoir(s) à GNC</w:t>
      </w:r>
    </w:p>
    <w:p w:rsidR="006C1F18" w:rsidRPr="006C1F18" w:rsidRDefault="006C1F18" w:rsidP="006C1F18">
      <w:pPr>
        <w:pStyle w:val="SingleTxt"/>
        <w:rPr>
          <w:lang w:val="fr-FR"/>
        </w:rPr>
      </w:pPr>
      <w:r>
        <w:rPr>
          <w:lang w:val="fr-FR"/>
        </w:rPr>
        <w:t>18.5.1</w:t>
      </w:r>
      <w:r w:rsidRPr="006C1F18">
        <w:rPr>
          <w:lang w:val="fr-FR"/>
        </w:rPr>
        <w:tab/>
        <w:t>Va</w:t>
      </w:r>
      <w:r>
        <w:rPr>
          <w:lang w:val="fr-FR"/>
        </w:rPr>
        <w:t>nne automatique de la bouteille</w:t>
      </w:r>
    </w:p>
    <w:p w:rsidR="006C1F18" w:rsidRPr="006C1F18" w:rsidRDefault="006C1F18" w:rsidP="006C1F18">
      <w:pPr>
        <w:pStyle w:val="SingleTxt"/>
        <w:ind w:left="2218" w:hanging="951"/>
        <w:rPr>
          <w:lang w:val="fr-FR"/>
        </w:rPr>
      </w:pPr>
      <w:r>
        <w:rPr>
          <w:lang w:val="fr-FR"/>
        </w:rPr>
        <w:t>18.5.1.1</w:t>
      </w:r>
      <w:r w:rsidRPr="006C1F18">
        <w:rPr>
          <w:lang w:val="fr-FR"/>
        </w:rPr>
        <w:tab/>
        <w:t>Une vanne automatique de bouteille doit être installée directem</w:t>
      </w:r>
      <w:r>
        <w:rPr>
          <w:lang w:val="fr-FR"/>
        </w:rPr>
        <w:t>ent sur chaque réservoir à GNC.</w:t>
      </w:r>
    </w:p>
    <w:p w:rsidR="006C1F18" w:rsidRPr="006C1F18" w:rsidRDefault="006C1F18" w:rsidP="006C1F18">
      <w:pPr>
        <w:pStyle w:val="SingleTxt"/>
        <w:ind w:left="2218" w:hanging="951"/>
        <w:rPr>
          <w:lang w:val="fr-FR"/>
        </w:rPr>
      </w:pPr>
      <w:r>
        <w:rPr>
          <w:lang w:val="fr-FR"/>
        </w:rPr>
        <w:t>18.5.1.2</w:t>
      </w:r>
      <w:r w:rsidRPr="006C1F18">
        <w:rPr>
          <w:lang w:val="fr-FR"/>
        </w:rPr>
        <w:tab/>
        <w:t>La vanne automatique de la bouteille doit fonctionner de telle manière que l’arrivée de carburant soit coupée quand le moteur est arrêté, quelle que soit la position du contacteur, et qu’elle reste fermée tant que le moteur ne tourne pas. Un retard de 2 s est toléré pour la fonction diagnostic.</w:t>
      </w:r>
    </w:p>
    <w:p w:rsidR="006C1F18" w:rsidRPr="006C1F18" w:rsidRDefault="006C1F18" w:rsidP="006C1F18">
      <w:pPr>
        <w:pStyle w:val="SingleTxt"/>
        <w:rPr>
          <w:lang w:val="fr-FR"/>
        </w:rPr>
      </w:pPr>
      <w:r w:rsidRPr="006C1F18">
        <w:rPr>
          <w:lang w:val="fr-FR"/>
        </w:rPr>
        <w:t>18.5.1.3</w:t>
      </w:r>
      <w:r w:rsidRPr="006C1F18">
        <w:rPr>
          <w:lang w:val="fr-FR"/>
        </w:rPr>
        <w:tab/>
        <w:t>Nonobstant les dispositions du paragraphe 18.5.1.2</w:t>
      </w:r>
      <w:r w:rsidR="00CB7726">
        <w:rPr>
          <w:lang w:val="fr-FR"/>
        </w:rPr>
        <w:t> :</w:t>
      </w:r>
    </w:p>
    <w:p w:rsidR="006C1F18" w:rsidRPr="006C1F18" w:rsidRDefault="006C1F18" w:rsidP="002D274B">
      <w:pPr>
        <w:pStyle w:val="SingleTxt"/>
        <w:ind w:left="2693" w:hanging="1426"/>
        <w:rPr>
          <w:lang w:val="fr-FR"/>
        </w:rPr>
      </w:pPr>
      <w:r>
        <w:rPr>
          <w:lang w:val="fr-FR"/>
        </w:rPr>
        <w:tab/>
      </w:r>
      <w:r>
        <w:rPr>
          <w:lang w:val="fr-FR"/>
        </w:rPr>
        <w:tab/>
      </w:r>
      <w:r w:rsidRPr="00F82021">
        <w:rPr>
          <w:b/>
          <w:lang w:val="fr-FR"/>
        </w:rPr>
        <w:t>a)</w:t>
      </w:r>
      <w:r>
        <w:rPr>
          <w:lang w:val="fr-FR"/>
        </w:rPr>
        <w:tab/>
      </w:r>
      <w:r w:rsidR="00CB7726">
        <w:rPr>
          <w:lang w:val="fr-FR"/>
        </w:rPr>
        <w:t>L</w:t>
      </w:r>
      <w:r w:rsidRPr="006C1F18">
        <w:rPr>
          <w:lang w:val="fr-FR"/>
        </w:rPr>
        <w:t>a vanne automatique de la bouteille peut rester en position ouverte pendant les phases d’arrêt commandées</w:t>
      </w:r>
      <w:r w:rsidR="00EB36D1">
        <w:rPr>
          <w:lang w:val="fr-FR"/>
        </w:rPr>
        <w:t>;</w:t>
      </w:r>
      <w:r w:rsidRPr="006C1F18">
        <w:rPr>
          <w:lang w:val="fr-FR"/>
        </w:rPr>
        <w:t xml:space="preserve"> </w:t>
      </w:r>
      <w:r w:rsidRPr="006C1F18">
        <w:rPr>
          <w:b/>
          <w:lang w:val="fr-FR"/>
        </w:rPr>
        <w:t>et</w:t>
      </w:r>
    </w:p>
    <w:p w:rsidR="006C1F18" w:rsidRPr="006C1F18" w:rsidRDefault="006C1F18" w:rsidP="002D274B">
      <w:pPr>
        <w:pStyle w:val="SingleTxt"/>
        <w:ind w:left="2693" w:hanging="1426"/>
        <w:rPr>
          <w:b/>
          <w:lang w:val="fr-FR"/>
        </w:rPr>
      </w:pPr>
      <w:r w:rsidRPr="006C1F18">
        <w:rPr>
          <w:lang w:val="fr-FR"/>
        </w:rPr>
        <w:tab/>
      </w:r>
      <w:r>
        <w:rPr>
          <w:lang w:val="fr-FR"/>
        </w:rPr>
        <w:tab/>
      </w:r>
      <w:r w:rsidRPr="006C1F18">
        <w:rPr>
          <w:b/>
          <w:lang w:val="fr-FR"/>
        </w:rPr>
        <w:t>b)</w:t>
      </w:r>
      <w:r>
        <w:rPr>
          <w:b/>
          <w:lang w:val="fr-FR"/>
        </w:rPr>
        <w:tab/>
      </w:r>
      <w:r w:rsidR="00CB7726">
        <w:rPr>
          <w:b/>
          <w:lang w:val="fr-FR"/>
        </w:rPr>
        <w:t>L</w:t>
      </w:r>
      <w:r w:rsidRPr="006C1F18">
        <w:rPr>
          <w:b/>
          <w:lang w:val="fr-FR"/>
        </w:rPr>
        <w:t>orsqu’un système d’alarme incendie est installé dans le compartiment du dispositif de chauffage autonome, une vanne automatique de bouteille peut rester ouverte pendant une durée maximale d’une heure pour permettre au dispositif de réchauffer le liquide de refroidissement du moteur.</w:t>
      </w:r>
    </w:p>
    <w:p w:rsidR="006C1F18" w:rsidRDefault="006C1F18" w:rsidP="006C1F18">
      <w:pPr>
        <w:pStyle w:val="SingleTxt"/>
        <w:ind w:left="2218" w:hanging="951"/>
        <w:rPr>
          <w:lang w:val="fr-FR"/>
        </w:rPr>
      </w:pPr>
      <w:r>
        <w:rPr>
          <w:lang w:val="fr-FR"/>
        </w:rPr>
        <w:t>18.5.1.4</w:t>
      </w:r>
      <w:r w:rsidRPr="006C1F18">
        <w:rPr>
          <w:lang w:val="fr-FR"/>
        </w:rPr>
        <w:tab/>
        <w:t>Si la vanne automatique de la bouteill</w:t>
      </w:r>
      <w:r>
        <w:rPr>
          <w:lang w:val="fr-FR"/>
        </w:rPr>
        <w:t xml:space="preserve">e est fermée pendant les phases </w:t>
      </w:r>
      <w:r w:rsidRPr="006C1F18">
        <w:rPr>
          <w:lang w:val="fr-FR"/>
        </w:rPr>
        <w:t>d’arrêt commandées, elle doit satisfaire</w:t>
      </w:r>
      <w:r>
        <w:rPr>
          <w:lang w:val="fr-FR"/>
        </w:rPr>
        <w:t xml:space="preserve"> aux dispositions du paragraphe </w:t>
      </w:r>
      <w:r w:rsidRPr="006C1F18">
        <w:rPr>
          <w:lang w:val="fr-FR"/>
        </w:rPr>
        <w:t>2.2.4 de l’annexe 4 A.</w:t>
      </w:r>
      <w:r>
        <w:rPr>
          <w:lang w:val="fr-FR"/>
        </w:rPr>
        <w:t> »</w:t>
      </w:r>
      <w:r w:rsidRPr="006C1F18">
        <w:rPr>
          <w:lang w:val="fr-FR"/>
        </w:rPr>
        <w:t>.</w:t>
      </w:r>
    </w:p>
    <w:p w:rsidR="006C1F18" w:rsidRPr="006C1F18" w:rsidRDefault="006C1F18" w:rsidP="006C1F18">
      <w:pPr>
        <w:pStyle w:val="SingleTxt"/>
        <w:spacing w:after="0" w:line="120" w:lineRule="exact"/>
        <w:ind w:left="2218" w:hanging="951"/>
        <w:rPr>
          <w:sz w:val="10"/>
          <w:lang w:val="fr-FR"/>
        </w:rPr>
      </w:pPr>
    </w:p>
    <w:p w:rsidR="006C1F18" w:rsidRPr="006C1F18" w:rsidRDefault="006C1F18" w:rsidP="006C1F18">
      <w:pPr>
        <w:pStyle w:val="SingleTxt"/>
        <w:spacing w:after="0" w:line="120" w:lineRule="exact"/>
        <w:ind w:left="2218" w:hanging="951"/>
        <w:rPr>
          <w:sz w:val="10"/>
          <w:lang w:val="fr-FR"/>
        </w:rPr>
      </w:pPr>
    </w:p>
    <w:p w:rsidR="006C1F18" w:rsidRDefault="006C1F18" w:rsidP="006C1F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6C1F18">
        <w:rPr>
          <w:lang w:val="fr-FR"/>
        </w:rPr>
        <w:tab/>
      </w:r>
      <w:r w:rsidRPr="006C1F18">
        <w:rPr>
          <w:lang w:val="en-US"/>
        </w:rPr>
        <w:t>II.</w:t>
      </w:r>
      <w:r w:rsidRPr="006C1F18">
        <w:rPr>
          <w:lang w:val="en-US"/>
        </w:rPr>
        <w:tab/>
        <w:t>Justification</w:t>
      </w:r>
    </w:p>
    <w:p w:rsidR="006C1F18" w:rsidRPr="006C1F18" w:rsidRDefault="006C1F18" w:rsidP="006C1F18">
      <w:pPr>
        <w:pStyle w:val="SingleTxt"/>
        <w:spacing w:after="0" w:line="120" w:lineRule="exact"/>
        <w:rPr>
          <w:sz w:val="10"/>
          <w:lang w:val="en-US"/>
        </w:rPr>
      </w:pPr>
    </w:p>
    <w:p w:rsidR="006C1F18" w:rsidRPr="006C1F18" w:rsidRDefault="006C1F18" w:rsidP="006C1F18">
      <w:pPr>
        <w:pStyle w:val="SingleTxt"/>
        <w:spacing w:after="0" w:line="120" w:lineRule="exact"/>
        <w:rPr>
          <w:sz w:val="10"/>
          <w:lang w:val="en-US"/>
        </w:rPr>
      </w:pPr>
    </w:p>
    <w:p w:rsidR="006C1F18" w:rsidRPr="006C1F18" w:rsidRDefault="006C1F18" w:rsidP="007311B0">
      <w:pPr>
        <w:pStyle w:val="SingleTxt"/>
        <w:numPr>
          <w:ilvl w:val="0"/>
          <w:numId w:val="8"/>
        </w:numPr>
        <w:tabs>
          <w:tab w:val="clear" w:pos="475"/>
          <w:tab w:val="num" w:pos="1742"/>
        </w:tabs>
        <w:ind w:left="1267"/>
        <w:rPr>
          <w:lang w:val="fr-FR"/>
        </w:rPr>
      </w:pPr>
      <w:r w:rsidRPr="006C1F18">
        <w:rPr>
          <w:lang w:val="fr-FR"/>
        </w:rPr>
        <w:t xml:space="preserve">En milieu urbain </w:t>
      </w:r>
      <w:r w:rsidR="007311B0">
        <w:rPr>
          <w:lang w:val="fr-FR"/>
        </w:rPr>
        <w:t>« </w:t>
      </w:r>
      <w:r w:rsidRPr="006C1F18">
        <w:rPr>
          <w:lang w:val="fr-FR"/>
        </w:rPr>
        <w:t>froid</w:t>
      </w:r>
      <w:r w:rsidR="007311B0">
        <w:rPr>
          <w:lang w:val="fr-FR"/>
        </w:rPr>
        <w:t> »</w:t>
      </w:r>
      <w:r w:rsidRPr="006C1F18">
        <w:rPr>
          <w:lang w:val="fr-FR"/>
        </w:rPr>
        <w:t>, il est possible d’équiper les autobus fonctionnant au GNC d’un dispositif de chauffage utilisant ce gaz en tant que combustible. En réchauffant le circuit de refroidissement du moteur, ce dispositif évite qu’il ne fonctionne à basse température tout en fournissant une chaleur suffisante à l’habitacle du véhicule.</w:t>
      </w:r>
    </w:p>
    <w:p w:rsidR="006C1F18" w:rsidRPr="006C1F18" w:rsidRDefault="006C1F18" w:rsidP="007311B0">
      <w:pPr>
        <w:pStyle w:val="SingleTxt"/>
        <w:numPr>
          <w:ilvl w:val="0"/>
          <w:numId w:val="8"/>
        </w:numPr>
        <w:tabs>
          <w:tab w:val="clear" w:pos="475"/>
          <w:tab w:val="num" w:pos="1742"/>
        </w:tabs>
        <w:ind w:left="1267"/>
        <w:rPr>
          <w:lang w:val="fr-FR"/>
        </w:rPr>
      </w:pPr>
      <w:r w:rsidRPr="006C1F18">
        <w:rPr>
          <w:lang w:val="fr-FR"/>
        </w:rPr>
        <w:t xml:space="preserve">Il est également possible d’utiliser un dispositif de chauffage à combustion pour préchauffer le moteur avant sa mise en route. Si tel n’était pas le cas, il faudrait laisser le moteur tourner à très basse température pendant plus de dix minutes sur l’aire de stationnement avant que l’autobus puisse commencer sa tournée. L’utilisation du dispositif de chauffage à combustion quand le véhicule est en stationnement, moteur à l’arrêt, permet à ce dernier d’atteindre une température appropriée avant le démarrage. À durée de fonctionnement égale, les émissions polluantes d’un dispositif de chauffage à combustion sont inférieures à celles d’un </w:t>
      </w:r>
      <w:r w:rsidR="007311B0">
        <w:rPr>
          <w:lang w:val="fr-FR"/>
        </w:rPr>
        <w:t>« </w:t>
      </w:r>
      <w:r w:rsidRPr="006C1F18">
        <w:rPr>
          <w:lang w:val="fr-FR"/>
        </w:rPr>
        <w:t>gros</w:t>
      </w:r>
      <w:r w:rsidR="007311B0">
        <w:rPr>
          <w:lang w:val="fr-FR"/>
        </w:rPr>
        <w:t> »</w:t>
      </w:r>
      <w:r w:rsidRPr="006C1F18">
        <w:rPr>
          <w:lang w:val="fr-FR"/>
        </w:rPr>
        <w:t xml:space="preserve"> moteur tournant au ralenti. Le texte actuel du Règlement </w:t>
      </w:r>
      <w:r w:rsidR="007311B0">
        <w:rPr>
          <w:lang w:val="fr-FR"/>
        </w:rPr>
        <w:t>n</w:t>
      </w:r>
      <w:r w:rsidR="007311B0" w:rsidRPr="007311B0">
        <w:rPr>
          <w:vertAlign w:val="superscript"/>
          <w:lang w:val="fr-FR"/>
        </w:rPr>
        <w:t>o</w:t>
      </w:r>
      <w:r w:rsidR="007311B0">
        <w:rPr>
          <w:lang w:val="fr-FR"/>
        </w:rPr>
        <w:t> </w:t>
      </w:r>
      <w:r w:rsidRPr="006C1F18">
        <w:rPr>
          <w:lang w:val="fr-FR"/>
        </w:rPr>
        <w:t>110 ne permet pas d’utiliser le GNC lorsque le moteur est à l’arrêt, puisque la vanne automatique de la bouteille est alors fermée.</w:t>
      </w:r>
    </w:p>
    <w:p w:rsidR="00077AC9" w:rsidRDefault="006C1F18" w:rsidP="007311B0">
      <w:pPr>
        <w:pStyle w:val="SingleTxt"/>
        <w:numPr>
          <w:ilvl w:val="0"/>
          <w:numId w:val="8"/>
        </w:numPr>
        <w:tabs>
          <w:tab w:val="clear" w:pos="475"/>
          <w:tab w:val="num" w:pos="1742"/>
        </w:tabs>
        <w:ind w:left="1267"/>
        <w:rPr>
          <w:lang w:val="fr-FR"/>
        </w:rPr>
      </w:pPr>
      <w:r w:rsidRPr="006C1F18">
        <w:rPr>
          <w:lang w:val="fr-FR"/>
        </w:rPr>
        <w:t>Un amendement parallèle au Règlement ONU</w:t>
      </w:r>
      <w:r w:rsidR="007311B0">
        <w:rPr>
          <w:lang w:val="fr-FR"/>
        </w:rPr>
        <w:t xml:space="preserve"> n</w:t>
      </w:r>
      <w:r w:rsidR="007311B0" w:rsidRPr="007311B0">
        <w:rPr>
          <w:vertAlign w:val="superscript"/>
          <w:lang w:val="fr-FR"/>
        </w:rPr>
        <w:t>o</w:t>
      </w:r>
      <w:r w:rsidR="007311B0">
        <w:rPr>
          <w:lang w:val="fr-FR"/>
        </w:rPr>
        <w:t> </w:t>
      </w:r>
      <w:r w:rsidRPr="006C1F18">
        <w:rPr>
          <w:lang w:val="fr-FR"/>
        </w:rPr>
        <w:t>107 garantirait l’activation du système automatique d’extinction des incendies pendant le fonctionnement du dispositif de chauffage autonome au GNC.</w:t>
      </w:r>
    </w:p>
    <w:p w:rsidR="006C1F18" w:rsidRPr="006C1F18" w:rsidRDefault="006C1F18" w:rsidP="006C1F1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C1F18" w:rsidRPr="006C1F18" w:rsidSect="008236E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5:12:00Z" w:initials="Start">
    <w:p w:rsidR="008236E9" w:rsidRDefault="008236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NO&gt;&gt;N1515621F&lt;&lt;ODS JOB NO&gt;&gt;</w:t>
      </w:r>
    </w:p>
    <w:p w:rsidR="008236E9" w:rsidRDefault="008236E9">
      <w:pPr>
        <w:pStyle w:val="CommentText"/>
      </w:pPr>
      <w:r>
        <w:t>&lt;&lt;ODS DOC SYMBOL1&gt;&gt;ECE/TRANS/WP.29/GRSG/2015/36&lt;&lt;ODS DOC SYMBOL1&gt;&gt;</w:t>
      </w:r>
    </w:p>
    <w:p w:rsidR="008236E9" w:rsidRDefault="008236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18" w:rsidRDefault="00A52618" w:rsidP="00F3330B">
      <w:pPr>
        <w:spacing w:line="240" w:lineRule="auto"/>
      </w:pPr>
      <w:r>
        <w:separator/>
      </w:r>
    </w:p>
  </w:endnote>
  <w:endnote w:type="continuationSeparator" w:id="0">
    <w:p w:rsidR="00A52618" w:rsidRDefault="00A5261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236E9" w:rsidTr="008236E9">
      <w:trPr>
        <w:jc w:val="center"/>
      </w:trPr>
      <w:tc>
        <w:tcPr>
          <w:tcW w:w="5126" w:type="dxa"/>
          <w:shd w:val="clear" w:color="auto" w:fill="auto"/>
        </w:tcPr>
        <w:p w:rsidR="008236E9" w:rsidRPr="008236E9" w:rsidRDefault="008236E9" w:rsidP="008236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GE.15-11719</w:t>
          </w:r>
          <w:r>
            <w:rPr>
              <w:b w:val="0"/>
              <w:w w:val="103"/>
              <w:sz w:val="14"/>
            </w:rPr>
            <w:fldChar w:fldCharType="end"/>
          </w:r>
        </w:p>
      </w:tc>
      <w:tc>
        <w:tcPr>
          <w:tcW w:w="5127" w:type="dxa"/>
          <w:shd w:val="clear" w:color="auto" w:fill="auto"/>
        </w:tcPr>
        <w:p w:rsidR="008236E9" w:rsidRPr="008236E9" w:rsidRDefault="008236E9" w:rsidP="008236E9">
          <w:pPr>
            <w:pStyle w:val="Footer"/>
            <w:rPr>
              <w:w w:val="103"/>
            </w:rPr>
          </w:pPr>
          <w:r>
            <w:rPr>
              <w:w w:val="103"/>
            </w:rPr>
            <w:fldChar w:fldCharType="begin"/>
          </w:r>
          <w:r>
            <w:rPr>
              <w:w w:val="103"/>
            </w:rPr>
            <w:instrText xml:space="preserve"> PAGE  \* Arabic  \* MERGEFORMAT </w:instrText>
          </w:r>
          <w:r>
            <w:rPr>
              <w:w w:val="103"/>
            </w:rPr>
            <w:fldChar w:fldCharType="separate"/>
          </w:r>
          <w:r w:rsidR="00A6045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045A">
            <w:rPr>
              <w:noProof/>
              <w:w w:val="103"/>
            </w:rPr>
            <w:t>2</w:t>
          </w:r>
          <w:r>
            <w:rPr>
              <w:w w:val="103"/>
            </w:rPr>
            <w:fldChar w:fldCharType="end"/>
          </w:r>
        </w:p>
      </w:tc>
    </w:tr>
  </w:tbl>
  <w:p w:rsidR="008236E9" w:rsidRPr="008236E9" w:rsidRDefault="008236E9" w:rsidP="00823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236E9" w:rsidTr="008236E9">
      <w:trPr>
        <w:jc w:val="center"/>
      </w:trPr>
      <w:tc>
        <w:tcPr>
          <w:tcW w:w="5126" w:type="dxa"/>
          <w:shd w:val="clear" w:color="auto" w:fill="auto"/>
        </w:tcPr>
        <w:p w:rsidR="008236E9" w:rsidRPr="008236E9" w:rsidRDefault="008236E9" w:rsidP="008236E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A2BB4">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2BB4">
            <w:rPr>
              <w:noProof/>
              <w:w w:val="103"/>
            </w:rPr>
            <w:t>2</w:t>
          </w:r>
          <w:r>
            <w:rPr>
              <w:w w:val="103"/>
            </w:rPr>
            <w:fldChar w:fldCharType="end"/>
          </w:r>
        </w:p>
      </w:tc>
      <w:tc>
        <w:tcPr>
          <w:tcW w:w="5127" w:type="dxa"/>
          <w:shd w:val="clear" w:color="auto" w:fill="auto"/>
        </w:tcPr>
        <w:p w:rsidR="008236E9" w:rsidRPr="008236E9" w:rsidRDefault="008236E9" w:rsidP="008236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GE.15-11719</w:t>
          </w:r>
          <w:r>
            <w:rPr>
              <w:b w:val="0"/>
              <w:w w:val="103"/>
              <w:sz w:val="14"/>
            </w:rPr>
            <w:fldChar w:fldCharType="end"/>
          </w:r>
        </w:p>
      </w:tc>
    </w:tr>
  </w:tbl>
  <w:p w:rsidR="008236E9" w:rsidRPr="008236E9" w:rsidRDefault="008236E9" w:rsidP="00823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E9" w:rsidRDefault="008236E9">
    <w:pPr>
      <w:pStyle w:val="Footer"/>
    </w:pPr>
    <w:r>
      <w:rPr>
        <w:noProof/>
        <w:lang w:val="en-GB" w:eastAsia="en-GB"/>
      </w:rPr>
      <w:drawing>
        <wp:anchor distT="0" distB="0" distL="114300" distR="114300" simplePos="0" relativeHeight="251658240" behindDoc="0" locked="0" layoutInCell="1" allowOverlap="1" wp14:anchorId="368EDA00" wp14:editId="214E0FD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3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3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236E9" w:rsidTr="008236E9">
      <w:tc>
        <w:tcPr>
          <w:tcW w:w="3859" w:type="dxa"/>
        </w:tcPr>
        <w:p w:rsidR="008236E9" w:rsidRDefault="008236E9" w:rsidP="008236E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GE.15-11719 (F)</w:t>
          </w:r>
          <w:r>
            <w:rPr>
              <w:b w:val="0"/>
              <w:sz w:val="20"/>
            </w:rPr>
            <w:fldChar w:fldCharType="end"/>
          </w:r>
          <w:r>
            <w:rPr>
              <w:b w:val="0"/>
              <w:sz w:val="20"/>
            </w:rPr>
            <w:t xml:space="preserve">    280815    280815</w:t>
          </w:r>
        </w:p>
        <w:p w:rsidR="008236E9" w:rsidRPr="008236E9" w:rsidRDefault="008236E9" w:rsidP="008236E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*1511719*</w:t>
          </w:r>
          <w:r>
            <w:rPr>
              <w:rFonts w:ascii="Barcode 3 of 9 by request" w:hAnsi="Barcode 3 of 9 by request"/>
              <w:b w:val="0"/>
              <w:spacing w:val="0"/>
              <w:w w:val="100"/>
              <w:sz w:val="24"/>
            </w:rPr>
            <w:fldChar w:fldCharType="end"/>
          </w:r>
        </w:p>
      </w:tc>
      <w:tc>
        <w:tcPr>
          <w:tcW w:w="5127" w:type="dxa"/>
        </w:tcPr>
        <w:p w:rsidR="008236E9" w:rsidRDefault="008236E9" w:rsidP="008236E9">
          <w:pPr>
            <w:pStyle w:val="Footer"/>
            <w:spacing w:line="240" w:lineRule="atLeast"/>
            <w:jc w:val="right"/>
            <w:rPr>
              <w:b w:val="0"/>
              <w:sz w:val="20"/>
            </w:rPr>
          </w:pPr>
          <w:r>
            <w:rPr>
              <w:b w:val="0"/>
              <w:noProof/>
              <w:sz w:val="20"/>
              <w:lang w:val="en-GB" w:eastAsia="en-GB"/>
            </w:rPr>
            <w:drawing>
              <wp:inline distT="0" distB="0" distL="0" distR="0" wp14:anchorId="4AC161EC" wp14:editId="77D67FE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236E9" w:rsidRPr="008236E9" w:rsidRDefault="008236E9" w:rsidP="008236E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18" w:rsidRPr="00077AC9" w:rsidRDefault="00077AC9" w:rsidP="00077AC9">
      <w:pPr>
        <w:pStyle w:val="Footer"/>
        <w:spacing w:after="80"/>
        <w:ind w:left="792"/>
        <w:rPr>
          <w:sz w:val="16"/>
        </w:rPr>
      </w:pPr>
      <w:r w:rsidRPr="00077AC9">
        <w:rPr>
          <w:sz w:val="16"/>
        </w:rPr>
        <w:t>__________________</w:t>
      </w:r>
    </w:p>
  </w:footnote>
  <w:footnote w:type="continuationSeparator" w:id="0">
    <w:p w:rsidR="00A52618" w:rsidRPr="00077AC9" w:rsidRDefault="00077AC9" w:rsidP="00077AC9">
      <w:pPr>
        <w:pStyle w:val="Footer"/>
        <w:spacing w:after="80"/>
        <w:ind w:left="792"/>
        <w:rPr>
          <w:sz w:val="16"/>
        </w:rPr>
      </w:pPr>
      <w:r w:rsidRPr="00077AC9">
        <w:rPr>
          <w:sz w:val="16"/>
        </w:rPr>
        <w:t>__________________</w:t>
      </w:r>
    </w:p>
  </w:footnote>
  <w:footnote w:id="1">
    <w:p w:rsidR="00077AC9" w:rsidRPr="00077AC9" w:rsidRDefault="00077AC9" w:rsidP="00077AC9">
      <w:pPr>
        <w:pStyle w:val="FootnoteText"/>
        <w:tabs>
          <w:tab w:val="right" w:pos="1195"/>
          <w:tab w:val="left" w:pos="1267"/>
          <w:tab w:val="left" w:pos="1742"/>
          <w:tab w:val="left" w:pos="2218"/>
          <w:tab w:val="left" w:pos="2693"/>
        </w:tabs>
        <w:ind w:left="1267" w:right="1260" w:hanging="432"/>
        <w:rPr>
          <w:lang w:val="fr-CH"/>
        </w:rPr>
      </w:pPr>
      <w:r>
        <w:tab/>
      </w:r>
      <w:r w:rsidRPr="00077AC9">
        <w:rPr>
          <w:rStyle w:val="FootnoteReference"/>
          <w:color w:val="auto"/>
          <w:vertAlign w:val="baseline"/>
        </w:rPr>
        <w:t>*</w:t>
      </w:r>
      <w:r>
        <w:rPr>
          <w:lang w:val="fr-CH"/>
        </w:rPr>
        <w:tab/>
      </w:r>
      <w:r w:rsidRPr="005D3C2F">
        <w:rPr>
          <w:lang w:val="fr-FR"/>
        </w:rPr>
        <w:t>Conformément au programme de travail du Comité des transports intérieurs pour la période 2012-2016 (ECE/TRANS/224, par.</w:t>
      </w:r>
      <w:r w:rsidR="006C1F18">
        <w:rPr>
          <w:lang w:val="fr-FR"/>
        </w:rPr>
        <w:t> </w:t>
      </w:r>
      <w:r w:rsidR="00EB36D1">
        <w:rPr>
          <w:lang w:val="fr-FR"/>
        </w:rPr>
        <w:t xml:space="preserve">94 </w:t>
      </w:r>
      <w:r w:rsidRPr="005D3C2F">
        <w:rPr>
          <w:lang w:val="fr-FR"/>
        </w:rPr>
        <w:t>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236E9" w:rsidTr="008236E9">
      <w:trPr>
        <w:trHeight w:hRule="exact" w:val="864"/>
        <w:jc w:val="center"/>
      </w:trPr>
      <w:tc>
        <w:tcPr>
          <w:tcW w:w="4882" w:type="dxa"/>
          <w:shd w:val="clear" w:color="auto" w:fill="auto"/>
          <w:vAlign w:val="bottom"/>
        </w:tcPr>
        <w:p w:rsidR="008236E9" w:rsidRPr="008236E9" w:rsidRDefault="008236E9" w:rsidP="008236E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ECE/TRANS/WP.29/GRSG/2015/36</w:t>
          </w:r>
          <w:r>
            <w:rPr>
              <w:b/>
              <w:color w:val="000000"/>
            </w:rPr>
            <w:fldChar w:fldCharType="end"/>
          </w:r>
        </w:p>
      </w:tc>
      <w:tc>
        <w:tcPr>
          <w:tcW w:w="5127" w:type="dxa"/>
          <w:shd w:val="clear" w:color="auto" w:fill="auto"/>
          <w:vAlign w:val="bottom"/>
        </w:tcPr>
        <w:p w:rsidR="008236E9" w:rsidRDefault="008236E9" w:rsidP="008236E9">
          <w:pPr>
            <w:pStyle w:val="Header"/>
          </w:pPr>
        </w:p>
      </w:tc>
    </w:tr>
  </w:tbl>
  <w:p w:rsidR="008236E9" w:rsidRPr="008236E9" w:rsidRDefault="008236E9" w:rsidP="008236E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236E9" w:rsidTr="008236E9">
      <w:trPr>
        <w:trHeight w:hRule="exact" w:val="864"/>
        <w:jc w:val="center"/>
      </w:trPr>
      <w:tc>
        <w:tcPr>
          <w:tcW w:w="4882" w:type="dxa"/>
          <w:shd w:val="clear" w:color="auto" w:fill="auto"/>
          <w:vAlign w:val="bottom"/>
        </w:tcPr>
        <w:p w:rsidR="008236E9" w:rsidRDefault="008236E9" w:rsidP="008236E9">
          <w:pPr>
            <w:pStyle w:val="Header"/>
          </w:pPr>
        </w:p>
      </w:tc>
      <w:tc>
        <w:tcPr>
          <w:tcW w:w="5127" w:type="dxa"/>
          <w:shd w:val="clear" w:color="auto" w:fill="auto"/>
          <w:vAlign w:val="bottom"/>
        </w:tcPr>
        <w:p w:rsidR="008236E9" w:rsidRPr="008236E9" w:rsidRDefault="008236E9" w:rsidP="008236E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ECE/TRANS/WP.29/GRSG/2015/36</w:t>
          </w:r>
          <w:r>
            <w:rPr>
              <w:b/>
              <w:color w:val="000000"/>
            </w:rPr>
            <w:fldChar w:fldCharType="end"/>
          </w:r>
        </w:p>
      </w:tc>
    </w:tr>
  </w:tbl>
  <w:p w:rsidR="008236E9" w:rsidRPr="008236E9" w:rsidRDefault="008236E9" w:rsidP="008236E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236E9" w:rsidTr="008236E9">
      <w:trPr>
        <w:trHeight w:hRule="exact" w:val="864"/>
      </w:trPr>
      <w:tc>
        <w:tcPr>
          <w:tcW w:w="1267" w:type="dxa"/>
          <w:tcBorders>
            <w:bottom w:val="single" w:sz="4" w:space="0" w:color="auto"/>
          </w:tcBorders>
          <w:shd w:val="clear" w:color="auto" w:fill="auto"/>
          <w:vAlign w:val="bottom"/>
        </w:tcPr>
        <w:p w:rsidR="008236E9" w:rsidRDefault="008236E9" w:rsidP="008236E9">
          <w:pPr>
            <w:pStyle w:val="Header"/>
            <w:spacing w:after="120"/>
          </w:pPr>
        </w:p>
      </w:tc>
      <w:tc>
        <w:tcPr>
          <w:tcW w:w="2059" w:type="dxa"/>
          <w:tcBorders>
            <w:bottom w:val="single" w:sz="4" w:space="0" w:color="auto"/>
          </w:tcBorders>
          <w:shd w:val="clear" w:color="auto" w:fill="auto"/>
          <w:vAlign w:val="bottom"/>
        </w:tcPr>
        <w:p w:rsidR="008236E9" w:rsidRPr="008236E9" w:rsidRDefault="008236E9" w:rsidP="008236E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236E9" w:rsidRDefault="008236E9" w:rsidP="008236E9">
          <w:pPr>
            <w:pStyle w:val="Header"/>
            <w:spacing w:after="120"/>
          </w:pPr>
        </w:p>
      </w:tc>
      <w:tc>
        <w:tcPr>
          <w:tcW w:w="6653" w:type="dxa"/>
          <w:gridSpan w:val="4"/>
          <w:tcBorders>
            <w:bottom w:val="single" w:sz="4" w:space="0" w:color="auto"/>
          </w:tcBorders>
          <w:shd w:val="clear" w:color="auto" w:fill="auto"/>
          <w:vAlign w:val="bottom"/>
        </w:tcPr>
        <w:p w:rsidR="008236E9" w:rsidRPr="008236E9" w:rsidRDefault="008236E9" w:rsidP="008236E9">
          <w:pPr>
            <w:spacing w:after="80" w:line="240" w:lineRule="auto"/>
            <w:jc w:val="right"/>
            <w:rPr>
              <w:position w:val="-4"/>
            </w:rPr>
          </w:pPr>
          <w:r>
            <w:rPr>
              <w:position w:val="-4"/>
              <w:sz w:val="40"/>
            </w:rPr>
            <w:t>ECE</w:t>
          </w:r>
          <w:r>
            <w:rPr>
              <w:position w:val="-4"/>
            </w:rPr>
            <w:t>/TRANS/WP.29/GRSG/2015/36</w:t>
          </w:r>
        </w:p>
      </w:tc>
    </w:tr>
    <w:tr w:rsidR="008236E9" w:rsidRPr="008236E9" w:rsidTr="008236E9">
      <w:trPr>
        <w:gridAfter w:val="1"/>
        <w:wAfter w:w="18" w:type="dxa"/>
        <w:trHeight w:hRule="exact" w:val="2880"/>
      </w:trPr>
      <w:tc>
        <w:tcPr>
          <w:tcW w:w="1267" w:type="dxa"/>
          <w:tcBorders>
            <w:top w:val="single" w:sz="4" w:space="0" w:color="auto"/>
            <w:bottom w:val="single" w:sz="12" w:space="0" w:color="auto"/>
          </w:tcBorders>
          <w:shd w:val="clear" w:color="auto" w:fill="auto"/>
        </w:tcPr>
        <w:p w:rsidR="008236E9" w:rsidRPr="008236E9" w:rsidRDefault="008236E9" w:rsidP="008236E9">
          <w:pPr>
            <w:pStyle w:val="Header"/>
            <w:spacing w:before="120" w:line="240" w:lineRule="auto"/>
            <w:ind w:left="-72"/>
            <w:jc w:val="center"/>
          </w:pPr>
          <w:r>
            <w:rPr>
              <w:noProof/>
              <w:lang w:val="en-GB" w:eastAsia="en-GB"/>
            </w:rPr>
            <w:drawing>
              <wp:inline distT="0" distB="0" distL="0" distR="0" wp14:anchorId="7D4AE430" wp14:editId="3D21037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236E9" w:rsidRPr="008236E9" w:rsidRDefault="008236E9" w:rsidP="008236E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236E9" w:rsidRPr="008236E9" w:rsidRDefault="008236E9" w:rsidP="008236E9">
          <w:pPr>
            <w:pStyle w:val="Header"/>
            <w:spacing w:before="109"/>
          </w:pPr>
        </w:p>
      </w:tc>
      <w:tc>
        <w:tcPr>
          <w:tcW w:w="3280" w:type="dxa"/>
          <w:tcBorders>
            <w:top w:val="single" w:sz="4" w:space="0" w:color="auto"/>
            <w:bottom w:val="single" w:sz="12" w:space="0" w:color="auto"/>
          </w:tcBorders>
          <w:shd w:val="clear" w:color="auto" w:fill="auto"/>
        </w:tcPr>
        <w:p w:rsidR="008236E9" w:rsidRDefault="008236E9" w:rsidP="008236E9">
          <w:pPr>
            <w:pStyle w:val="Distribution"/>
            <w:rPr>
              <w:color w:val="000000"/>
            </w:rPr>
          </w:pPr>
          <w:r>
            <w:rPr>
              <w:color w:val="000000"/>
            </w:rPr>
            <w:t>Distr. générale</w:t>
          </w:r>
        </w:p>
        <w:p w:rsidR="008236E9" w:rsidRDefault="008236E9" w:rsidP="008236E9">
          <w:pPr>
            <w:pStyle w:val="Publication"/>
            <w:rPr>
              <w:color w:val="000000"/>
            </w:rPr>
          </w:pPr>
          <w:r>
            <w:rPr>
              <w:color w:val="000000"/>
            </w:rPr>
            <w:t>13 juillet 2015</w:t>
          </w:r>
        </w:p>
        <w:p w:rsidR="008236E9" w:rsidRDefault="008236E9" w:rsidP="008236E9">
          <w:pPr>
            <w:rPr>
              <w:lang w:val="en-US"/>
            </w:rPr>
          </w:pPr>
          <w:r>
            <w:rPr>
              <w:lang w:val="en-US"/>
            </w:rPr>
            <w:t>Français</w:t>
          </w:r>
        </w:p>
        <w:p w:rsidR="008236E9" w:rsidRPr="008236E9" w:rsidRDefault="008236E9" w:rsidP="008236E9">
          <w:pPr>
            <w:pStyle w:val="Original"/>
            <w:rPr>
              <w:color w:val="000000"/>
            </w:rPr>
          </w:pPr>
          <w:r>
            <w:rPr>
              <w:color w:val="000000"/>
            </w:rPr>
            <w:t>Original : anglais</w:t>
          </w:r>
        </w:p>
      </w:tc>
    </w:tr>
  </w:tbl>
  <w:p w:rsidR="008236E9" w:rsidRPr="008236E9" w:rsidRDefault="008236E9" w:rsidP="008236E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B963AF0"/>
    <w:multiLevelType w:val="singleLevel"/>
    <w:tmpl w:val="1D8A8F5C"/>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06EC6"/>
    <w:multiLevelType w:val="singleLevel"/>
    <w:tmpl w:val="1D8A8F5C"/>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A051C"/>
    <w:multiLevelType w:val="hybridMultilevel"/>
    <w:tmpl w:val="C226B30E"/>
    <w:lvl w:ilvl="0" w:tplc="D9843B7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719*"/>
    <w:docVar w:name="CreationDt" w:val="8/28/2015 3:11: PM"/>
    <w:docVar w:name="DocCategory" w:val="Doc"/>
    <w:docVar w:name="DocType" w:val="Final"/>
    <w:docVar w:name="DutyStation" w:val="Geneva"/>
    <w:docVar w:name="FooterJN" w:val="GE.15-11719"/>
    <w:docVar w:name="jobn" w:val="GE.15-11719 (F)"/>
    <w:docVar w:name="jobnDT" w:val="GE.15-11719 (F)   280815"/>
    <w:docVar w:name="jobnDTDT" w:val="GE.15-11719 (F)   280815   280815"/>
    <w:docVar w:name="JobNo" w:val="GE.1511719F"/>
    <w:docVar w:name="JobNo2" w:val="GE.1515621F"/>
    <w:docVar w:name="LocalDrive" w:val="0"/>
    <w:docVar w:name="OandT" w:val="M. Deschamps"/>
    <w:docVar w:name="PaperSize" w:val="A4"/>
    <w:docVar w:name="sss1" w:val="ECE/TRANS/WP.29/GRSG/2015/36"/>
    <w:docVar w:name="sss2" w:val="-"/>
    <w:docVar w:name="Symbol1" w:val="ECE/TRANS/WP.29/GRSG/2015/36"/>
    <w:docVar w:name="Symbol2" w:val="-"/>
  </w:docVars>
  <w:rsids>
    <w:rsidRoot w:val="00A52618"/>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AC9"/>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0A8"/>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274B"/>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36A73"/>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1F18"/>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11B0"/>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36E9"/>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4298"/>
    <w:rsid w:val="00A353ED"/>
    <w:rsid w:val="00A375D9"/>
    <w:rsid w:val="00A37FBB"/>
    <w:rsid w:val="00A4236C"/>
    <w:rsid w:val="00A43CAC"/>
    <w:rsid w:val="00A45E20"/>
    <w:rsid w:val="00A46DB8"/>
    <w:rsid w:val="00A52618"/>
    <w:rsid w:val="00A52DF2"/>
    <w:rsid w:val="00A54A5E"/>
    <w:rsid w:val="00A55810"/>
    <w:rsid w:val="00A56E3B"/>
    <w:rsid w:val="00A57C5A"/>
    <w:rsid w:val="00A604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5DED"/>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38A2"/>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BB4"/>
    <w:rsid w:val="00CA2D2A"/>
    <w:rsid w:val="00CA40E0"/>
    <w:rsid w:val="00CA4C49"/>
    <w:rsid w:val="00CA67AB"/>
    <w:rsid w:val="00CA789C"/>
    <w:rsid w:val="00CB016F"/>
    <w:rsid w:val="00CB0CBE"/>
    <w:rsid w:val="00CB1C6D"/>
    <w:rsid w:val="00CB2393"/>
    <w:rsid w:val="00CB5956"/>
    <w:rsid w:val="00CB60A9"/>
    <w:rsid w:val="00CB7726"/>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86DD8"/>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6D1"/>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2021"/>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236E9"/>
    <w:rPr>
      <w:sz w:val="16"/>
      <w:szCs w:val="16"/>
    </w:rPr>
  </w:style>
  <w:style w:type="paragraph" w:styleId="CommentText">
    <w:name w:val="annotation text"/>
    <w:basedOn w:val="Normal"/>
    <w:link w:val="CommentTextChar"/>
    <w:uiPriority w:val="99"/>
    <w:semiHidden/>
    <w:unhideWhenUsed/>
    <w:rsid w:val="008236E9"/>
    <w:pPr>
      <w:spacing w:line="240" w:lineRule="auto"/>
    </w:pPr>
    <w:rPr>
      <w:szCs w:val="20"/>
    </w:rPr>
  </w:style>
  <w:style w:type="character" w:customStyle="1" w:styleId="CommentTextChar">
    <w:name w:val="Comment Text Char"/>
    <w:basedOn w:val="DefaultParagraphFont"/>
    <w:link w:val="CommentText"/>
    <w:uiPriority w:val="99"/>
    <w:semiHidden/>
    <w:rsid w:val="008236E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236E9"/>
    <w:rPr>
      <w:b/>
      <w:bCs/>
    </w:rPr>
  </w:style>
  <w:style w:type="character" w:customStyle="1" w:styleId="CommentSubjectChar">
    <w:name w:val="Comment Subject Char"/>
    <w:basedOn w:val="CommentTextChar"/>
    <w:link w:val="CommentSubject"/>
    <w:uiPriority w:val="99"/>
    <w:semiHidden/>
    <w:rsid w:val="008236E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236E9"/>
    <w:rPr>
      <w:sz w:val="16"/>
      <w:szCs w:val="16"/>
    </w:rPr>
  </w:style>
  <w:style w:type="paragraph" w:styleId="CommentText">
    <w:name w:val="annotation text"/>
    <w:basedOn w:val="Normal"/>
    <w:link w:val="CommentTextChar"/>
    <w:uiPriority w:val="99"/>
    <w:semiHidden/>
    <w:unhideWhenUsed/>
    <w:rsid w:val="008236E9"/>
    <w:pPr>
      <w:spacing w:line="240" w:lineRule="auto"/>
    </w:pPr>
    <w:rPr>
      <w:szCs w:val="20"/>
    </w:rPr>
  </w:style>
  <w:style w:type="character" w:customStyle="1" w:styleId="CommentTextChar">
    <w:name w:val="Comment Text Char"/>
    <w:basedOn w:val="DefaultParagraphFont"/>
    <w:link w:val="CommentText"/>
    <w:uiPriority w:val="99"/>
    <w:semiHidden/>
    <w:rsid w:val="008236E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236E9"/>
    <w:rPr>
      <w:b/>
      <w:bCs/>
    </w:rPr>
  </w:style>
  <w:style w:type="character" w:customStyle="1" w:styleId="CommentSubjectChar">
    <w:name w:val="Comment Subject Char"/>
    <w:basedOn w:val="CommentTextChar"/>
    <w:link w:val="CommentSubject"/>
    <w:uiPriority w:val="99"/>
    <w:semiHidden/>
    <w:rsid w:val="008236E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3706-F076-44AB-B19E-D3FC3B66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dcterms:created xsi:type="dcterms:W3CDTF">2015-08-28T14:59:00Z</dcterms:created>
  <dcterms:modified xsi:type="dcterms:W3CDTF">2015-08-28T14:59:00Z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1511719F</vt:lpwstr>
  </property>
  <property fmtid="{D5CDD505-2E9C-101B-9397-08002B2CF9AE}" pid="3" name="ODSRefJobNo">
    <vt:lpwstr>1515621F</vt:lpwstr>
  </property>
  <property fmtid="{D5CDD505-2E9C-101B-9397-08002B2CF9AE}" pid="4" name="Symbol1">
    <vt:lpwstr>ECE/TRANS/WP.29/GRSG/2015/36</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13 juillet 2015</vt:lpwstr>
  </property>
  <property fmtid="{D5CDD505-2E9C-101B-9397-08002B2CF9AE}" pid="12" name="Original">
    <vt:lpwstr>anglais</vt:lpwstr>
  </property>
  <property fmtid="{D5CDD505-2E9C-101B-9397-08002B2CF9AE}" pid="13" name="Release Date">
    <vt:lpwstr>280815</vt:lpwstr>
  </property>
</Properties>
</file>