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A75B8" w:rsidP="00D859A2">
            <w:pPr>
              <w:jc w:val="right"/>
            </w:pPr>
            <w:r w:rsidRPr="00DA75B8">
              <w:rPr>
                <w:sz w:val="40"/>
              </w:rPr>
              <w:t>ECE</w:t>
            </w:r>
            <w:r>
              <w:t>/TRANS/WP.5/201</w:t>
            </w:r>
            <w:r w:rsidR="00FB52D8">
              <w:t>5</w:t>
            </w:r>
            <w:r>
              <w:t>/</w:t>
            </w:r>
            <w:r w:rsidR="00D859A2">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8A11D3"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A75B8" w:rsidP="00DA75B8">
            <w:pPr>
              <w:spacing w:before="240" w:line="240" w:lineRule="exact"/>
            </w:pPr>
            <w:r>
              <w:t>Distr.: General</w:t>
            </w:r>
          </w:p>
          <w:p w:rsidR="00DA75B8" w:rsidRDefault="00FB52D8" w:rsidP="00DA75B8">
            <w:pPr>
              <w:spacing w:line="240" w:lineRule="exact"/>
            </w:pPr>
            <w:r>
              <w:t>29</w:t>
            </w:r>
            <w:r w:rsidR="00DA75B8">
              <w:t xml:space="preserve"> June 201</w:t>
            </w:r>
            <w:r>
              <w:t>5</w:t>
            </w:r>
          </w:p>
          <w:p w:rsidR="00DA75B8" w:rsidRDefault="00DA75B8" w:rsidP="00DA75B8">
            <w:pPr>
              <w:spacing w:line="240" w:lineRule="exact"/>
            </w:pPr>
          </w:p>
          <w:p w:rsidR="00DA75B8" w:rsidRDefault="00DA75B8" w:rsidP="00DA75B8">
            <w:pPr>
              <w:spacing w:line="240" w:lineRule="exact"/>
            </w:pPr>
            <w:r>
              <w:t>Original: English</w:t>
            </w:r>
          </w:p>
        </w:tc>
      </w:tr>
    </w:tbl>
    <w:p w:rsidR="00DA75B8" w:rsidRPr="007D68EB" w:rsidRDefault="00DA75B8" w:rsidP="00DA75B8">
      <w:pPr>
        <w:spacing w:before="120"/>
        <w:rPr>
          <w:b/>
          <w:bCs/>
          <w:sz w:val="28"/>
          <w:szCs w:val="28"/>
        </w:rPr>
      </w:pPr>
      <w:r w:rsidRPr="007D68EB">
        <w:rPr>
          <w:b/>
          <w:bCs/>
          <w:sz w:val="28"/>
          <w:szCs w:val="28"/>
        </w:rPr>
        <w:t>Economic Commission for Europe</w:t>
      </w:r>
    </w:p>
    <w:p w:rsidR="00DA75B8" w:rsidRDefault="00DA75B8" w:rsidP="00DA75B8">
      <w:pPr>
        <w:spacing w:before="120"/>
        <w:rPr>
          <w:sz w:val="28"/>
          <w:szCs w:val="28"/>
        </w:rPr>
      </w:pPr>
      <w:r w:rsidRPr="007D68EB">
        <w:rPr>
          <w:sz w:val="28"/>
          <w:szCs w:val="28"/>
        </w:rPr>
        <w:t>Inland Transport Committee</w:t>
      </w:r>
    </w:p>
    <w:p w:rsidR="000A6CA4" w:rsidRPr="004A2945" w:rsidRDefault="000A6CA4" w:rsidP="000A6CA4">
      <w:pPr>
        <w:spacing w:before="120"/>
        <w:rPr>
          <w:b/>
          <w:sz w:val="24"/>
          <w:szCs w:val="24"/>
        </w:rPr>
      </w:pPr>
      <w:r w:rsidRPr="004A2945">
        <w:rPr>
          <w:b/>
          <w:sz w:val="24"/>
          <w:szCs w:val="24"/>
        </w:rPr>
        <w:t>Working Party on Transport Trends and Economics</w:t>
      </w:r>
    </w:p>
    <w:p w:rsidR="00DA75B8" w:rsidRDefault="00DA75B8" w:rsidP="00371AA8">
      <w:pPr>
        <w:spacing w:before="120"/>
        <w:rPr>
          <w:b/>
          <w:bCs/>
          <w:lang w:val="en-US"/>
        </w:rPr>
      </w:pPr>
      <w:bookmarkStart w:id="0" w:name="_GoBack"/>
      <w:bookmarkEnd w:id="0"/>
      <w:r w:rsidRPr="003E5540">
        <w:rPr>
          <w:b/>
          <w:bCs/>
          <w:lang w:val="en-US"/>
        </w:rPr>
        <w:t>Twenty-</w:t>
      </w:r>
      <w:r w:rsidR="00FB52D8">
        <w:rPr>
          <w:b/>
          <w:bCs/>
          <w:lang w:val="en-US"/>
        </w:rPr>
        <w:t>eighth</w:t>
      </w:r>
      <w:r w:rsidRPr="003E5540">
        <w:rPr>
          <w:b/>
          <w:bCs/>
          <w:lang w:val="en-US"/>
        </w:rPr>
        <w:t xml:space="preserve"> session</w:t>
      </w:r>
    </w:p>
    <w:p w:rsidR="00DA75B8" w:rsidRDefault="00DA75B8" w:rsidP="00DA75B8">
      <w:r w:rsidRPr="0094298A">
        <w:t xml:space="preserve">Geneva, </w:t>
      </w:r>
      <w:r w:rsidR="00FB52D8">
        <w:t>7</w:t>
      </w:r>
      <w:r w:rsidRPr="0094298A">
        <w:t>–</w:t>
      </w:r>
      <w:r w:rsidR="00FB52D8">
        <w:t>9</w:t>
      </w:r>
      <w:r>
        <w:t xml:space="preserve"> September</w:t>
      </w:r>
      <w:r w:rsidRPr="0094298A">
        <w:t xml:space="preserve"> 201</w:t>
      </w:r>
      <w:r w:rsidR="00FB52D8">
        <w:t>5</w:t>
      </w:r>
      <w:r>
        <w:t xml:space="preserve"> </w:t>
      </w:r>
    </w:p>
    <w:p w:rsidR="00DA75B8" w:rsidRDefault="00DA75B8" w:rsidP="00DA75B8">
      <w:r w:rsidRPr="003E5540">
        <w:t xml:space="preserve">Item </w:t>
      </w:r>
      <w:r w:rsidR="00D859A2">
        <w:t>8</w:t>
      </w:r>
      <w:r w:rsidRPr="003E5540">
        <w:t xml:space="preserve"> of the provisional agenda</w:t>
      </w:r>
    </w:p>
    <w:p w:rsidR="00DA75B8" w:rsidRDefault="00D859A2" w:rsidP="00DA75B8">
      <w:pPr>
        <w:rPr>
          <w:b/>
          <w:bCs/>
        </w:rPr>
      </w:pPr>
      <w:r w:rsidRPr="00D859A2">
        <w:rPr>
          <w:b/>
          <w:bCs/>
        </w:rPr>
        <w:t xml:space="preserve">Group of experts on benchmarking </w:t>
      </w:r>
      <w:r w:rsidR="00371AA8">
        <w:rPr>
          <w:b/>
          <w:bCs/>
        </w:rPr>
        <w:br/>
      </w:r>
      <w:r w:rsidRPr="00D859A2">
        <w:rPr>
          <w:b/>
          <w:bCs/>
        </w:rPr>
        <w:t xml:space="preserve">transport infrastructure construction costs </w:t>
      </w:r>
    </w:p>
    <w:p w:rsidR="00DA75B8" w:rsidRPr="00371AA8" w:rsidRDefault="00DA75B8" w:rsidP="00371AA8">
      <w:pPr>
        <w:pStyle w:val="HChG"/>
      </w:pPr>
      <w:r w:rsidRPr="00371AA8">
        <w:tab/>
      </w:r>
      <w:r w:rsidRPr="00371AA8">
        <w:tab/>
      </w:r>
      <w:r w:rsidR="00D859A2" w:rsidRPr="00371AA8">
        <w:t>Group of experts on benchmarking transport in</w:t>
      </w:r>
      <w:r w:rsidR="00EB7983">
        <w:t>frastructure construction costs</w:t>
      </w:r>
      <w:r w:rsidR="00EB7983" w:rsidRPr="00EB7983">
        <w:rPr>
          <w:rStyle w:val="FootnoteReference"/>
          <w:sz w:val="20"/>
          <w:vertAlign w:val="baseline"/>
        </w:rPr>
        <w:footnoteReference w:customMarkFollows="1" w:id="2"/>
        <w:t>*</w:t>
      </w:r>
    </w:p>
    <w:p w:rsidR="00DA75B8" w:rsidRPr="00DA75B8" w:rsidRDefault="00DA75B8" w:rsidP="00DA75B8">
      <w:pPr>
        <w:pStyle w:val="H1G"/>
      </w:pPr>
      <w:r>
        <w:tab/>
      </w:r>
      <w:r>
        <w:tab/>
      </w:r>
      <w:r w:rsidRPr="00DA75B8">
        <w:t xml:space="preserve">Submitted by the </w:t>
      </w:r>
      <w:r w:rsidR="00D859A2">
        <w:t>Secretariat</w:t>
      </w:r>
    </w:p>
    <w:p w:rsidR="004D760B" w:rsidRPr="00BD734F" w:rsidRDefault="00F50DB6" w:rsidP="004D760B">
      <w:pPr>
        <w:pStyle w:val="HChG"/>
      </w:pPr>
      <w:r>
        <w:rPr>
          <w:lang w:eastAsia="en-GB"/>
        </w:rPr>
        <w:tab/>
      </w:r>
      <w:r w:rsidR="004D760B" w:rsidRPr="00BD734F">
        <w:t>I.</w:t>
      </w:r>
      <w:r w:rsidR="004D760B" w:rsidRPr="00BD734F">
        <w:tab/>
        <w:t>Terms of Reference</w:t>
      </w:r>
    </w:p>
    <w:p w:rsidR="004D760B" w:rsidRPr="00BD734F" w:rsidRDefault="004D760B" w:rsidP="004D760B">
      <w:pPr>
        <w:pStyle w:val="H1G"/>
      </w:pPr>
      <w:r w:rsidRPr="00BD734F">
        <w:tab/>
        <w:t>A.</w:t>
      </w:r>
      <w:r w:rsidRPr="00BD734F">
        <w:tab/>
        <w:t>Scope of issues and achievements expected</w:t>
      </w:r>
    </w:p>
    <w:p w:rsidR="004D760B" w:rsidRDefault="004D760B" w:rsidP="005073DE">
      <w:pPr>
        <w:pStyle w:val="SingleTxtG"/>
        <w:rPr>
          <w:lang w:val="en-US" w:bidi="th-TH"/>
        </w:rPr>
      </w:pPr>
      <w:r>
        <w:rPr>
          <w:lang w:val="en-US" w:bidi="th-TH"/>
        </w:rPr>
        <w:t>1.</w:t>
      </w:r>
      <w:r w:rsidRPr="00E643F6">
        <w:rPr>
          <w:lang w:val="en-US" w:bidi="th-TH"/>
        </w:rPr>
        <w:tab/>
      </w:r>
      <w:r>
        <w:rPr>
          <w:lang w:val="en-US" w:bidi="th-TH"/>
        </w:rPr>
        <w:t xml:space="preserve">In line with the </w:t>
      </w:r>
      <w:r w:rsidR="005073DE">
        <w:rPr>
          <w:lang w:val="en-US" w:bidi="th-TH"/>
        </w:rPr>
        <w:t xml:space="preserve">conclusions and </w:t>
      </w:r>
      <w:r>
        <w:rPr>
          <w:lang w:val="en-US" w:bidi="th-TH"/>
        </w:rPr>
        <w:t xml:space="preserve">recommendations of the </w:t>
      </w:r>
      <w:r w:rsidR="005073DE">
        <w:rPr>
          <w:lang w:val="en-US" w:bidi="th-TH"/>
        </w:rPr>
        <w:t xml:space="preserve">workshop on </w:t>
      </w:r>
      <w:r w:rsidR="005073DE" w:rsidRPr="005073DE">
        <w:rPr>
          <w:lang w:val="en-US" w:bidi="th-TH"/>
        </w:rPr>
        <w:t>Good practices and new tools for Financing Transport Infrastructure</w:t>
      </w:r>
      <w:r w:rsidR="005073DE">
        <w:rPr>
          <w:lang w:val="en-US" w:bidi="th-TH"/>
        </w:rPr>
        <w:t xml:space="preserve"> organized during the last session of the working party</w:t>
      </w:r>
      <w:r>
        <w:rPr>
          <w:lang w:val="en-US" w:bidi="th-TH"/>
        </w:rPr>
        <w:t>, the</w:t>
      </w:r>
      <w:r w:rsidRPr="00E643F6">
        <w:rPr>
          <w:lang w:val="en-US" w:bidi="th-TH"/>
        </w:rPr>
        <w:t xml:space="preserve"> Group of Experts will </w:t>
      </w:r>
      <w:r>
        <w:rPr>
          <w:lang w:val="en-US" w:bidi="th-TH"/>
        </w:rPr>
        <w:t>focus its work on the following issues:</w:t>
      </w:r>
    </w:p>
    <w:p w:rsidR="005073DE" w:rsidRPr="00371AA8" w:rsidRDefault="005073DE" w:rsidP="00371AA8">
      <w:pPr>
        <w:pStyle w:val="SingleTxtG"/>
        <w:ind w:firstLine="567"/>
      </w:pPr>
      <w:r w:rsidRPr="00371AA8">
        <w:t>(a)</w:t>
      </w:r>
      <w:r w:rsidRPr="00371AA8">
        <w:tab/>
        <w:t>Identify models, methodologies, tools and good practices for evaluating</w:t>
      </w:r>
      <w:r w:rsidR="001C369B" w:rsidRPr="00371AA8">
        <w:t xml:space="preserve">, calculating and </w:t>
      </w:r>
      <w:proofErr w:type="spellStart"/>
      <w:r w:rsidR="001C369B" w:rsidRPr="00371AA8">
        <w:t>analyzing</w:t>
      </w:r>
      <w:proofErr w:type="spellEnd"/>
      <w:r w:rsidRPr="00371AA8">
        <w:t xml:space="preserve"> </w:t>
      </w:r>
      <w:r w:rsidR="001C369B" w:rsidRPr="00371AA8">
        <w:t xml:space="preserve">inland </w:t>
      </w:r>
      <w:r w:rsidRPr="00371AA8">
        <w:t xml:space="preserve">transport infrastructure construction costs; </w:t>
      </w:r>
    </w:p>
    <w:p w:rsidR="005073DE" w:rsidRPr="00371AA8" w:rsidRDefault="005073DE" w:rsidP="00371AA8">
      <w:pPr>
        <w:pStyle w:val="SingleTxtG"/>
        <w:ind w:firstLine="567"/>
      </w:pPr>
      <w:r w:rsidRPr="00371AA8">
        <w:t>(b)</w:t>
      </w:r>
      <w:r w:rsidRPr="00371AA8">
        <w:tab/>
        <w:t xml:space="preserve">Identify and list terminologies used in </w:t>
      </w:r>
      <w:r w:rsidR="00285050">
        <w:t>the United Nations Economic Commission for Europe (UN</w:t>
      </w:r>
      <w:r w:rsidRPr="00371AA8">
        <w:t>ECE</w:t>
      </w:r>
      <w:r w:rsidR="00285050">
        <w:t>)</w:t>
      </w:r>
      <w:r w:rsidRPr="00371AA8">
        <w:t xml:space="preserve"> region for construction costs of inland transport infrastructure; if possible, create a glossary of agreed terminologies and  related explanations; </w:t>
      </w:r>
    </w:p>
    <w:p w:rsidR="005073DE" w:rsidRDefault="005073DE" w:rsidP="00371AA8">
      <w:pPr>
        <w:pStyle w:val="SingleTxtG"/>
        <w:ind w:firstLine="567"/>
        <w:rPr>
          <w:lang w:val="en-US" w:bidi="th-TH"/>
        </w:rPr>
      </w:pPr>
      <w:r w:rsidRPr="00371AA8">
        <w:t>(c)</w:t>
      </w:r>
      <w:r w:rsidRPr="00371AA8">
        <w:tab/>
        <w:t xml:space="preserve">Collect and </w:t>
      </w:r>
      <w:proofErr w:type="spellStart"/>
      <w:r w:rsidR="001C369B" w:rsidRPr="00371AA8">
        <w:t>analyze</w:t>
      </w:r>
      <w:proofErr w:type="spellEnd"/>
      <w:r w:rsidRPr="00371AA8">
        <w:t xml:space="preserve"> data in order to prepare a benchmarking of transport infrastructure construction costs along the ECE region</w:t>
      </w:r>
      <w:r w:rsidR="001C369B" w:rsidRPr="00371AA8">
        <w:t xml:space="preserve"> for each inland transport mode – road, rail, inland waterways – including intermodal terminals, freight/logistics </w:t>
      </w:r>
      <w:proofErr w:type="spellStart"/>
      <w:r w:rsidR="001C369B" w:rsidRPr="00371AA8">
        <w:t>centers</w:t>
      </w:r>
      <w:proofErr w:type="spellEnd"/>
      <w:r w:rsidR="001C369B" w:rsidRPr="00371AA8">
        <w:t xml:space="preserve"> and </w:t>
      </w:r>
      <w:r w:rsidR="001C369B" w:rsidRPr="00371AA8">
        <w:lastRenderedPageBreak/>
        <w:t>ports</w:t>
      </w:r>
      <w:r w:rsidRPr="00371AA8">
        <w:t>;</w:t>
      </w:r>
      <w:r w:rsidR="00002A4C" w:rsidRPr="00371AA8">
        <w:t xml:space="preserve"> </w:t>
      </w:r>
      <w:proofErr w:type="spellStart"/>
      <w:r w:rsidR="00002A4C" w:rsidRPr="00371AA8">
        <w:t>Analyze</w:t>
      </w:r>
      <w:proofErr w:type="spellEnd"/>
      <w:r w:rsidR="00002A4C" w:rsidRPr="00371AA8">
        <w:t xml:space="preserve"> and describe the conditions / parameters under which these costs have been calculated </w:t>
      </w:r>
      <w:r w:rsidR="00D22080" w:rsidRPr="00371AA8">
        <w:t>on</w:t>
      </w:r>
      <w:r w:rsidR="00002A4C" w:rsidRPr="00371AA8">
        <w:t xml:space="preserve">; </w:t>
      </w:r>
    </w:p>
    <w:p w:rsidR="00002A4C" w:rsidRPr="00371AA8" w:rsidRDefault="004D760B" w:rsidP="00371AA8">
      <w:pPr>
        <w:pStyle w:val="SingleTxtG"/>
      </w:pPr>
      <w:r w:rsidRPr="00371AA8">
        <w:t>2.</w:t>
      </w:r>
      <w:r w:rsidRPr="00371AA8">
        <w:tab/>
        <w:t xml:space="preserve">The Group of Experts should base its considerations on previous work of UNECE in this field, in particular the work </w:t>
      </w:r>
      <w:r w:rsidR="00371AA8">
        <w:t>on:</w:t>
      </w:r>
    </w:p>
    <w:p w:rsidR="004D760B" w:rsidRPr="00371AA8" w:rsidRDefault="00371AA8" w:rsidP="00371AA8">
      <w:pPr>
        <w:pStyle w:val="SingleTxtG"/>
        <w:ind w:firstLine="567"/>
      </w:pPr>
      <w:r>
        <w:t>(a)</w:t>
      </w:r>
      <w:r>
        <w:tab/>
      </w:r>
      <w:r w:rsidR="00002A4C" w:rsidRPr="00371AA8">
        <w:t>Cost benefit analysis of transport infrastructure projects, 2003</w:t>
      </w:r>
      <w:r>
        <w:rPr>
          <w:rStyle w:val="FootnoteReference"/>
        </w:rPr>
        <w:footnoteReference w:id="3"/>
      </w:r>
      <w:r w:rsidR="00002A4C" w:rsidRPr="00371AA8">
        <w:t>;</w:t>
      </w:r>
    </w:p>
    <w:p w:rsidR="00002A4C" w:rsidRPr="00371AA8" w:rsidRDefault="00371AA8" w:rsidP="00371AA8">
      <w:pPr>
        <w:pStyle w:val="SingleTxtG"/>
        <w:ind w:firstLine="567"/>
      </w:pPr>
      <w:r>
        <w:t>(b)</w:t>
      </w:r>
      <w:r>
        <w:tab/>
      </w:r>
      <w:r w:rsidR="00002A4C" w:rsidRPr="00371AA8">
        <w:t>A methodological basis for the definition of common criteria regarding the identification of bottlenecks, missing links and quality of service in infrastructure networks, 2009</w:t>
      </w:r>
      <w:r w:rsidR="001C52D7">
        <w:rPr>
          <w:rStyle w:val="FootnoteReference"/>
        </w:rPr>
        <w:footnoteReference w:id="4"/>
      </w:r>
      <w:r w:rsidR="001C52D7">
        <w:t>;</w:t>
      </w:r>
    </w:p>
    <w:p w:rsidR="00002A4C" w:rsidRPr="00371AA8" w:rsidRDefault="00371AA8" w:rsidP="00371AA8">
      <w:pPr>
        <w:pStyle w:val="SingleTxtG"/>
        <w:ind w:firstLine="567"/>
      </w:pPr>
      <w:r>
        <w:t>(c)</w:t>
      </w:r>
      <w:r>
        <w:tab/>
      </w:r>
      <w:r w:rsidR="00002A4C" w:rsidRPr="00371AA8">
        <w:t>The</w:t>
      </w:r>
      <w:r w:rsidR="00A42D1C" w:rsidRPr="00371AA8">
        <w:t xml:space="preserve"> </w:t>
      </w:r>
      <w:r w:rsidR="00002A4C" w:rsidRPr="00371AA8">
        <w:t>Trans-European North-South Motorway (TEM) Project standards and Recommended Practice, 2002</w:t>
      </w:r>
      <w:r w:rsidR="001C52D7">
        <w:rPr>
          <w:rStyle w:val="FootnoteReference"/>
        </w:rPr>
        <w:footnoteReference w:id="5"/>
      </w:r>
      <w:r w:rsidR="001C52D7">
        <w:t>;</w:t>
      </w:r>
    </w:p>
    <w:p w:rsidR="00A42D1C" w:rsidRPr="00371AA8" w:rsidRDefault="00371AA8" w:rsidP="00371AA8">
      <w:pPr>
        <w:pStyle w:val="SingleTxtG"/>
        <w:ind w:firstLine="567"/>
      </w:pPr>
      <w:r>
        <w:t>(d)</w:t>
      </w:r>
      <w:r>
        <w:tab/>
      </w:r>
      <w:r w:rsidR="00A42D1C" w:rsidRPr="00371AA8">
        <w:t xml:space="preserve">The TEM and </w:t>
      </w:r>
      <w:proofErr w:type="spellStart"/>
      <w:r w:rsidR="00A42D1C" w:rsidRPr="00371AA8">
        <w:t>TER</w:t>
      </w:r>
      <w:proofErr w:type="spellEnd"/>
      <w:r w:rsidR="00A42D1C" w:rsidRPr="00371AA8">
        <w:t xml:space="preserve"> revised Master Plan </w:t>
      </w:r>
      <w:r w:rsidR="001C52D7">
        <w:t>–</w:t>
      </w:r>
      <w:r w:rsidR="00A42D1C" w:rsidRPr="00371AA8">
        <w:t xml:space="preserve"> Final Report</w:t>
      </w:r>
      <w:r w:rsidR="001A14C6" w:rsidRPr="00371AA8">
        <w:t>, 2012</w:t>
      </w:r>
      <w:r w:rsidR="001C52D7">
        <w:rPr>
          <w:rStyle w:val="FootnoteReference"/>
        </w:rPr>
        <w:footnoteReference w:id="6"/>
      </w:r>
      <w:r w:rsidR="001A14C6" w:rsidRPr="00371AA8">
        <w:t xml:space="preserve">; </w:t>
      </w:r>
    </w:p>
    <w:p w:rsidR="001A14C6" w:rsidRPr="00371AA8" w:rsidRDefault="00371AA8" w:rsidP="00371AA8">
      <w:pPr>
        <w:pStyle w:val="SingleTxtG"/>
        <w:ind w:firstLine="567"/>
      </w:pPr>
      <w:r>
        <w:t>(e)</w:t>
      </w:r>
      <w:r>
        <w:tab/>
      </w:r>
      <w:r w:rsidR="001A14C6" w:rsidRPr="00371AA8">
        <w:t>The Euro Asian Transport Linkages Project studies, 2008</w:t>
      </w:r>
      <w:r w:rsidR="001C52D7">
        <w:rPr>
          <w:rStyle w:val="FootnoteReference"/>
        </w:rPr>
        <w:footnoteReference w:id="7"/>
      </w:r>
      <w:r w:rsidR="001A14C6" w:rsidRPr="00371AA8">
        <w:t>/2012</w:t>
      </w:r>
      <w:r w:rsidR="001C52D7">
        <w:rPr>
          <w:rStyle w:val="FootnoteReference"/>
        </w:rPr>
        <w:footnoteReference w:id="8"/>
      </w:r>
    </w:p>
    <w:p w:rsidR="004D760B" w:rsidRPr="00E643F6" w:rsidRDefault="004D760B" w:rsidP="004D760B">
      <w:pPr>
        <w:pStyle w:val="H1G"/>
        <w:rPr>
          <w:lang w:val="en-US" w:bidi="th-TH"/>
        </w:rPr>
      </w:pPr>
      <w:r w:rsidRPr="00E643F6">
        <w:rPr>
          <w:lang w:val="en-US" w:bidi="th-TH"/>
        </w:rPr>
        <w:tab/>
        <w:t>B.</w:t>
      </w:r>
      <w:r w:rsidRPr="00E643F6">
        <w:rPr>
          <w:lang w:val="en-US" w:bidi="th-TH"/>
        </w:rPr>
        <w:tab/>
        <w:t>Methods of work</w:t>
      </w:r>
    </w:p>
    <w:p w:rsidR="004D760B" w:rsidRPr="001C52D7" w:rsidRDefault="004D760B" w:rsidP="001C52D7">
      <w:pPr>
        <w:pStyle w:val="SingleTxtG"/>
      </w:pPr>
      <w:r w:rsidRPr="001C52D7">
        <w:t>3.</w:t>
      </w:r>
      <w:r w:rsidRPr="001C52D7">
        <w:tab/>
        <w:t>The Group of Experts will be established and function in accordance with the UNECE Guidelines for teams of specialists approved by the Executive Committee of UNECE on 31 March 2010 (ECE/EX/2/</w:t>
      </w:r>
      <w:proofErr w:type="spellStart"/>
      <w:r w:rsidRPr="001C52D7">
        <w:t>Rev.1</w:t>
      </w:r>
      <w:proofErr w:type="spellEnd"/>
      <w:r w:rsidRPr="001C52D7">
        <w:t xml:space="preserve">). At its first meeting, the Group of Experts will adopt a work plan, clearly defining its objectives and activities, including a time schedule for their implementation. </w:t>
      </w:r>
    </w:p>
    <w:p w:rsidR="004D760B" w:rsidRPr="001C52D7" w:rsidRDefault="004D760B" w:rsidP="001C52D7">
      <w:pPr>
        <w:pStyle w:val="SingleTxtG"/>
      </w:pPr>
      <w:r w:rsidRPr="001C52D7">
        <w:t>4.</w:t>
      </w:r>
      <w:r w:rsidRPr="001C52D7">
        <w:tab/>
        <w:t>The Group of Experts is expected to meet twice in 201</w:t>
      </w:r>
      <w:r w:rsidR="00D22080" w:rsidRPr="001C52D7">
        <w:t>6</w:t>
      </w:r>
      <w:r w:rsidRPr="001C52D7">
        <w:t>, at least twice in 201</w:t>
      </w:r>
      <w:r w:rsidR="00D22080" w:rsidRPr="001C52D7">
        <w:t>7</w:t>
      </w:r>
      <w:r w:rsidRPr="001C52D7">
        <w:t xml:space="preserve"> and at least once in 201</w:t>
      </w:r>
      <w:r w:rsidR="00D22080" w:rsidRPr="001C52D7">
        <w:t>8</w:t>
      </w:r>
      <w:r w:rsidRPr="001C52D7">
        <w:t xml:space="preserve"> at the </w:t>
      </w:r>
      <w:proofErr w:type="spellStart"/>
      <w:r w:rsidRPr="001C52D7">
        <w:t>Palais</w:t>
      </w:r>
      <w:proofErr w:type="spellEnd"/>
      <w:r w:rsidRPr="001C52D7">
        <w:t xml:space="preserve"> des Nations in Geneva, before concluding its activities with the transmission of a report to the Working Party on Transport Trends and Economics at its thirt</w:t>
      </w:r>
      <w:r w:rsidR="00D22080" w:rsidRPr="001C52D7">
        <w:t>y first</w:t>
      </w:r>
      <w:r w:rsidRPr="001C52D7">
        <w:t xml:space="preserve"> session (September 201</w:t>
      </w:r>
      <w:r w:rsidR="00D22080" w:rsidRPr="001C52D7">
        <w:t>8</w:t>
      </w:r>
      <w:r w:rsidRPr="001C52D7">
        <w:t xml:space="preserve">, Geneva). This report shall also contain proposals for monitoring procedures and follow-up activities. </w:t>
      </w:r>
    </w:p>
    <w:p w:rsidR="004D760B" w:rsidRPr="001C52D7" w:rsidRDefault="004D760B" w:rsidP="001C52D7">
      <w:pPr>
        <w:pStyle w:val="SingleTxtG"/>
      </w:pPr>
      <w:r w:rsidRPr="001C52D7">
        <w:t>5.</w:t>
      </w:r>
      <w:r w:rsidRPr="001C52D7">
        <w:tab/>
        <w:t>Translation of documents and simultaneous interpretation of its sessions in English, French, and Russian shall be provided by UNECE for</w:t>
      </w:r>
      <w:r w:rsidR="00D22080" w:rsidRPr="001C52D7">
        <w:t xml:space="preserve"> all </w:t>
      </w:r>
      <w:r w:rsidRPr="001C52D7">
        <w:t xml:space="preserve">sessions held at the </w:t>
      </w:r>
      <w:proofErr w:type="spellStart"/>
      <w:r w:rsidRPr="001C52D7">
        <w:t>Palais</w:t>
      </w:r>
      <w:proofErr w:type="spellEnd"/>
      <w:r w:rsidRPr="001C52D7">
        <w:t xml:space="preserve"> des Nations in Geneva.</w:t>
      </w:r>
    </w:p>
    <w:p w:rsidR="004D760B" w:rsidRPr="001C52D7" w:rsidRDefault="004D760B" w:rsidP="001C52D7">
      <w:pPr>
        <w:pStyle w:val="SingleTxtG"/>
      </w:pPr>
      <w:r w:rsidRPr="001C52D7">
        <w:t>6.</w:t>
      </w:r>
      <w:r w:rsidRPr="001C52D7">
        <w:tab/>
        <w:t xml:space="preserve">Participation in the Group of Experts is open to all concerned United Nations member countries and experts. Concerned intergovernmental and non-governmental organizations, as well as concerned </w:t>
      </w:r>
      <w:r w:rsidR="00D22080" w:rsidRPr="001C52D7">
        <w:t xml:space="preserve">road, </w:t>
      </w:r>
      <w:r w:rsidRPr="001C52D7">
        <w:t>railway</w:t>
      </w:r>
      <w:r w:rsidR="00D22080" w:rsidRPr="001C52D7">
        <w:t xml:space="preserve"> and inland waterways administration authorities and </w:t>
      </w:r>
      <w:r w:rsidRPr="001C52D7">
        <w:t>companies, freight and forwarding industries</w:t>
      </w:r>
      <w:r w:rsidR="00D22080" w:rsidRPr="001C52D7">
        <w:t>, intermodal terminals, freight and logistics centres as well as ports authorities</w:t>
      </w:r>
      <w:r w:rsidRPr="001C52D7">
        <w:t xml:space="preserve"> are invited to participate and provide expert advice in compliance with United Nations rules and practices.</w:t>
      </w:r>
    </w:p>
    <w:p w:rsidR="004D760B" w:rsidRPr="00E643F6" w:rsidRDefault="004D760B" w:rsidP="001C52D7">
      <w:pPr>
        <w:pStyle w:val="H1G"/>
        <w:spacing w:before="240"/>
        <w:rPr>
          <w:lang w:val="en-US" w:bidi="th-TH"/>
        </w:rPr>
      </w:pPr>
      <w:r w:rsidRPr="00E643F6">
        <w:rPr>
          <w:lang w:val="en-US" w:bidi="th-TH"/>
        </w:rPr>
        <w:tab/>
        <w:t>C.</w:t>
      </w:r>
      <w:r w:rsidRPr="00E643F6">
        <w:rPr>
          <w:lang w:val="en-US" w:bidi="th-TH"/>
        </w:rPr>
        <w:tab/>
        <w:t>Secretariat</w:t>
      </w:r>
    </w:p>
    <w:p w:rsidR="004D760B" w:rsidRPr="001C52D7" w:rsidRDefault="004D760B" w:rsidP="001C52D7">
      <w:pPr>
        <w:pStyle w:val="SingleTxtG"/>
        <w:spacing w:after="0"/>
      </w:pPr>
      <w:r w:rsidRPr="001C52D7">
        <w:t>7.</w:t>
      </w:r>
      <w:r w:rsidRPr="001C52D7">
        <w:tab/>
        <w:t xml:space="preserve">UNECE will provide secretariat services for the Group of Experts and shall ensure close cooperation with all stakeholders, including </w:t>
      </w:r>
      <w:r w:rsidR="00D22080" w:rsidRPr="001C52D7">
        <w:t xml:space="preserve">the regional commissions of the United </w:t>
      </w:r>
      <w:r w:rsidR="00D22080" w:rsidRPr="001C52D7">
        <w:lastRenderedPageBreak/>
        <w:t xml:space="preserve">Nations, </w:t>
      </w:r>
      <w:r w:rsidRPr="001C52D7">
        <w:t>the European Commission, and other relevant Intergovernmental and non-governmental organizations.</w:t>
      </w:r>
    </w:p>
    <w:p w:rsidR="00721F3B" w:rsidRPr="004D760B" w:rsidRDefault="001C52D7" w:rsidP="001C52D7">
      <w:pPr>
        <w:pStyle w:val="SingleTxtG"/>
        <w:spacing w:after="0"/>
        <w:jc w:val="center"/>
        <w:rPr>
          <w:u w:val="single"/>
          <w:lang w:val="en-US"/>
        </w:rPr>
      </w:pPr>
      <w:r>
        <w:rPr>
          <w:u w:val="single"/>
          <w:lang w:val="en-US"/>
        </w:rPr>
        <w:tab/>
      </w:r>
      <w:r>
        <w:rPr>
          <w:u w:val="single"/>
          <w:lang w:val="en-US"/>
        </w:rPr>
        <w:tab/>
      </w:r>
      <w:r>
        <w:rPr>
          <w:u w:val="single"/>
          <w:lang w:val="en-US"/>
        </w:rPr>
        <w:tab/>
      </w:r>
    </w:p>
    <w:sectPr w:rsidR="00721F3B" w:rsidRPr="004D760B" w:rsidSect="00DA75B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89" w:rsidRDefault="00745889"/>
  </w:endnote>
  <w:endnote w:type="continuationSeparator" w:id="0">
    <w:p w:rsidR="00745889" w:rsidRDefault="00745889"/>
  </w:endnote>
  <w:endnote w:type="continuationNotice" w:id="1">
    <w:p w:rsidR="00745889" w:rsidRDefault="0074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sz w:val="18"/>
      </w:rPr>
    </w:pPr>
    <w:r w:rsidRPr="00DA75B8">
      <w:rPr>
        <w:b/>
        <w:sz w:val="18"/>
      </w:rPr>
      <w:fldChar w:fldCharType="begin"/>
    </w:r>
    <w:r w:rsidRPr="00DA75B8">
      <w:rPr>
        <w:b/>
        <w:sz w:val="18"/>
      </w:rPr>
      <w:instrText xml:space="preserve"> PAGE  \* MERGEFORMAT </w:instrText>
    </w:r>
    <w:r w:rsidRPr="00DA75B8">
      <w:rPr>
        <w:b/>
        <w:sz w:val="18"/>
      </w:rPr>
      <w:fldChar w:fldCharType="separate"/>
    </w:r>
    <w:r w:rsidR="000A6CA4">
      <w:rPr>
        <w:b/>
        <w:noProof/>
        <w:sz w:val="18"/>
      </w:rPr>
      <w:t>2</w:t>
    </w:r>
    <w:r w:rsidRPr="00DA75B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b/>
        <w:sz w:val="18"/>
      </w:rPr>
    </w:pPr>
    <w:r>
      <w:tab/>
    </w:r>
    <w:r w:rsidRPr="00DA75B8">
      <w:rPr>
        <w:b/>
        <w:sz w:val="18"/>
      </w:rPr>
      <w:fldChar w:fldCharType="begin"/>
    </w:r>
    <w:r w:rsidRPr="00DA75B8">
      <w:rPr>
        <w:b/>
        <w:sz w:val="18"/>
      </w:rPr>
      <w:instrText xml:space="preserve"> PAGE  \* MERGEFORMAT </w:instrText>
    </w:r>
    <w:r w:rsidRPr="00DA75B8">
      <w:rPr>
        <w:b/>
        <w:sz w:val="18"/>
      </w:rPr>
      <w:fldChar w:fldCharType="separate"/>
    </w:r>
    <w:r w:rsidR="000A6CA4">
      <w:rPr>
        <w:b/>
        <w:noProof/>
        <w:sz w:val="18"/>
      </w:rPr>
      <w:t>3</w:t>
    </w:r>
    <w:r w:rsidRPr="00DA75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8A11D3">
    <w:pPr>
      <w:pStyle w:val="Footer"/>
      <w:rPr>
        <w:sz w:val="20"/>
      </w:rPr>
    </w:pPr>
    <w:r>
      <w:rPr>
        <w:noProof/>
        <w:sz w:val="20"/>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381C">
      <w:rPr>
        <w:sz w:val="20"/>
      </w:rPr>
      <w:t>GE.1</w:t>
    </w:r>
    <w:r w:rsidR="00371AA8">
      <w:rPr>
        <w:sz w:val="20"/>
      </w:rPr>
      <w:t>5</w:t>
    </w:r>
    <w:proofErr w:type="spellEnd"/>
    <w:r w:rsidR="00AD381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89" w:rsidRPr="000B175B" w:rsidRDefault="00745889" w:rsidP="000B175B">
      <w:pPr>
        <w:tabs>
          <w:tab w:val="right" w:pos="2155"/>
        </w:tabs>
        <w:spacing w:after="80"/>
        <w:ind w:left="680"/>
        <w:rPr>
          <w:u w:val="single"/>
        </w:rPr>
      </w:pPr>
      <w:r>
        <w:rPr>
          <w:u w:val="single"/>
        </w:rPr>
        <w:tab/>
      </w:r>
    </w:p>
  </w:footnote>
  <w:footnote w:type="continuationSeparator" w:id="0">
    <w:p w:rsidR="00745889" w:rsidRPr="00FC68B7" w:rsidRDefault="00745889" w:rsidP="00FC68B7">
      <w:pPr>
        <w:tabs>
          <w:tab w:val="left" w:pos="2155"/>
        </w:tabs>
        <w:spacing w:after="80"/>
        <w:ind w:left="680"/>
        <w:rPr>
          <w:u w:val="single"/>
        </w:rPr>
      </w:pPr>
      <w:r>
        <w:rPr>
          <w:u w:val="single"/>
        </w:rPr>
        <w:tab/>
      </w:r>
    </w:p>
  </w:footnote>
  <w:footnote w:type="continuationNotice" w:id="1">
    <w:p w:rsidR="00745889" w:rsidRDefault="00745889"/>
  </w:footnote>
  <w:footnote w:id="2">
    <w:p w:rsidR="00EB7983" w:rsidRPr="00EB7983" w:rsidRDefault="00EB7983">
      <w:pPr>
        <w:pStyle w:val="FootnoteText"/>
        <w:rPr>
          <w:lang w:val="en-US"/>
        </w:rPr>
      </w:pPr>
      <w:r>
        <w:rPr>
          <w:rStyle w:val="FootnoteReference"/>
        </w:rPr>
        <w:tab/>
      </w:r>
      <w:r w:rsidRPr="00EB7983">
        <w:rPr>
          <w:rStyle w:val="FootnoteReference"/>
          <w:sz w:val="20"/>
          <w:vertAlign w:val="baseline"/>
        </w:rPr>
        <w:t>*</w:t>
      </w:r>
      <w:r>
        <w:rPr>
          <w:rStyle w:val="FootnoteReference"/>
          <w:sz w:val="20"/>
          <w:vertAlign w:val="baseline"/>
        </w:rPr>
        <w:tab/>
      </w:r>
      <w:r w:rsidRPr="00EB7983">
        <w:rPr>
          <w:sz w:val="20"/>
        </w:rPr>
        <w:t>The present document was not edited before being sent to the United Nations translation services.</w:t>
      </w:r>
    </w:p>
  </w:footnote>
  <w:footnote w:id="3">
    <w:p w:rsidR="00371AA8" w:rsidRPr="00371AA8" w:rsidRDefault="00371AA8" w:rsidP="00371AA8">
      <w:pPr>
        <w:pStyle w:val="FootnoteText"/>
        <w:widowControl w:val="0"/>
        <w:tabs>
          <w:tab w:val="clear" w:pos="1021"/>
          <w:tab w:val="right" w:pos="1020"/>
        </w:tabs>
        <w:rPr>
          <w:lang w:val="en-US"/>
        </w:rPr>
      </w:pPr>
      <w:r>
        <w:tab/>
      </w:r>
      <w:r>
        <w:rPr>
          <w:rStyle w:val="FootnoteReference"/>
        </w:rPr>
        <w:footnoteRef/>
      </w:r>
      <w:r>
        <w:tab/>
      </w:r>
      <w:hyperlink r:id="rId1" w:history="1">
        <w:r w:rsidR="001C52D7" w:rsidRPr="00964889">
          <w:rPr>
            <w:rStyle w:val="Hyperlink"/>
          </w:rPr>
          <w:t>www.unece.org/fileadmin/DAM/trans/doc/2008/wp5/CBAe.pdf</w:t>
        </w:r>
      </w:hyperlink>
      <w:r>
        <w:t xml:space="preserve"> </w:t>
      </w:r>
    </w:p>
  </w:footnote>
  <w:footnote w:id="4">
    <w:p w:rsidR="001C52D7" w:rsidRPr="001C52D7" w:rsidRDefault="001C52D7" w:rsidP="001C52D7">
      <w:pPr>
        <w:pStyle w:val="FootnoteText"/>
        <w:widowControl w:val="0"/>
        <w:tabs>
          <w:tab w:val="clear" w:pos="1021"/>
          <w:tab w:val="right" w:pos="1020"/>
        </w:tabs>
        <w:rPr>
          <w:lang w:val="en-US"/>
        </w:rPr>
      </w:pPr>
      <w:r>
        <w:tab/>
      </w:r>
      <w:r>
        <w:rPr>
          <w:rStyle w:val="FootnoteReference"/>
        </w:rPr>
        <w:footnoteRef/>
      </w:r>
      <w:r>
        <w:tab/>
      </w:r>
      <w:hyperlink r:id="rId2" w:history="1">
        <w:r w:rsidRPr="00964889">
          <w:rPr>
            <w:rStyle w:val="Hyperlink"/>
          </w:rPr>
          <w:t>www.unece.org/fileadmin/DAM/trans/doc/2009/wp5/ECE-TRANS-205e.pdf</w:t>
        </w:r>
      </w:hyperlink>
      <w:r>
        <w:t xml:space="preserve"> </w:t>
      </w:r>
    </w:p>
  </w:footnote>
  <w:footnote w:id="5">
    <w:p w:rsidR="001C52D7" w:rsidRPr="001C52D7" w:rsidRDefault="001C52D7" w:rsidP="001C52D7">
      <w:pPr>
        <w:pStyle w:val="FootnoteText"/>
        <w:widowControl w:val="0"/>
        <w:tabs>
          <w:tab w:val="clear" w:pos="1021"/>
          <w:tab w:val="right" w:pos="1020"/>
        </w:tabs>
        <w:rPr>
          <w:lang w:val="en-US"/>
        </w:rPr>
      </w:pPr>
      <w:r>
        <w:tab/>
      </w:r>
      <w:r>
        <w:rPr>
          <w:rStyle w:val="FootnoteReference"/>
        </w:rPr>
        <w:footnoteRef/>
      </w:r>
      <w:r>
        <w:tab/>
      </w:r>
      <w:hyperlink r:id="rId3" w:history="1">
        <w:r w:rsidRPr="00964889">
          <w:rPr>
            <w:rStyle w:val="Hyperlink"/>
          </w:rPr>
          <w:t>www.unece.org/fileadmin/DAM/trans/main/tem/temdocs/TEM-Std-Ed3.pdf</w:t>
        </w:r>
      </w:hyperlink>
      <w:r>
        <w:t xml:space="preserve"> </w:t>
      </w:r>
    </w:p>
  </w:footnote>
  <w:footnote w:id="6">
    <w:p w:rsidR="001C52D7" w:rsidRPr="001C52D7" w:rsidRDefault="001C52D7" w:rsidP="001C52D7">
      <w:pPr>
        <w:pStyle w:val="FootnoteText"/>
        <w:widowControl w:val="0"/>
        <w:tabs>
          <w:tab w:val="clear" w:pos="1021"/>
          <w:tab w:val="right" w:pos="1020"/>
        </w:tabs>
        <w:rPr>
          <w:lang w:val="en-US"/>
        </w:rPr>
      </w:pPr>
      <w:r>
        <w:tab/>
      </w:r>
      <w:r>
        <w:rPr>
          <w:rStyle w:val="FootnoteReference"/>
        </w:rPr>
        <w:footnoteRef/>
      </w:r>
      <w:r>
        <w:tab/>
      </w:r>
      <w:r w:rsidRPr="001A14C6">
        <w:t>www.unece.org/fileadmin/DAM/trans/main/temtermp/docs/TEM_and_TER_Vol_I.pdf</w:t>
      </w:r>
      <w:r>
        <w:t xml:space="preserve"> </w:t>
      </w:r>
    </w:p>
  </w:footnote>
  <w:footnote w:id="7">
    <w:p w:rsidR="001C52D7" w:rsidRPr="001C52D7" w:rsidRDefault="001C52D7" w:rsidP="001C52D7">
      <w:pPr>
        <w:pStyle w:val="FootnoteText"/>
        <w:widowControl w:val="0"/>
        <w:tabs>
          <w:tab w:val="clear" w:pos="1021"/>
          <w:tab w:val="right" w:pos="1020"/>
        </w:tabs>
        <w:rPr>
          <w:lang w:val="en-US"/>
        </w:rPr>
      </w:pPr>
      <w:r>
        <w:tab/>
      </w:r>
      <w:r>
        <w:rPr>
          <w:rStyle w:val="FootnoteReference"/>
        </w:rPr>
        <w:footnoteRef/>
      </w:r>
      <w:r>
        <w:tab/>
      </w:r>
      <w:r w:rsidRPr="001A14C6">
        <w:t>www.unece.org/fileadmin/DAM/trans/main/eatl/in_house_study.pdf</w:t>
      </w:r>
      <w:r>
        <w:t xml:space="preserve"> </w:t>
      </w:r>
    </w:p>
  </w:footnote>
  <w:footnote w:id="8">
    <w:p w:rsidR="001C52D7" w:rsidRPr="001C52D7" w:rsidRDefault="001C52D7" w:rsidP="001C52D7">
      <w:pPr>
        <w:pStyle w:val="FootnoteText"/>
        <w:widowControl w:val="0"/>
        <w:tabs>
          <w:tab w:val="clear" w:pos="1021"/>
          <w:tab w:val="right" w:pos="1020"/>
        </w:tabs>
        <w:rPr>
          <w:lang w:val="en-US"/>
        </w:rPr>
      </w:pPr>
      <w:r>
        <w:tab/>
      </w:r>
      <w:r>
        <w:rPr>
          <w:rStyle w:val="FootnoteReference"/>
        </w:rPr>
        <w:footnoteRef/>
      </w:r>
      <w:r>
        <w:tab/>
      </w:r>
      <w:r w:rsidRPr="001A14C6">
        <w:t>www.unece.org/fileadmin/DAM/trans/main/eatl/docs/EATL_Report_Phase_II.pdf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pPr>
      <w:pStyle w:val="Header"/>
    </w:pPr>
    <w:r>
      <w:t>ECE/TRANS/WP.5/201</w:t>
    </w:r>
    <w:r w:rsidR="00FB52D8">
      <w:t>5</w:t>
    </w:r>
    <w:r>
      <w:t>/</w:t>
    </w:r>
    <w:r w:rsidR="00D859A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Header"/>
      <w:jc w:val="right"/>
    </w:pPr>
    <w:r>
      <w:t>ECE/TRANS/WP.5/201</w:t>
    </w:r>
    <w:r w:rsidR="00FB2E2E">
      <w:t>5</w:t>
    </w:r>
    <w:r>
      <w:t>/</w:t>
    </w:r>
    <w:r w:rsidR="00D859A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87D33"/>
    <w:multiLevelType w:val="hybridMultilevel"/>
    <w:tmpl w:val="BB28980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4EA3290"/>
    <w:multiLevelType w:val="hybridMultilevel"/>
    <w:tmpl w:val="16729C58"/>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1B6D8D"/>
    <w:multiLevelType w:val="hybridMultilevel"/>
    <w:tmpl w:val="ACAE0746"/>
    <w:lvl w:ilvl="0" w:tplc="4352F5BA">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B490EAE"/>
    <w:multiLevelType w:val="hybridMultilevel"/>
    <w:tmpl w:val="D94AABFA"/>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3C77A2A"/>
    <w:multiLevelType w:val="hybridMultilevel"/>
    <w:tmpl w:val="D178694C"/>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6131A7F"/>
    <w:multiLevelType w:val="hybridMultilevel"/>
    <w:tmpl w:val="73DC4B4E"/>
    <w:lvl w:ilvl="0" w:tplc="08090001">
      <w:start w:val="1"/>
      <w:numFmt w:val="bullet"/>
      <w:lvlText w:val=""/>
      <w:lvlJc w:val="left"/>
      <w:pPr>
        <w:ind w:left="360" w:hanging="360"/>
      </w:pPr>
      <w:rPr>
        <w:rFonts w:ascii="Symbol" w:hAnsi="Symbol" w:hint="default"/>
      </w:rPr>
    </w:lvl>
    <w:lvl w:ilvl="1" w:tplc="4F1C783C">
      <w:start w:val="2"/>
      <w:numFmt w:val="bullet"/>
      <w:lvlText w:val="-"/>
      <w:lvlJc w:val="left"/>
      <w:pPr>
        <w:ind w:left="1080" w:hanging="360"/>
      </w:pPr>
      <w:rPr>
        <w:rFonts w:ascii="Arial" w:eastAsia="Arial Unicode MS" w:hAnsi="Arial" w:cs="Arial" w:hint="default"/>
        <w:b/>
      </w:rPr>
    </w:lvl>
    <w:lvl w:ilvl="2" w:tplc="D51058A8">
      <w:start w:val="2"/>
      <w:numFmt w:val="bullet"/>
      <w:lvlText w:val="•"/>
      <w:lvlJc w:val="left"/>
      <w:pPr>
        <w:ind w:left="1800" w:hanging="360"/>
      </w:pPr>
      <w:rPr>
        <w:rFonts w:ascii="Arial" w:eastAsia="Arial Unicode MS" w:hAnsi="Arial" w:cs="Arial" w:hint="default"/>
        <w:sz w:val="22"/>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7664DFB"/>
    <w:multiLevelType w:val="hybridMultilevel"/>
    <w:tmpl w:val="9B22E06A"/>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19784FF0"/>
    <w:multiLevelType w:val="hybridMultilevel"/>
    <w:tmpl w:val="91B08A9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63795"/>
    <w:multiLevelType w:val="hybridMultilevel"/>
    <w:tmpl w:val="8BD6013C"/>
    <w:lvl w:ilvl="0" w:tplc="B2141C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497C5F"/>
    <w:multiLevelType w:val="hybridMultilevel"/>
    <w:tmpl w:val="02D62940"/>
    <w:lvl w:ilvl="0" w:tplc="574A0D7E">
      <w:start w:val="1"/>
      <w:numFmt w:val="bullet"/>
      <w:lvlText w:val=""/>
      <w:lvlJc w:val="left"/>
      <w:pPr>
        <w:ind w:left="1854" w:hanging="360"/>
      </w:pPr>
      <w:rPr>
        <w:rFonts w:ascii="Symbol" w:hAnsi="Symbol" w:hint="default"/>
        <w:color w:val="auto"/>
      </w:rPr>
    </w:lvl>
    <w:lvl w:ilvl="1" w:tplc="E97CD5F6">
      <w:numFmt w:val="bullet"/>
      <w:lvlText w:val="•"/>
      <w:lvlJc w:val="left"/>
      <w:pPr>
        <w:ind w:left="2769" w:hanging="555"/>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2E175792"/>
    <w:multiLevelType w:val="hybridMultilevel"/>
    <w:tmpl w:val="665431D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2A276C"/>
    <w:multiLevelType w:val="hybridMultilevel"/>
    <w:tmpl w:val="ACE2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B2C27"/>
    <w:multiLevelType w:val="hybridMultilevel"/>
    <w:tmpl w:val="2B6419E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B05165"/>
    <w:multiLevelType w:val="hybridMultilevel"/>
    <w:tmpl w:val="C30C5E80"/>
    <w:lvl w:ilvl="0" w:tplc="52D2AFD2">
      <w:start w:val="1"/>
      <w:numFmt w:val="lowerLetter"/>
      <w:lvlText w:val="(%1)."/>
      <w:lvlJc w:val="left"/>
      <w:pPr>
        <w:ind w:left="1895" w:hanging="360"/>
      </w:pPr>
      <w:rPr>
        <w:rFonts w:hint="default"/>
      </w:rPr>
    </w:lvl>
    <w:lvl w:ilvl="1" w:tplc="08090019" w:tentative="1">
      <w:start w:val="1"/>
      <w:numFmt w:val="lowerLetter"/>
      <w:lvlText w:val="%2."/>
      <w:lvlJc w:val="left"/>
      <w:pPr>
        <w:ind w:left="2615" w:hanging="360"/>
      </w:pPr>
    </w:lvl>
    <w:lvl w:ilvl="2" w:tplc="0809001B" w:tentative="1">
      <w:start w:val="1"/>
      <w:numFmt w:val="lowerRoman"/>
      <w:lvlText w:val="%3."/>
      <w:lvlJc w:val="right"/>
      <w:pPr>
        <w:ind w:left="3335" w:hanging="180"/>
      </w:pPr>
    </w:lvl>
    <w:lvl w:ilvl="3" w:tplc="0809000F" w:tentative="1">
      <w:start w:val="1"/>
      <w:numFmt w:val="decimal"/>
      <w:lvlText w:val="%4."/>
      <w:lvlJc w:val="left"/>
      <w:pPr>
        <w:ind w:left="4055" w:hanging="360"/>
      </w:pPr>
    </w:lvl>
    <w:lvl w:ilvl="4" w:tplc="08090019" w:tentative="1">
      <w:start w:val="1"/>
      <w:numFmt w:val="lowerLetter"/>
      <w:lvlText w:val="%5."/>
      <w:lvlJc w:val="left"/>
      <w:pPr>
        <w:ind w:left="4775" w:hanging="360"/>
      </w:pPr>
    </w:lvl>
    <w:lvl w:ilvl="5" w:tplc="0809001B" w:tentative="1">
      <w:start w:val="1"/>
      <w:numFmt w:val="lowerRoman"/>
      <w:lvlText w:val="%6."/>
      <w:lvlJc w:val="right"/>
      <w:pPr>
        <w:ind w:left="5495" w:hanging="180"/>
      </w:pPr>
    </w:lvl>
    <w:lvl w:ilvl="6" w:tplc="0809000F" w:tentative="1">
      <w:start w:val="1"/>
      <w:numFmt w:val="decimal"/>
      <w:lvlText w:val="%7."/>
      <w:lvlJc w:val="left"/>
      <w:pPr>
        <w:ind w:left="6215" w:hanging="360"/>
      </w:pPr>
    </w:lvl>
    <w:lvl w:ilvl="7" w:tplc="08090019" w:tentative="1">
      <w:start w:val="1"/>
      <w:numFmt w:val="lowerLetter"/>
      <w:lvlText w:val="%8."/>
      <w:lvlJc w:val="left"/>
      <w:pPr>
        <w:ind w:left="6935" w:hanging="360"/>
      </w:pPr>
    </w:lvl>
    <w:lvl w:ilvl="8" w:tplc="0809001B" w:tentative="1">
      <w:start w:val="1"/>
      <w:numFmt w:val="lowerRoman"/>
      <w:lvlText w:val="%9."/>
      <w:lvlJc w:val="right"/>
      <w:pPr>
        <w:ind w:left="7655" w:hanging="180"/>
      </w:pPr>
    </w:lvl>
  </w:abstractNum>
  <w:abstractNum w:abstractNumId="30">
    <w:nsid w:val="4C3D0B94"/>
    <w:multiLevelType w:val="hybridMultilevel"/>
    <w:tmpl w:val="E27E996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5E010CCE"/>
    <w:multiLevelType w:val="hybridMultilevel"/>
    <w:tmpl w:val="B4E2E5F4"/>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A6B2FBB"/>
    <w:multiLevelType w:val="hybridMultilevel"/>
    <w:tmpl w:val="F3A83EC2"/>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7C5105C9"/>
    <w:multiLevelType w:val="hybridMultilevel"/>
    <w:tmpl w:val="F0E89A2A"/>
    <w:lvl w:ilvl="0" w:tplc="23B8C50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20"/>
  </w:num>
  <w:num w:numId="15">
    <w:abstractNumId w:val="28"/>
  </w:num>
  <w:num w:numId="16">
    <w:abstractNumId w:val="21"/>
  </w:num>
  <w:num w:numId="17">
    <w:abstractNumId w:val="32"/>
  </w:num>
  <w:num w:numId="18">
    <w:abstractNumId w:val="33"/>
  </w:num>
  <w:num w:numId="19">
    <w:abstractNumId w:val="34"/>
  </w:num>
  <w:num w:numId="20">
    <w:abstractNumId w:val="16"/>
  </w:num>
  <w:num w:numId="21">
    <w:abstractNumId w:val="18"/>
  </w:num>
  <w:num w:numId="22">
    <w:abstractNumId w:val="26"/>
  </w:num>
  <w:num w:numId="23">
    <w:abstractNumId w:val="19"/>
  </w:num>
  <w:num w:numId="24">
    <w:abstractNumId w:val="15"/>
  </w:num>
  <w:num w:numId="25">
    <w:abstractNumId w:val="35"/>
  </w:num>
  <w:num w:numId="26">
    <w:abstractNumId w:val="23"/>
  </w:num>
  <w:num w:numId="27">
    <w:abstractNumId w:val="13"/>
  </w:num>
  <w:num w:numId="28">
    <w:abstractNumId w:val="12"/>
  </w:num>
  <w:num w:numId="29">
    <w:abstractNumId w:val="24"/>
  </w:num>
  <w:num w:numId="30">
    <w:abstractNumId w:val="30"/>
  </w:num>
  <w:num w:numId="31">
    <w:abstractNumId w:val="11"/>
  </w:num>
  <w:num w:numId="32">
    <w:abstractNumId w:val="14"/>
  </w:num>
  <w:num w:numId="33">
    <w:abstractNumId w:val="31"/>
  </w:num>
  <w:num w:numId="34">
    <w:abstractNumId w:val="27"/>
  </w:num>
  <w:num w:numId="35">
    <w:abstractNumId w:val="17"/>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8"/>
    <w:rsid w:val="00002A4C"/>
    <w:rsid w:val="00002A7D"/>
    <w:rsid w:val="000038A8"/>
    <w:rsid w:val="00006790"/>
    <w:rsid w:val="00027624"/>
    <w:rsid w:val="00050F6B"/>
    <w:rsid w:val="000678CD"/>
    <w:rsid w:val="00072C8C"/>
    <w:rsid w:val="00081CE0"/>
    <w:rsid w:val="00084D30"/>
    <w:rsid w:val="00090320"/>
    <w:rsid w:val="000931C0"/>
    <w:rsid w:val="000A2E09"/>
    <w:rsid w:val="000A6CA4"/>
    <w:rsid w:val="000B175B"/>
    <w:rsid w:val="000B3A0F"/>
    <w:rsid w:val="000E0415"/>
    <w:rsid w:val="000F7715"/>
    <w:rsid w:val="00156B99"/>
    <w:rsid w:val="00166124"/>
    <w:rsid w:val="001662F3"/>
    <w:rsid w:val="00184DDA"/>
    <w:rsid w:val="001900CD"/>
    <w:rsid w:val="001A0452"/>
    <w:rsid w:val="001A14C6"/>
    <w:rsid w:val="001B4B04"/>
    <w:rsid w:val="001B5875"/>
    <w:rsid w:val="001C369B"/>
    <w:rsid w:val="001C4B9C"/>
    <w:rsid w:val="001C52D7"/>
    <w:rsid w:val="001C6663"/>
    <w:rsid w:val="001C7895"/>
    <w:rsid w:val="001D26DF"/>
    <w:rsid w:val="001E69D2"/>
    <w:rsid w:val="001F1599"/>
    <w:rsid w:val="001F19C4"/>
    <w:rsid w:val="00203FF9"/>
    <w:rsid w:val="002043F0"/>
    <w:rsid w:val="00211E0B"/>
    <w:rsid w:val="002235A2"/>
    <w:rsid w:val="00232575"/>
    <w:rsid w:val="00247258"/>
    <w:rsid w:val="00257CAC"/>
    <w:rsid w:val="0027237A"/>
    <w:rsid w:val="00285050"/>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71AA8"/>
    <w:rsid w:val="003A46BB"/>
    <w:rsid w:val="003A4EC7"/>
    <w:rsid w:val="003A7295"/>
    <w:rsid w:val="003B1F60"/>
    <w:rsid w:val="003C2CC4"/>
    <w:rsid w:val="003D4B23"/>
    <w:rsid w:val="003E278A"/>
    <w:rsid w:val="00413520"/>
    <w:rsid w:val="004325CB"/>
    <w:rsid w:val="00440A07"/>
    <w:rsid w:val="00462880"/>
    <w:rsid w:val="00476F24"/>
    <w:rsid w:val="004C55B0"/>
    <w:rsid w:val="004D760B"/>
    <w:rsid w:val="004F6BA0"/>
    <w:rsid w:val="005002EB"/>
    <w:rsid w:val="00503BEA"/>
    <w:rsid w:val="005073DE"/>
    <w:rsid w:val="00511975"/>
    <w:rsid w:val="00533616"/>
    <w:rsid w:val="00535ABA"/>
    <w:rsid w:val="0053768B"/>
    <w:rsid w:val="005420F2"/>
    <w:rsid w:val="0054285C"/>
    <w:rsid w:val="00562FAB"/>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105D"/>
    <w:rsid w:val="0070701E"/>
    <w:rsid w:val="00721F3B"/>
    <w:rsid w:val="0072632A"/>
    <w:rsid w:val="007358E8"/>
    <w:rsid w:val="00736ECE"/>
    <w:rsid w:val="0074533B"/>
    <w:rsid w:val="00745889"/>
    <w:rsid w:val="007643BC"/>
    <w:rsid w:val="007959FE"/>
    <w:rsid w:val="007A0CF1"/>
    <w:rsid w:val="007B6BA5"/>
    <w:rsid w:val="007C1E4F"/>
    <w:rsid w:val="007C3390"/>
    <w:rsid w:val="007C42D8"/>
    <w:rsid w:val="007C4F4B"/>
    <w:rsid w:val="007D7362"/>
    <w:rsid w:val="007F5CE2"/>
    <w:rsid w:val="007F6611"/>
    <w:rsid w:val="00810BAC"/>
    <w:rsid w:val="008175E9"/>
    <w:rsid w:val="008242D7"/>
    <w:rsid w:val="0082577B"/>
    <w:rsid w:val="00847159"/>
    <w:rsid w:val="00866893"/>
    <w:rsid w:val="00866F02"/>
    <w:rsid w:val="00867D18"/>
    <w:rsid w:val="00871F9A"/>
    <w:rsid w:val="00871FD5"/>
    <w:rsid w:val="0088172E"/>
    <w:rsid w:val="0088179F"/>
    <w:rsid w:val="00881EFA"/>
    <w:rsid w:val="008879CB"/>
    <w:rsid w:val="0089345C"/>
    <w:rsid w:val="008979B1"/>
    <w:rsid w:val="008A11D3"/>
    <w:rsid w:val="008A6B25"/>
    <w:rsid w:val="008A6C4F"/>
    <w:rsid w:val="008B389E"/>
    <w:rsid w:val="008D045E"/>
    <w:rsid w:val="008D3F25"/>
    <w:rsid w:val="008D4D82"/>
    <w:rsid w:val="008E0E46"/>
    <w:rsid w:val="008E1852"/>
    <w:rsid w:val="008E7116"/>
    <w:rsid w:val="008F143B"/>
    <w:rsid w:val="008F3882"/>
    <w:rsid w:val="008F4B7C"/>
    <w:rsid w:val="00913E5B"/>
    <w:rsid w:val="00926E47"/>
    <w:rsid w:val="00947162"/>
    <w:rsid w:val="009610D0"/>
    <w:rsid w:val="0096375C"/>
    <w:rsid w:val="009662E6"/>
    <w:rsid w:val="0097095E"/>
    <w:rsid w:val="0098592B"/>
    <w:rsid w:val="00985FC4"/>
    <w:rsid w:val="00990766"/>
    <w:rsid w:val="00991261"/>
    <w:rsid w:val="00993821"/>
    <w:rsid w:val="009964C4"/>
    <w:rsid w:val="009A7B81"/>
    <w:rsid w:val="009D01C0"/>
    <w:rsid w:val="009D3336"/>
    <w:rsid w:val="009D6A08"/>
    <w:rsid w:val="009E0A16"/>
    <w:rsid w:val="009E6CB7"/>
    <w:rsid w:val="009E7970"/>
    <w:rsid w:val="009F2EAC"/>
    <w:rsid w:val="009F57E3"/>
    <w:rsid w:val="00A10F4F"/>
    <w:rsid w:val="00A11067"/>
    <w:rsid w:val="00A1704A"/>
    <w:rsid w:val="00A22718"/>
    <w:rsid w:val="00A425EB"/>
    <w:rsid w:val="00A42D1C"/>
    <w:rsid w:val="00A72F22"/>
    <w:rsid w:val="00A733BC"/>
    <w:rsid w:val="00A748A6"/>
    <w:rsid w:val="00A76A69"/>
    <w:rsid w:val="00A879A4"/>
    <w:rsid w:val="00A87E2B"/>
    <w:rsid w:val="00A90C0A"/>
    <w:rsid w:val="00AA0FF8"/>
    <w:rsid w:val="00AC0F2C"/>
    <w:rsid w:val="00AC502A"/>
    <w:rsid w:val="00AD381C"/>
    <w:rsid w:val="00AF58C1"/>
    <w:rsid w:val="00B01FA6"/>
    <w:rsid w:val="00B04A3F"/>
    <w:rsid w:val="00B06643"/>
    <w:rsid w:val="00B15055"/>
    <w:rsid w:val="00B30179"/>
    <w:rsid w:val="00B37B15"/>
    <w:rsid w:val="00B45C02"/>
    <w:rsid w:val="00B72A1E"/>
    <w:rsid w:val="00B81E12"/>
    <w:rsid w:val="00B838FF"/>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1EBA"/>
    <w:rsid w:val="00C745C3"/>
    <w:rsid w:val="00CA24A4"/>
    <w:rsid w:val="00CB3463"/>
    <w:rsid w:val="00CB348D"/>
    <w:rsid w:val="00CD46F5"/>
    <w:rsid w:val="00CE4A8F"/>
    <w:rsid w:val="00CF071D"/>
    <w:rsid w:val="00D15B04"/>
    <w:rsid w:val="00D2031B"/>
    <w:rsid w:val="00D22080"/>
    <w:rsid w:val="00D25FE2"/>
    <w:rsid w:val="00D37DA9"/>
    <w:rsid w:val="00D406A7"/>
    <w:rsid w:val="00D43252"/>
    <w:rsid w:val="00D44D86"/>
    <w:rsid w:val="00D50B7D"/>
    <w:rsid w:val="00D52012"/>
    <w:rsid w:val="00D704E5"/>
    <w:rsid w:val="00D72727"/>
    <w:rsid w:val="00D859A2"/>
    <w:rsid w:val="00D978C6"/>
    <w:rsid w:val="00DA0956"/>
    <w:rsid w:val="00DA357F"/>
    <w:rsid w:val="00DA3E12"/>
    <w:rsid w:val="00DA75B8"/>
    <w:rsid w:val="00DC18AD"/>
    <w:rsid w:val="00DF7CAE"/>
    <w:rsid w:val="00E03BE4"/>
    <w:rsid w:val="00E26215"/>
    <w:rsid w:val="00E423C0"/>
    <w:rsid w:val="00E43AB6"/>
    <w:rsid w:val="00E6414C"/>
    <w:rsid w:val="00E7260F"/>
    <w:rsid w:val="00E8702D"/>
    <w:rsid w:val="00E916A9"/>
    <w:rsid w:val="00E916DE"/>
    <w:rsid w:val="00E925AD"/>
    <w:rsid w:val="00E96630"/>
    <w:rsid w:val="00EB7983"/>
    <w:rsid w:val="00ED18DC"/>
    <w:rsid w:val="00ED6201"/>
    <w:rsid w:val="00ED7A2A"/>
    <w:rsid w:val="00EF1D7F"/>
    <w:rsid w:val="00F0137E"/>
    <w:rsid w:val="00F21786"/>
    <w:rsid w:val="00F3742B"/>
    <w:rsid w:val="00F41FDB"/>
    <w:rsid w:val="00F507EC"/>
    <w:rsid w:val="00F50DB6"/>
    <w:rsid w:val="00F56D63"/>
    <w:rsid w:val="00F609A9"/>
    <w:rsid w:val="00F754D0"/>
    <w:rsid w:val="00F80C99"/>
    <w:rsid w:val="00F857D4"/>
    <w:rsid w:val="00F867EC"/>
    <w:rsid w:val="00F91B2B"/>
    <w:rsid w:val="00FB2E2E"/>
    <w:rsid w:val="00FB52D8"/>
    <w:rsid w:val="00FC03CD"/>
    <w:rsid w:val="00FC0646"/>
    <w:rsid w:val="00FC68B7"/>
    <w:rsid w:val="00FD119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rans/main/tem/temdocs/TEM-Std-Ed3.pdf" TargetMode="External"/><Relationship Id="rId2" Type="http://schemas.openxmlformats.org/officeDocument/2006/relationships/hyperlink" Target="http://www.unece.org/fileadmin/DAM/trans/doc/2009/wp5/ECE-TRANS-205e.pdf" TargetMode="External"/><Relationship Id="rId1" Type="http://schemas.openxmlformats.org/officeDocument/2006/relationships/hyperlink" Target="http://www.unece.org/fileadmin/DAM/trans/doc/2008/wp5/CBA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7D3A-980B-450A-86EF-D47E8299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33</TotalTime>
  <Pages>3</Pages>
  <Words>580</Words>
  <Characters>3399</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3963</CharactersWithSpaces>
  <SharedDoc>false</SharedDoc>
  <HLinks>
    <vt:vector size="18" baseType="variant">
      <vt:variant>
        <vt:i4>4325446</vt:i4>
      </vt:variant>
      <vt:variant>
        <vt:i4>6</vt:i4>
      </vt:variant>
      <vt:variant>
        <vt:i4>0</vt:i4>
      </vt:variant>
      <vt:variant>
        <vt:i4>5</vt:i4>
      </vt:variant>
      <vt:variant>
        <vt:lpwstr>http://www.unece.org/fileadmin/DAM/trans/main/tem/temdocs/TEM-Std-Ed3.pdf</vt:lpwstr>
      </vt:variant>
      <vt:variant>
        <vt:lpwstr/>
      </vt:variant>
      <vt:variant>
        <vt:i4>1572957</vt:i4>
      </vt:variant>
      <vt:variant>
        <vt:i4>3</vt:i4>
      </vt:variant>
      <vt:variant>
        <vt:i4>0</vt:i4>
      </vt:variant>
      <vt:variant>
        <vt:i4>5</vt:i4>
      </vt:variant>
      <vt:variant>
        <vt:lpwstr>http://www.unece.org/fileadmin/DAM/trans/doc/2009/wp5/ECE-TRANS-205e.pdf</vt:lpwstr>
      </vt:variant>
      <vt:variant>
        <vt:lpwstr/>
      </vt:variant>
      <vt:variant>
        <vt:i4>3473471</vt:i4>
      </vt:variant>
      <vt:variant>
        <vt:i4>0</vt:i4>
      </vt:variant>
      <vt:variant>
        <vt:i4>0</vt:i4>
      </vt:variant>
      <vt:variant>
        <vt:i4>5</vt:i4>
      </vt:variant>
      <vt:variant>
        <vt:lpwstr>http://www.unece.org/fileadmin/DAM/trans/doc/2008/wp5/CBAe.pdf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Mostovets</dc:creator>
  <cp:lastModifiedBy>Maria Mostovets</cp:lastModifiedBy>
  <cp:revision>8</cp:revision>
  <cp:lastPrinted>2014-06-30T13:50:00Z</cp:lastPrinted>
  <dcterms:created xsi:type="dcterms:W3CDTF">2015-06-26T07:54:00Z</dcterms:created>
  <dcterms:modified xsi:type="dcterms:W3CDTF">2015-06-29T14:12:00Z</dcterms:modified>
</cp:coreProperties>
</file>