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660DA1">
              <w:fldChar w:fldCharType="begin"/>
            </w:r>
            <w:r w:rsidR="00660DA1">
              <w:instrText xml:space="preserve"> FILLIN  "Введите символ после ЕCE/"  \* MERGEFORMAT </w:instrText>
            </w:r>
            <w:r w:rsidR="00660DA1">
              <w:fldChar w:fldCharType="separate"/>
            </w:r>
            <w:r w:rsidR="009021F9">
              <w:t>TRANS/WP.15/2016/10</w:t>
            </w:r>
            <w:r w:rsidR="00660DA1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9021F9">
              <w:t xml:space="preserve">22 </w:t>
            </w:r>
            <w:proofErr w:type="spellStart"/>
            <w:r w:rsidR="009021F9">
              <w:t>August</w:t>
            </w:r>
            <w:proofErr w:type="spellEnd"/>
            <w:r w:rsidR="009021F9">
              <w:t xml:space="preserve"> 2016</w:t>
            </w:r>
            <w:r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5E7329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E7329" w:rsidRPr="005E7329" w:rsidRDefault="005E7329" w:rsidP="005E7329">
      <w:pPr>
        <w:pStyle w:val="SingleTxtGR"/>
        <w:spacing w:before="120"/>
        <w:ind w:left="0" w:right="1138"/>
        <w:jc w:val="left"/>
        <w:rPr>
          <w:sz w:val="28"/>
          <w:szCs w:val="28"/>
        </w:rPr>
      </w:pPr>
      <w:r w:rsidRPr="005E7329">
        <w:rPr>
          <w:sz w:val="28"/>
          <w:szCs w:val="28"/>
        </w:rPr>
        <w:t>Комитет по внутреннему транспорту</w:t>
      </w:r>
    </w:p>
    <w:p w:rsidR="005E7329" w:rsidRPr="005E7329" w:rsidRDefault="005E7329" w:rsidP="005E7329">
      <w:pPr>
        <w:pStyle w:val="SingleTxtGR"/>
        <w:ind w:left="0" w:right="1138"/>
        <w:jc w:val="left"/>
        <w:rPr>
          <w:b/>
          <w:bCs/>
          <w:sz w:val="24"/>
          <w:szCs w:val="24"/>
        </w:rPr>
      </w:pPr>
      <w:r w:rsidRPr="005E7329">
        <w:rPr>
          <w:b/>
          <w:bCs/>
          <w:sz w:val="24"/>
          <w:szCs w:val="24"/>
        </w:rPr>
        <w:t>Рабочая группа по перевозкам опасных грузов</w:t>
      </w:r>
    </w:p>
    <w:p w:rsidR="005E7329" w:rsidRPr="005E7329" w:rsidRDefault="005E7329" w:rsidP="005E7329">
      <w:pPr>
        <w:pStyle w:val="SingleTxtGR"/>
        <w:spacing w:after="0"/>
        <w:ind w:left="0" w:right="1138"/>
        <w:jc w:val="left"/>
        <w:rPr>
          <w:b/>
        </w:rPr>
      </w:pPr>
      <w:r w:rsidRPr="005E7329">
        <w:rPr>
          <w:b/>
        </w:rPr>
        <w:t xml:space="preserve">101-я сессия </w:t>
      </w:r>
    </w:p>
    <w:p w:rsidR="005E7329" w:rsidRPr="005E7329" w:rsidRDefault="005E7329" w:rsidP="005E7329">
      <w:pPr>
        <w:pStyle w:val="SingleTxtGR"/>
        <w:spacing w:after="0"/>
        <w:ind w:left="0" w:right="1138"/>
        <w:jc w:val="left"/>
      </w:pPr>
      <w:r w:rsidRPr="005E7329">
        <w:t>Женева, 8</w:t>
      </w:r>
      <w:r w:rsidR="00C50A2D">
        <w:t>–</w:t>
      </w:r>
      <w:r w:rsidRPr="005E7329">
        <w:t xml:space="preserve">11 ноября 2016 года </w:t>
      </w:r>
    </w:p>
    <w:p w:rsidR="005E7329" w:rsidRPr="005E7329" w:rsidRDefault="005E7329" w:rsidP="005E7329">
      <w:pPr>
        <w:pStyle w:val="SingleTxtGR"/>
        <w:spacing w:after="0"/>
        <w:ind w:left="0" w:right="1138"/>
        <w:jc w:val="left"/>
      </w:pPr>
      <w:r w:rsidRPr="005E7329">
        <w:t>Пункт 5 b) предварительной повестки дня</w:t>
      </w:r>
    </w:p>
    <w:p w:rsidR="005E7329" w:rsidRPr="005E7329" w:rsidRDefault="005E7329" w:rsidP="005E7329">
      <w:pPr>
        <w:pStyle w:val="SingleTxtGR"/>
        <w:spacing w:after="0"/>
        <w:ind w:left="0" w:right="1138"/>
        <w:jc w:val="left"/>
        <w:rPr>
          <w:b/>
        </w:rPr>
      </w:pPr>
      <w:r w:rsidRPr="005E7329">
        <w:rPr>
          <w:b/>
          <w:bCs/>
        </w:rPr>
        <w:t xml:space="preserve">Предложения о внесении поправок в приложения А и В </w:t>
      </w:r>
      <w:r w:rsidRPr="005E7329">
        <w:rPr>
          <w:b/>
          <w:bCs/>
        </w:rPr>
        <w:br/>
        <w:t xml:space="preserve">к </w:t>
      </w:r>
      <w:proofErr w:type="spellStart"/>
      <w:r w:rsidRPr="005E7329">
        <w:rPr>
          <w:b/>
          <w:bCs/>
        </w:rPr>
        <w:t>ДОПОГ</w:t>
      </w:r>
      <w:proofErr w:type="gramStart"/>
      <w:r w:rsidRPr="005E7329">
        <w:rPr>
          <w:b/>
          <w:bCs/>
        </w:rPr>
        <w:t>:р</w:t>
      </w:r>
      <w:proofErr w:type="gramEnd"/>
      <w:r w:rsidRPr="005E7329">
        <w:rPr>
          <w:b/>
          <w:bCs/>
        </w:rPr>
        <w:t>азличные</w:t>
      </w:r>
      <w:proofErr w:type="spellEnd"/>
      <w:r w:rsidRPr="005E7329">
        <w:rPr>
          <w:b/>
          <w:bCs/>
        </w:rPr>
        <w:t xml:space="preserve"> предложения</w:t>
      </w:r>
    </w:p>
    <w:p w:rsidR="005E7329" w:rsidRPr="005E7329" w:rsidRDefault="005E7329" w:rsidP="005E7329">
      <w:pPr>
        <w:pStyle w:val="HChGR"/>
      </w:pPr>
      <w:r w:rsidRPr="005E7329">
        <w:tab/>
      </w:r>
      <w:r w:rsidRPr="005E7329">
        <w:tab/>
      </w:r>
      <w:r w:rsidR="006210BB">
        <w:t>П</w:t>
      </w:r>
      <w:r w:rsidRPr="005E7329">
        <w:t>ункт 5.4.1.1.1</w:t>
      </w:r>
      <w:r w:rsidR="006210BB" w:rsidRPr="006210BB">
        <w:t xml:space="preserve"> </w:t>
      </w:r>
      <w:r w:rsidR="006210BB" w:rsidRPr="005E7329">
        <w:t>f)</w:t>
      </w:r>
      <w:r w:rsidRPr="005E7329">
        <w:t xml:space="preserve"> и перевозка в</w:t>
      </w:r>
      <w:r>
        <w:rPr>
          <w:lang w:val="en-US"/>
        </w:rPr>
        <w:t> </w:t>
      </w:r>
      <w:r w:rsidRPr="005E7329">
        <w:t>соответствии с</w:t>
      </w:r>
      <w:r w:rsidR="008474AF">
        <w:t> </w:t>
      </w:r>
      <w:r w:rsidRPr="005E7329">
        <w:t>подразделом 1.1.3.6</w:t>
      </w:r>
      <w:bookmarkStart w:id="3" w:name="OLE_LINK3"/>
      <w:bookmarkStart w:id="4" w:name="OLE_LINK4"/>
      <w:bookmarkEnd w:id="3"/>
      <w:bookmarkEnd w:id="4"/>
    </w:p>
    <w:p w:rsidR="005E7329" w:rsidRDefault="005E7329" w:rsidP="005E7329">
      <w:pPr>
        <w:pStyle w:val="H1GR"/>
        <w:rPr>
          <w:lang w:val="en-US"/>
        </w:rPr>
      </w:pPr>
      <w:r w:rsidRPr="005E7329">
        <w:tab/>
      </w:r>
      <w:r w:rsidRPr="005E7329">
        <w:tab/>
        <w:t>Передано правительством Швеции</w:t>
      </w:r>
      <w:r w:rsidR="000D107A" w:rsidRPr="000D107A">
        <w:rPr>
          <w:rStyle w:val="FootnoteReference"/>
          <w:b w:val="0"/>
        </w:rPr>
        <w:footnoteReference w:id="1"/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4"/>
      </w:tblGrid>
      <w:tr w:rsidR="005E7329" w:rsidTr="005E7329">
        <w:tc>
          <w:tcPr>
            <w:tcW w:w="9854" w:type="dxa"/>
            <w:shd w:val="clear" w:color="auto" w:fill="auto"/>
          </w:tcPr>
          <w:p w:rsidR="005E7329" w:rsidRPr="005E7329" w:rsidRDefault="005E7329" w:rsidP="005E7329">
            <w:pPr>
              <w:suppressAutoHyphens/>
              <w:spacing w:before="240" w:after="120"/>
              <w:ind w:left="255"/>
              <w:rPr>
                <w:i/>
                <w:sz w:val="24"/>
                <w:lang w:val="en-US" w:eastAsia="ru-RU"/>
              </w:rPr>
            </w:pPr>
            <w:r w:rsidRPr="005E7329">
              <w:rPr>
                <w:i/>
                <w:sz w:val="24"/>
                <w:lang w:val="en-US" w:eastAsia="ru-RU"/>
              </w:rPr>
              <w:t>Резюме</w:t>
            </w:r>
          </w:p>
        </w:tc>
      </w:tr>
      <w:tr w:rsidR="005E7329" w:rsidRPr="005E7329" w:rsidTr="00EC47B2">
        <w:tc>
          <w:tcPr>
            <w:tcW w:w="9854" w:type="dxa"/>
            <w:tcBorders>
              <w:bottom w:val="nil"/>
            </w:tcBorders>
            <w:shd w:val="clear" w:color="auto" w:fill="auto"/>
          </w:tcPr>
          <w:p w:rsidR="005E7329" w:rsidRPr="005E7329" w:rsidRDefault="005E7329" w:rsidP="008474AF">
            <w:pPr>
              <w:pStyle w:val="SingleTxtGR"/>
              <w:tabs>
                <w:tab w:val="clear" w:pos="3402"/>
                <w:tab w:val="left" w:pos="3744"/>
              </w:tabs>
              <w:ind w:left="3744" w:hanging="2610"/>
            </w:pPr>
            <w:r w:rsidRPr="008474AF">
              <w:rPr>
                <w:b/>
              </w:rPr>
              <w:t>Существо предложения:</w:t>
            </w:r>
            <w:r w:rsidRPr="005E7329">
              <w:tab/>
              <w:t>В тех случаях, когда грузы перевозятся в соотве</w:t>
            </w:r>
            <w:r w:rsidRPr="005E7329">
              <w:t>т</w:t>
            </w:r>
            <w:r w:rsidRPr="005E7329">
              <w:t>ствии с подразделом 1.1.3.6, для всех участников было бы проще иметь в транспортном документе сведения об общем количестве и рассчитанном значении/транспортной категории.</w:t>
            </w:r>
          </w:p>
        </w:tc>
      </w:tr>
      <w:tr w:rsidR="005E7329" w:rsidRPr="005E7329" w:rsidTr="00CD2ACE">
        <w:tc>
          <w:tcPr>
            <w:tcW w:w="9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329" w:rsidRPr="005E7329" w:rsidRDefault="005E7329" w:rsidP="000F1E43">
            <w:pPr>
              <w:pStyle w:val="SingleTxtGR"/>
              <w:tabs>
                <w:tab w:val="clear" w:pos="3402"/>
                <w:tab w:val="left" w:pos="3744"/>
              </w:tabs>
              <w:ind w:left="3744" w:hanging="2610"/>
            </w:pPr>
            <w:r w:rsidRPr="008474AF">
              <w:rPr>
                <w:b/>
              </w:rPr>
              <w:t>Предлагаемое решение:</w:t>
            </w:r>
            <w:r w:rsidRPr="005E7329">
              <w:tab/>
              <w:t xml:space="preserve">Внести </w:t>
            </w:r>
            <w:r w:rsidRPr="00080CD7">
              <w:t>изменения</w:t>
            </w:r>
            <w:r w:rsidRPr="005E7329">
              <w:t xml:space="preserve"> в соответствующие части по</w:t>
            </w:r>
            <w:r w:rsidRPr="005E7329">
              <w:t>д</w:t>
            </w:r>
            <w:r w:rsidRPr="005E7329">
              <w:t>раздела 1.1.3.6 и пункта 5.4.1.1.1</w:t>
            </w:r>
            <w:r w:rsidR="000F1E43" w:rsidRPr="005E7329">
              <w:t xml:space="preserve"> f)</w:t>
            </w:r>
            <w:r w:rsidRPr="005E7329">
              <w:t>.</w:t>
            </w:r>
          </w:p>
        </w:tc>
      </w:tr>
      <w:tr w:rsidR="005E7329" w:rsidRPr="005E7329" w:rsidTr="00EC47B2">
        <w:tc>
          <w:tcPr>
            <w:tcW w:w="9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329" w:rsidRPr="005E7329" w:rsidRDefault="005E7329" w:rsidP="00080CD7">
            <w:pPr>
              <w:pStyle w:val="SingleTxtGR"/>
              <w:tabs>
                <w:tab w:val="clear" w:pos="3402"/>
                <w:tab w:val="left" w:pos="3744"/>
              </w:tabs>
              <w:ind w:left="3744" w:hanging="2610"/>
              <w:jc w:val="left"/>
            </w:pPr>
            <w:r w:rsidRPr="008474AF">
              <w:rPr>
                <w:b/>
              </w:rPr>
              <w:t>Справочные документы:</w:t>
            </w:r>
            <w:r w:rsidRPr="005E7329">
              <w:tab/>
            </w:r>
            <w:proofErr w:type="gramStart"/>
            <w:r w:rsidRPr="005E7329">
              <w:t xml:space="preserve">ECE/TRANS/WP.15/2015/14 (МСАТ), </w:t>
            </w:r>
            <w:r w:rsidR="00080CD7">
              <w:br/>
            </w:r>
            <w:r w:rsidRPr="005E7329">
              <w:t xml:space="preserve">неофициальный документ </w:t>
            </w:r>
            <w:r w:rsidRPr="00080CD7">
              <w:t>INF.</w:t>
            </w:r>
            <w:r w:rsidRPr="005E7329">
              <w:t>10 (ЕСФХП) девян</w:t>
            </w:r>
            <w:r w:rsidRPr="005E7329">
              <w:t>о</w:t>
            </w:r>
            <w:r w:rsidRPr="005E7329">
              <w:t xml:space="preserve">сто девятой сессии WP.15, </w:t>
            </w:r>
            <w:r w:rsidR="00080CD7">
              <w:br/>
            </w:r>
            <w:r w:rsidRPr="005E7329">
              <w:t xml:space="preserve">ECE/TRANS/WP.15/230, доклад о работе девяносто девятой сессии WP.15, </w:t>
            </w:r>
            <w:r w:rsidR="00080CD7">
              <w:br/>
            </w:r>
            <w:r w:rsidRPr="005E7329">
              <w:t>ECE/TRANS/WP.15/</w:t>
            </w:r>
            <w:r w:rsidR="00EC47B2" w:rsidRPr="00EC47B2">
              <w:t xml:space="preserve"> </w:t>
            </w:r>
            <w:r w:rsidRPr="005E7329">
              <w:t xml:space="preserve">2016/3 (МСАТ), </w:t>
            </w:r>
            <w:r w:rsidR="00080CD7">
              <w:br/>
            </w:r>
            <w:r w:rsidRPr="005E7329">
              <w:t xml:space="preserve">неофициальный документ INF.24 (Швеция) сотой сессии WP.15, </w:t>
            </w:r>
            <w:r w:rsidR="00080CD7">
              <w:br/>
            </w:r>
            <w:r w:rsidRPr="005E7329">
              <w:lastRenderedPageBreak/>
              <w:t>ECE/TRANS/WP.15/</w:t>
            </w:r>
            <w:r w:rsidR="00EC47B2" w:rsidRPr="00EC47B2">
              <w:t xml:space="preserve"> </w:t>
            </w:r>
            <w:r w:rsidRPr="005E7329">
              <w:t>233, доклад о работе сотой сессии Рабочей группы WP.15</w:t>
            </w:r>
            <w:proofErr w:type="gramEnd"/>
          </w:p>
        </w:tc>
      </w:tr>
      <w:tr w:rsidR="005E7329" w:rsidRPr="005E7329" w:rsidTr="00EC47B2">
        <w:tc>
          <w:tcPr>
            <w:tcW w:w="9854" w:type="dxa"/>
            <w:tcBorders>
              <w:top w:val="nil"/>
            </w:tcBorders>
            <w:shd w:val="clear" w:color="auto" w:fill="auto"/>
          </w:tcPr>
          <w:p w:rsidR="005E7329" w:rsidRPr="005E7329" w:rsidRDefault="005E7329" w:rsidP="00EC47B2">
            <w:pPr>
              <w:pStyle w:val="SingleTxtGR"/>
              <w:tabs>
                <w:tab w:val="clear" w:pos="3402"/>
                <w:tab w:val="left" w:pos="3582"/>
              </w:tabs>
              <w:ind w:left="3555" w:hanging="2421"/>
            </w:pPr>
          </w:p>
        </w:tc>
      </w:tr>
    </w:tbl>
    <w:p w:rsidR="005E7329" w:rsidRPr="005E7329" w:rsidRDefault="005E7329" w:rsidP="00A52935">
      <w:pPr>
        <w:pStyle w:val="HChGR"/>
      </w:pPr>
      <w:r w:rsidRPr="005E7329">
        <w:tab/>
      </w:r>
      <w:r w:rsidRPr="005E7329">
        <w:tab/>
        <w:t>Введение</w:t>
      </w:r>
    </w:p>
    <w:p w:rsidR="005E7329" w:rsidRPr="005E7329" w:rsidRDefault="005E7329" w:rsidP="005E7329">
      <w:pPr>
        <w:pStyle w:val="SingleTxtGR"/>
      </w:pPr>
      <w:r w:rsidRPr="005E7329">
        <w:t>1.</w:t>
      </w:r>
      <w:r w:rsidRPr="005E7329">
        <w:tab/>
        <w:t>На последней сессии Рабочей группы МСАТ представил док</w:t>
      </w:r>
      <w:r w:rsidRPr="005E7329">
        <w:t>у</w:t>
      </w:r>
      <w:r w:rsidRPr="005E7329">
        <w:t>мент</w:t>
      </w:r>
      <w:r w:rsidR="00E35F8F">
        <w:t> </w:t>
      </w:r>
      <w:r w:rsidRPr="005E7329">
        <w:t>ECE/TRANS/WP.15/2016/3, содержащий предложение указывать общее количество опасных грузов для каждой транспортной категории и сумму этих рассчитанных значений в транспортном документе в случаях, когда применяе</w:t>
      </w:r>
      <w:r w:rsidRPr="005E7329">
        <w:t>т</w:t>
      </w:r>
      <w:r w:rsidRPr="005E7329">
        <w:t>ся подраздел 1.1.3.6. Принципиальную поддержку предложение МСАТ получ</w:t>
      </w:r>
      <w:r w:rsidRPr="005E7329">
        <w:t>и</w:t>
      </w:r>
      <w:r w:rsidRPr="005E7329">
        <w:t>ло со стороны Швеции, которая представила альтернативное решение в неоф</w:t>
      </w:r>
      <w:r w:rsidRPr="005E7329">
        <w:t>и</w:t>
      </w:r>
      <w:r w:rsidRPr="005E7329">
        <w:t>циальном документе INF.24.</w:t>
      </w:r>
    </w:p>
    <w:p w:rsidR="005E7329" w:rsidRPr="005E7329" w:rsidRDefault="005E7329" w:rsidP="005E7329">
      <w:pPr>
        <w:pStyle w:val="SingleTxtGR"/>
      </w:pPr>
      <w:r w:rsidRPr="005E7329">
        <w:t>2.</w:t>
      </w:r>
      <w:r w:rsidRPr="005E7329">
        <w:tab/>
        <w:t>В ходе обсуждения было высказано мнение о том, что наличие рассч</w:t>
      </w:r>
      <w:r w:rsidRPr="005E7329">
        <w:t>и</w:t>
      </w:r>
      <w:r w:rsidRPr="005E7329">
        <w:t>танного значения в транспортном документе было бы полезным для всех учас</w:t>
      </w:r>
      <w:r w:rsidRPr="005E7329">
        <w:t>т</w:t>
      </w:r>
      <w:r w:rsidRPr="005E7329">
        <w:t>ников перевозки в тех случаях, когда применяется подраздел 1.1.3.6. С тем чт</w:t>
      </w:r>
      <w:r w:rsidRPr="005E7329">
        <w:t>о</w:t>
      </w:r>
      <w:r w:rsidRPr="005E7329">
        <w:t>бы принять  во внимание различные мнения участников совещания, на предст</w:t>
      </w:r>
      <w:r w:rsidRPr="005E7329">
        <w:t>о</w:t>
      </w:r>
      <w:r w:rsidRPr="005E7329">
        <w:t>ящей сессии должен быть представлен пересмотренный документ.</w:t>
      </w:r>
    </w:p>
    <w:p w:rsidR="005E7329" w:rsidRPr="005E7329" w:rsidRDefault="005E7329" w:rsidP="00A52935">
      <w:pPr>
        <w:pStyle w:val="HChGR"/>
      </w:pPr>
      <w:r w:rsidRPr="005E7329">
        <w:tab/>
      </w:r>
      <w:r w:rsidRPr="005E7329">
        <w:tab/>
        <w:t>Справочная информация</w:t>
      </w:r>
    </w:p>
    <w:p w:rsidR="005E7329" w:rsidRPr="005E7329" w:rsidRDefault="005E7329" w:rsidP="005E7329">
      <w:pPr>
        <w:pStyle w:val="SingleTxtGR"/>
      </w:pPr>
      <w:r w:rsidRPr="005E7329">
        <w:t>3.</w:t>
      </w:r>
      <w:r w:rsidRPr="005E7329">
        <w:tab/>
        <w:t>Несколько лет назад, согласно примечанию в подпункте g) пун</w:t>
      </w:r>
      <w:r w:rsidRPr="005E7329">
        <w:t>к</w:t>
      </w:r>
      <w:r w:rsidRPr="005E7329">
        <w:t>та</w:t>
      </w:r>
      <w:r w:rsidR="003C7FCF">
        <w:t> </w:t>
      </w:r>
      <w:r w:rsidRPr="005E7329">
        <w:t>5.4.1.1.1, такое значение требовалось указывать в транспортном документе (</w:t>
      </w:r>
      <w:r w:rsidR="00A95333">
        <w:rPr>
          <w:i/>
          <w:iCs/>
        </w:rPr>
        <w:t>«</w:t>
      </w:r>
      <w:r w:rsidR="00615122" w:rsidRPr="00615122">
        <w:rPr>
          <w:b/>
          <w:i/>
          <w:iCs/>
        </w:rPr>
        <w:t>ПРИМЕЧАНИЕ</w:t>
      </w:r>
      <w:r w:rsidRPr="005E7329">
        <w:rPr>
          <w:i/>
          <w:iCs/>
        </w:rPr>
        <w:t xml:space="preserve">: </w:t>
      </w:r>
      <w:proofErr w:type="gramStart"/>
      <w:r w:rsidRPr="005E7329">
        <w:rPr>
          <w:i/>
          <w:iCs/>
        </w:rPr>
        <w:t>В случае применения пункта 1.1.3.6 общее количество п</w:t>
      </w:r>
      <w:r w:rsidRPr="005E7329">
        <w:rPr>
          <w:i/>
          <w:iCs/>
        </w:rPr>
        <w:t>е</w:t>
      </w:r>
      <w:r w:rsidRPr="005E7329">
        <w:rPr>
          <w:i/>
          <w:iCs/>
        </w:rPr>
        <w:t>ревозимых опасных грузов на одну транспортную единицу должно выражат</w:t>
      </w:r>
      <w:r w:rsidRPr="005E7329">
        <w:rPr>
          <w:i/>
          <w:iCs/>
        </w:rPr>
        <w:t>ь</w:t>
      </w:r>
      <w:r w:rsidRPr="005E7329">
        <w:rPr>
          <w:i/>
          <w:iCs/>
        </w:rPr>
        <w:t>ся значением, рассчитанным в соответств</w:t>
      </w:r>
      <w:r w:rsidR="00615122">
        <w:rPr>
          <w:i/>
          <w:iCs/>
        </w:rPr>
        <w:t>ии с положениями пункта 1.1.3.6</w:t>
      </w:r>
      <w:r w:rsidR="00A95333">
        <w:rPr>
          <w:i/>
          <w:iCs/>
        </w:rPr>
        <w:t>»</w:t>
      </w:r>
      <w:r w:rsidR="00615122">
        <w:rPr>
          <w:i/>
          <w:iCs/>
        </w:rPr>
        <w:t>).</w:t>
      </w:r>
      <w:proofErr w:type="gramEnd"/>
      <w:r w:rsidR="00615122">
        <w:rPr>
          <w:i/>
          <w:iCs/>
        </w:rPr>
        <w:t xml:space="preserve"> </w:t>
      </w:r>
      <w:r w:rsidRPr="005E7329">
        <w:t xml:space="preserve">Это требование из ДОПОГ 2003 года было исключено. </w:t>
      </w:r>
    </w:p>
    <w:p w:rsidR="005E7329" w:rsidRPr="005E7329" w:rsidRDefault="005E7329" w:rsidP="005E7329">
      <w:pPr>
        <w:pStyle w:val="SingleTxtGR"/>
      </w:pPr>
      <w:r w:rsidRPr="005E7329">
        <w:t>4.</w:t>
      </w:r>
      <w:r w:rsidRPr="005E7329">
        <w:tab/>
        <w:t>Как отметили несколько Договаривающихся сторон на предыдущих се</w:t>
      </w:r>
      <w:r w:rsidRPr="005E7329">
        <w:t>с</w:t>
      </w:r>
      <w:r w:rsidRPr="005E7329">
        <w:t>сиях, когда грузоотправители и перевозчики предпочитают использовать пол</w:t>
      </w:r>
      <w:r w:rsidRPr="005E7329">
        <w:t>о</w:t>
      </w:r>
      <w:r w:rsidRPr="005E7329">
        <w:t>жения подраздела 1.1.3.6, эта информация должна быть представлена надлеж</w:t>
      </w:r>
      <w:r w:rsidRPr="005E7329">
        <w:t>а</w:t>
      </w:r>
      <w:r w:rsidRPr="005E7329">
        <w:t>щим образом в транспортном документе. Соответствующая документация должна включать ссылки на транспортные категории и рассчитанное(ые) знач</w:t>
      </w:r>
      <w:r w:rsidRPr="005E7329">
        <w:t>е</w:t>
      </w:r>
      <w:r w:rsidRPr="005E7329">
        <w:t>ние(я). Это позволило бы упростить функции перевозчиков, а также правоохр</w:t>
      </w:r>
      <w:r w:rsidRPr="005E7329">
        <w:t>а</w:t>
      </w:r>
      <w:r w:rsidRPr="005E7329">
        <w:t>нительных органов.</w:t>
      </w:r>
    </w:p>
    <w:p w:rsidR="005E7329" w:rsidRPr="005E7329" w:rsidRDefault="005E7329" w:rsidP="005E7329">
      <w:pPr>
        <w:pStyle w:val="SingleTxtGR"/>
      </w:pPr>
      <w:r w:rsidRPr="005E7329">
        <w:t>5.</w:t>
      </w:r>
      <w:r w:rsidRPr="005E7329">
        <w:tab/>
        <w:t>Поскольку перевозчик может получить груз от нескольких грузоотправ</w:t>
      </w:r>
      <w:r w:rsidRPr="005E7329">
        <w:t>и</w:t>
      </w:r>
      <w:r w:rsidRPr="005E7329">
        <w:t>телей, соответствующее значение всегда должно быть указано в документе независимо от того, относятся ли эти товары к одной и той же транспортной к</w:t>
      </w:r>
      <w:r w:rsidRPr="005E7329">
        <w:t>а</w:t>
      </w:r>
      <w:r w:rsidRPr="005E7329">
        <w:t xml:space="preserve">тегории или нет. Тем не менее на последней сессии некоторые страны выразили озабоченность в связи с формулировкой в пункте 1.1.3.6.2, которая в настоящее время предусматривает расчет такого значения для </w:t>
      </w:r>
      <w:r w:rsidRPr="005E7329">
        <w:rPr>
          <w:u w:val="single"/>
        </w:rPr>
        <w:t>различных</w:t>
      </w:r>
      <w:r w:rsidRPr="005E7329">
        <w:t xml:space="preserve"> транспортных категорий. Это также касается текста пункта 1.1.3.6.4, в котором указывается, каким образом следует рассчитывать данное значение.</w:t>
      </w:r>
    </w:p>
    <w:p w:rsidR="005E7329" w:rsidRPr="005E7329" w:rsidRDefault="005E7329" w:rsidP="005E7329">
      <w:pPr>
        <w:pStyle w:val="SingleTxtGR"/>
      </w:pPr>
      <w:r w:rsidRPr="005E7329">
        <w:t>6.</w:t>
      </w:r>
      <w:r w:rsidRPr="005E7329">
        <w:tab/>
        <w:t>В случае внесения в текст поправки с требованием обязательного указ</w:t>
      </w:r>
      <w:r w:rsidRPr="005E7329">
        <w:t>а</w:t>
      </w:r>
      <w:r w:rsidRPr="005E7329">
        <w:t xml:space="preserve">ния данного значения в транспортном документе расчеты необходимо будет производить также в тех случаях, когда грузы относятся к </w:t>
      </w:r>
      <w:r w:rsidRPr="005E7329">
        <w:rPr>
          <w:u w:val="single"/>
        </w:rPr>
        <w:t>одной и той же</w:t>
      </w:r>
      <w:r w:rsidRPr="005E7329">
        <w:t xml:space="preserve"> кат</w:t>
      </w:r>
      <w:r w:rsidRPr="005E7329">
        <w:t>е</w:t>
      </w:r>
      <w:r w:rsidRPr="005E7329">
        <w:t>гории, поскольку их количество может быть ниже максимального общего кол</w:t>
      </w:r>
      <w:r w:rsidRPr="005E7329">
        <w:t>и</w:t>
      </w:r>
      <w:r w:rsidRPr="005E7329">
        <w:t>чества, указанного в колонке 3 таблицы. Таким образом, это также должно быть отражено в пункте 1.1.3.6.2.</w:t>
      </w:r>
    </w:p>
    <w:p w:rsidR="005E7329" w:rsidRPr="005E7329" w:rsidRDefault="005E7329" w:rsidP="005E7329">
      <w:pPr>
        <w:pStyle w:val="SingleTxtGR"/>
      </w:pPr>
      <w:r w:rsidRPr="005E7329">
        <w:lastRenderedPageBreak/>
        <w:t>7.</w:t>
      </w:r>
      <w:r w:rsidRPr="005E7329">
        <w:tab/>
        <w:t xml:space="preserve">Кроме того, примечание в подпункте f) пункта 5.4.1.1.1 содержит ссылку на рассчитанные значения в пункте 1.1.3.6.4. В нынешнем тексте пункт 1.1.3.6.4 касается опасных грузов </w:t>
      </w:r>
      <w:r w:rsidRPr="005E7329">
        <w:rPr>
          <w:u w:val="single"/>
        </w:rPr>
        <w:t>различных</w:t>
      </w:r>
      <w:r w:rsidRPr="005E7329">
        <w:t xml:space="preserve"> транспортных категорий. Следуя изложе</w:t>
      </w:r>
      <w:r w:rsidRPr="005E7329">
        <w:t>н</w:t>
      </w:r>
      <w:r w:rsidRPr="005E7329">
        <w:t>ной выше логике, согласно которой данное значение должно указываться в</w:t>
      </w:r>
      <w:r w:rsidR="0036490C">
        <w:t> </w:t>
      </w:r>
      <w:r w:rsidRPr="005E7329">
        <w:t>транспортном документе во всех случаях, пункт 1.1.3.6.4 следует изменить, с</w:t>
      </w:r>
      <w:r w:rsidR="0036490C">
        <w:t> </w:t>
      </w:r>
      <w:r w:rsidRPr="005E7329">
        <w:t>тем чтобы охватить все опасные грузы, независимо от того, относятся ли они к одной и той же транспортной категории или к различным транспортным кат</w:t>
      </w:r>
      <w:r w:rsidRPr="005E7329">
        <w:t>е</w:t>
      </w:r>
      <w:r w:rsidRPr="005E7329">
        <w:t>гориям.</w:t>
      </w:r>
    </w:p>
    <w:p w:rsidR="005E7329" w:rsidRPr="005E7329" w:rsidRDefault="005E7329" w:rsidP="005E7329">
      <w:pPr>
        <w:pStyle w:val="SingleTxtGR"/>
      </w:pPr>
      <w:r w:rsidRPr="005E7329">
        <w:t>8.</w:t>
      </w:r>
      <w:r w:rsidRPr="005E7329">
        <w:tab/>
        <w:t>И наконец, одновременно с внесением поправок в текст в различных пунктах подраздела 1.1.3.6, мы хотели бы воспользоваться этой возможностью для того, чтобы упорядочить текст в пункте 1.1.3.6.1, предложив поправку р</w:t>
      </w:r>
      <w:r w:rsidRPr="005E7329">
        <w:t>е</w:t>
      </w:r>
      <w:r w:rsidRPr="005E7329">
        <w:t>дакционного характера. Кроме того, мы хотели бы упростить порядок соста</w:t>
      </w:r>
      <w:r w:rsidRPr="005E7329">
        <w:t>в</w:t>
      </w:r>
      <w:r w:rsidRPr="005E7329">
        <w:t>ления перечня в пункте 1.1.3.6.2. В настоящее время в данном перечне указано, какие положения не применяются, однако при этом есть и некоторые исключ</w:t>
      </w:r>
      <w:r w:rsidRPr="005E7329">
        <w:t>е</w:t>
      </w:r>
      <w:r w:rsidRPr="005E7329">
        <w:t>ния, которые вносят путаницу. Для того чтобы сделать текст более удобным для пользователей, мы бы предпочли привести пункт 1.1.3.6.2 в тот вид, в каком применимые положения указаны в главе 3.4 (ограниченные количества) и гл</w:t>
      </w:r>
      <w:r w:rsidRPr="005E7329">
        <w:t>а</w:t>
      </w:r>
      <w:r w:rsidRPr="005E7329">
        <w:t>ве</w:t>
      </w:r>
      <w:r w:rsidR="00A95333">
        <w:t> </w:t>
      </w:r>
      <w:r w:rsidRPr="005E7329">
        <w:t>3.5 (освобожденные количества) (см. предложение 2</w:t>
      </w:r>
      <w:r w:rsidR="00FD1882">
        <w:rPr>
          <w:lang w:val="en-US"/>
        </w:rPr>
        <w:t>b</w:t>
      </w:r>
      <w:r w:rsidRPr="005E7329">
        <w:t xml:space="preserve"> ниже).</w:t>
      </w:r>
    </w:p>
    <w:p w:rsidR="005E7329" w:rsidRPr="005E7329" w:rsidRDefault="005E7329" w:rsidP="005E7329">
      <w:pPr>
        <w:pStyle w:val="SingleTxtGR"/>
      </w:pPr>
      <w:r w:rsidRPr="005E7329">
        <w:t>9.</w:t>
      </w:r>
      <w:r w:rsidRPr="005E7329">
        <w:tab/>
        <w:t>Поскольку предлагаемая поправка в пункте 1.1.3.6.1 и поправки к пере</w:t>
      </w:r>
      <w:r w:rsidRPr="005E7329">
        <w:t>ч</w:t>
      </w:r>
      <w:r w:rsidRPr="005E7329">
        <w:t>ню применимых положений в пункте 1.1.3.6.2 не зависят от других предлож</w:t>
      </w:r>
      <w:r w:rsidRPr="005E7329">
        <w:t>е</w:t>
      </w:r>
      <w:r w:rsidRPr="005E7329">
        <w:t>ний, касающихся данного значения, все предложения представлены по отдел</w:t>
      </w:r>
      <w:r w:rsidRPr="005E7329">
        <w:t>ь</w:t>
      </w:r>
      <w:r w:rsidRPr="005E7329">
        <w:t>ности.</w:t>
      </w:r>
    </w:p>
    <w:p w:rsidR="005E7329" w:rsidRPr="005E7329" w:rsidRDefault="005E7329" w:rsidP="00A52935">
      <w:pPr>
        <w:pStyle w:val="HChGR"/>
      </w:pPr>
      <w:r w:rsidRPr="005E7329">
        <w:tab/>
      </w:r>
      <w:r w:rsidRPr="005E7329">
        <w:tab/>
        <w:t>Предложения</w:t>
      </w:r>
    </w:p>
    <w:p w:rsidR="005E7329" w:rsidRPr="005E7329" w:rsidRDefault="005E7329" w:rsidP="005E7329">
      <w:pPr>
        <w:pStyle w:val="SingleTxtGR"/>
      </w:pPr>
      <w:r w:rsidRPr="005E7329">
        <w:t>10.</w:t>
      </w:r>
      <w:r w:rsidRPr="005E7329">
        <w:tab/>
        <w:t>Внесенные изменения выделены подчеркиванием или вычеркнуты.</w:t>
      </w:r>
    </w:p>
    <w:p w:rsidR="005E7329" w:rsidRPr="005E7329" w:rsidRDefault="005E7329" w:rsidP="00A52935">
      <w:pPr>
        <w:pStyle w:val="H1GR"/>
      </w:pPr>
      <w:r w:rsidRPr="005E7329">
        <w:tab/>
      </w:r>
      <w:r w:rsidRPr="005E7329">
        <w:tab/>
        <w:t>Предложение 1</w:t>
      </w:r>
    </w:p>
    <w:p w:rsidR="005E7329" w:rsidRPr="005E7329" w:rsidRDefault="005E7329" w:rsidP="005E7329">
      <w:pPr>
        <w:pStyle w:val="SingleTxtGR"/>
      </w:pPr>
      <w:r w:rsidRPr="005E7329">
        <w:t>11.</w:t>
      </w:r>
      <w:r w:rsidRPr="005E7329">
        <w:tab/>
        <w:t>Изменить текст в пункте 1.1.3.6.1 следующим образом:</w:t>
      </w:r>
    </w:p>
    <w:p w:rsidR="005E7329" w:rsidRPr="005E7329" w:rsidRDefault="00A95333" w:rsidP="00434834">
      <w:pPr>
        <w:pStyle w:val="SingleTxtGR"/>
        <w:ind w:left="2268" w:hanging="1134"/>
      </w:pPr>
      <w:r>
        <w:t>«</w:t>
      </w:r>
      <w:r w:rsidR="005E7329" w:rsidRPr="005E7329">
        <w:t>1.1.3.6.1</w:t>
      </w:r>
      <w:proofErr w:type="gramStart"/>
      <w:r w:rsidR="005E7329" w:rsidRPr="005E7329">
        <w:tab/>
        <w:t>Д</w:t>
      </w:r>
      <w:proofErr w:type="gramEnd"/>
      <w:r w:rsidR="005E7329" w:rsidRPr="005E7329">
        <w:t>ля целей этого подраздела опасные грузы отнесены к транспор</w:t>
      </w:r>
      <w:r w:rsidR="005E7329" w:rsidRPr="005E7329">
        <w:t>т</w:t>
      </w:r>
      <w:r w:rsidR="005E7329" w:rsidRPr="005E7329">
        <w:t>ным категориям 0, 1, 2, 3 или 4, указанным в колонке 15 таблицы</w:t>
      </w:r>
      <w:r w:rsidR="003D48F4">
        <w:t> </w:t>
      </w:r>
      <w:r w:rsidR="005E7329" w:rsidRPr="005E7329">
        <w:t>А главы</w:t>
      </w:r>
      <w:r w:rsidR="0036490C">
        <w:t> </w:t>
      </w:r>
      <w:r w:rsidR="005E7329" w:rsidRPr="005E7329">
        <w:t xml:space="preserve">3.2. Порожняя неочищенная тара </w:t>
      </w:r>
      <w:r w:rsidR="005E7329" w:rsidRPr="005E7329">
        <w:rPr>
          <w:u w:val="single"/>
        </w:rPr>
        <w:t>может быть отнесена к транспортной категории</w:t>
      </w:r>
      <w:r w:rsidR="005E7329" w:rsidRPr="00E1339A">
        <w:rPr>
          <w:u w:val="single"/>
        </w:rPr>
        <w:t xml:space="preserve"> </w:t>
      </w:r>
      <w:r w:rsidRPr="00E1339A">
        <w:rPr>
          <w:u w:val="single"/>
        </w:rPr>
        <w:t>"</w:t>
      </w:r>
      <w:r w:rsidR="005E7329" w:rsidRPr="005E7329">
        <w:rPr>
          <w:u w:val="single"/>
        </w:rPr>
        <w:t>4</w:t>
      </w:r>
      <w:r w:rsidRPr="000C7DAF">
        <w:rPr>
          <w:u w:val="single"/>
        </w:rPr>
        <w:t>"</w:t>
      </w:r>
      <w:r w:rsidR="005E7329" w:rsidRPr="005E7329">
        <w:rPr>
          <w:u w:val="single"/>
        </w:rPr>
        <w:t>, если она не содержала</w:t>
      </w:r>
      <w:r w:rsidR="005E7329" w:rsidRPr="005E7329">
        <w:t xml:space="preserve"> </w:t>
      </w:r>
      <w:r w:rsidR="005E7329" w:rsidRPr="008B10F0">
        <w:rPr>
          <w:strike/>
        </w:rPr>
        <w:t>содержавшая</w:t>
      </w:r>
      <w:r w:rsidR="005E7329" w:rsidRPr="005E7329">
        <w:t xml:space="preserve"> вещества, отнесенные к транспортной категории </w:t>
      </w:r>
      <w:r>
        <w:t>"</w:t>
      </w:r>
      <w:r w:rsidR="005E7329" w:rsidRPr="005E7329">
        <w:t>0</w:t>
      </w:r>
      <w:r>
        <w:t>"</w:t>
      </w:r>
      <w:r w:rsidR="005E7329" w:rsidRPr="005E7329">
        <w:t xml:space="preserve">, </w:t>
      </w:r>
      <w:r w:rsidR="005E7329" w:rsidRPr="00862171">
        <w:rPr>
          <w:strike/>
        </w:rPr>
        <w:t>также отн</w:t>
      </w:r>
      <w:r w:rsidR="005E7329" w:rsidRPr="00862171">
        <w:rPr>
          <w:strike/>
        </w:rPr>
        <w:t>о</w:t>
      </w:r>
      <w:r w:rsidR="005E7329" w:rsidRPr="00862171">
        <w:rPr>
          <w:strike/>
        </w:rPr>
        <w:t xml:space="preserve">сится к транспортной категории </w:t>
      </w:r>
      <w:r w:rsidRPr="000C7DAF">
        <w:rPr>
          <w:strike/>
        </w:rPr>
        <w:t>"</w:t>
      </w:r>
      <w:r w:rsidR="005E7329" w:rsidRPr="000C7DAF">
        <w:rPr>
          <w:strike/>
        </w:rPr>
        <w:t>0</w:t>
      </w:r>
      <w:r w:rsidRPr="000C7DAF">
        <w:rPr>
          <w:strike/>
        </w:rPr>
        <w:t>"</w:t>
      </w:r>
      <w:r w:rsidR="005E7329" w:rsidRPr="00862171">
        <w:rPr>
          <w:strike/>
        </w:rPr>
        <w:t>. Порожняя неочищенная тара, содержавшая вещества, отнесенные к другой транспортной катег</w:t>
      </w:r>
      <w:r w:rsidR="005E7329" w:rsidRPr="00862171">
        <w:rPr>
          <w:strike/>
        </w:rPr>
        <w:t>о</w:t>
      </w:r>
      <w:r w:rsidR="005E7329" w:rsidRPr="00862171">
        <w:rPr>
          <w:strike/>
        </w:rPr>
        <w:t>рии, кроме категории</w:t>
      </w:r>
      <w:r w:rsidR="005E7329" w:rsidRPr="000C7DAF">
        <w:rPr>
          <w:strike/>
        </w:rPr>
        <w:t xml:space="preserve"> </w:t>
      </w:r>
      <w:r w:rsidRPr="000C7DAF">
        <w:rPr>
          <w:strike/>
        </w:rPr>
        <w:t>"</w:t>
      </w:r>
      <w:r w:rsidR="005E7329" w:rsidRPr="000C7DAF">
        <w:rPr>
          <w:strike/>
        </w:rPr>
        <w:t>0</w:t>
      </w:r>
      <w:r w:rsidRPr="000C7DAF">
        <w:rPr>
          <w:strike/>
        </w:rPr>
        <w:t>"</w:t>
      </w:r>
      <w:r w:rsidR="005E7329" w:rsidRPr="000C7DAF">
        <w:rPr>
          <w:strike/>
        </w:rPr>
        <w:t>,</w:t>
      </w:r>
      <w:r w:rsidR="005E7329" w:rsidRPr="00862171">
        <w:rPr>
          <w:strike/>
        </w:rPr>
        <w:t xml:space="preserve"> относится к транспортной категории</w:t>
      </w:r>
      <w:r w:rsidR="005E7329" w:rsidRPr="000C7DAF">
        <w:rPr>
          <w:strike/>
        </w:rPr>
        <w:t xml:space="preserve"> </w:t>
      </w:r>
      <w:r w:rsidRPr="000C7DAF">
        <w:rPr>
          <w:strike/>
        </w:rPr>
        <w:t>"</w:t>
      </w:r>
      <w:r w:rsidR="005E7329" w:rsidRPr="000C7DAF">
        <w:rPr>
          <w:strike/>
        </w:rPr>
        <w:t>4</w:t>
      </w:r>
      <w:r w:rsidRPr="000C7DAF">
        <w:rPr>
          <w:strike/>
        </w:rPr>
        <w:t>"</w:t>
      </w:r>
      <w:r>
        <w:t>»</w:t>
      </w:r>
      <w:r w:rsidR="005E7329" w:rsidRPr="005E7329">
        <w:t>.</w:t>
      </w:r>
    </w:p>
    <w:p w:rsidR="005E7329" w:rsidRPr="005E7329" w:rsidRDefault="005E7329" w:rsidP="00A52935">
      <w:pPr>
        <w:pStyle w:val="H1GR"/>
      </w:pPr>
      <w:r w:rsidRPr="005E7329">
        <w:tab/>
      </w:r>
      <w:r w:rsidRPr="005E7329">
        <w:tab/>
        <w:t>Предложение 2</w:t>
      </w:r>
    </w:p>
    <w:p w:rsidR="005E7329" w:rsidRPr="005E7329" w:rsidRDefault="005E7329" w:rsidP="005E7329">
      <w:pPr>
        <w:pStyle w:val="SingleTxtGR"/>
      </w:pPr>
      <w:r w:rsidRPr="005E7329">
        <w:t>12.</w:t>
      </w:r>
      <w:r w:rsidRPr="005E7329">
        <w:tab/>
        <w:t>Изменить текст в пункте 1.1.3.6.2 следующим образом:</w:t>
      </w:r>
    </w:p>
    <w:p w:rsidR="005E7329" w:rsidRPr="005E7329" w:rsidRDefault="00A95333" w:rsidP="00A52935">
      <w:pPr>
        <w:pStyle w:val="SingleTxtGR"/>
        <w:ind w:left="2268" w:hanging="1134"/>
      </w:pPr>
      <w:r>
        <w:t>«</w:t>
      </w:r>
      <w:r w:rsidR="005E7329" w:rsidRPr="005E7329">
        <w:t>1.1.3.6.2</w:t>
      </w:r>
      <w:r w:rsidR="005E7329" w:rsidRPr="005E7329">
        <w:tab/>
      </w:r>
      <w:r w:rsidR="005E7329" w:rsidRPr="00A52935">
        <w:rPr>
          <w:strike/>
        </w:rPr>
        <w:t>Если количество опасных грузов, перевозимых в одной транспор</w:t>
      </w:r>
      <w:r w:rsidR="005E7329" w:rsidRPr="00A52935">
        <w:rPr>
          <w:strike/>
        </w:rPr>
        <w:t>т</w:t>
      </w:r>
      <w:r w:rsidR="005E7329" w:rsidRPr="00A52935">
        <w:rPr>
          <w:strike/>
        </w:rPr>
        <w:t>ной единице, не превышает значений, указанных в колонке 3 та</w:t>
      </w:r>
      <w:r w:rsidR="005E7329" w:rsidRPr="00A52935">
        <w:rPr>
          <w:strike/>
        </w:rPr>
        <w:t>б</w:t>
      </w:r>
      <w:r w:rsidR="005E7329" w:rsidRPr="00A52935">
        <w:rPr>
          <w:strike/>
        </w:rPr>
        <w:t>лицы в пункте 1.1.3.6.3 для данной транспортной категории (когда опасные грузы, перевозимые в транспортной единице, относятся к одной и той же категории), или значений, рассчитанных в соотве</w:t>
      </w:r>
      <w:r w:rsidR="005E7329" w:rsidRPr="00A52935">
        <w:rPr>
          <w:strike/>
        </w:rPr>
        <w:t>т</w:t>
      </w:r>
      <w:r w:rsidR="005E7329" w:rsidRPr="00A52935">
        <w:rPr>
          <w:strike/>
        </w:rPr>
        <w:t xml:space="preserve">ствии с пунктом 1.1.3.6.4 (когда опасные грузы, перевозимые в </w:t>
      </w:r>
      <w:r w:rsidR="005E7329" w:rsidRPr="00A52935">
        <w:rPr>
          <w:strike/>
        </w:rPr>
        <w:lastRenderedPageBreak/>
        <w:t>транспортной единице, относятся к разным транспортным катег</w:t>
      </w:r>
      <w:r w:rsidR="005E7329" w:rsidRPr="00A52935">
        <w:rPr>
          <w:strike/>
        </w:rPr>
        <w:t>о</w:t>
      </w:r>
      <w:r w:rsidR="005E7329" w:rsidRPr="00A52935">
        <w:rPr>
          <w:strike/>
        </w:rPr>
        <w:t>риям), эти опасные грузы могут перевозиться в упаковках в одной транспортной единице без применения нижеследующих полож</w:t>
      </w:r>
      <w:r w:rsidR="005E7329" w:rsidRPr="00A52935">
        <w:rPr>
          <w:strike/>
        </w:rPr>
        <w:t>е</w:t>
      </w:r>
      <w:r w:rsidR="005E7329" w:rsidRPr="00A52935">
        <w:rPr>
          <w:strike/>
        </w:rPr>
        <w:t>ний:</w:t>
      </w:r>
      <w:r w:rsidR="005E7329" w:rsidRPr="005E7329">
        <w:t xml:space="preserve"> </w:t>
      </w:r>
    </w:p>
    <w:p w:rsidR="005E7329" w:rsidRPr="005E7329" w:rsidRDefault="005E7329" w:rsidP="005E7329">
      <w:pPr>
        <w:pStyle w:val="SingleTxtGR"/>
        <w:rPr>
          <w:u w:val="single"/>
        </w:rPr>
      </w:pPr>
      <w:r w:rsidRPr="005E7329">
        <w:rPr>
          <w:u w:val="single"/>
        </w:rPr>
        <w:t>Общее количество опасных грузов, перевозимых в упаковках в одной тран</w:t>
      </w:r>
      <w:r w:rsidRPr="005E7329">
        <w:rPr>
          <w:u w:val="single"/>
        </w:rPr>
        <w:t>с</w:t>
      </w:r>
      <w:r w:rsidRPr="005E7329">
        <w:rPr>
          <w:u w:val="single"/>
        </w:rPr>
        <w:t xml:space="preserve">портной единице, не может превышать рассчитанное значение </w:t>
      </w:r>
      <w:r w:rsidR="00A95333">
        <w:rPr>
          <w:u w:val="single"/>
        </w:rPr>
        <w:t>«</w:t>
      </w:r>
      <w:r w:rsidRPr="005E7329">
        <w:rPr>
          <w:u w:val="single"/>
        </w:rPr>
        <w:t>1 000</w:t>
      </w:r>
      <w:r w:rsidR="00A95333">
        <w:rPr>
          <w:u w:val="single"/>
        </w:rPr>
        <w:t>»</w:t>
      </w:r>
      <w:r w:rsidRPr="005E7329">
        <w:rPr>
          <w:u w:val="single"/>
        </w:rPr>
        <w:t>. Макс</w:t>
      </w:r>
      <w:r w:rsidRPr="005E7329">
        <w:rPr>
          <w:u w:val="single"/>
        </w:rPr>
        <w:t>и</w:t>
      </w:r>
      <w:r w:rsidRPr="005E7329">
        <w:rPr>
          <w:u w:val="single"/>
        </w:rPr>
        <w:t xml:space="preserve">мальное общее количество на транспортную единицу, указанное для каждой транспортной категории в колонке 3 таблицы в пункте 1.1.3.6.3, соответствует значению </w:t>
      </w:r>
      <w:r w:rsidR="00A95333">
        <w:rPr>
          <w:u w:val="single"/>
        </w:rPr>
        <w:t>«</w:t>
      </w:r>
      <w:r w:rsidRPr="005E7329">
        <w:rPr>
          <w:u w:val="single"/>
        </w:rPr>
        <w:t>1 000</w:t>
      </w:r>
      <w:r w:rsidR="00A95333">
        <w:rPr>
          <w:u w:val="single"/>
        </w:rPr>
        <w:t>»</w:t>
      </w:r>
      <w:r w:rsidRPr="005E7329">
        <w:rPr>
          <w:u w:val="single"/>
        </w:rPr>
        <w:t>. Если количество груза меньше количества, указанного в к</w:t>
      </w:r>
      <w:r w:rsidRPr="005E7329">
        <w:rPr>
          <w:u w:val="single"/>
        </w:rPr>
        <w:t>о</w:t>
      </w:r>
      <w:r w:rsidRPr="005E7329">
        <w:rPr>
          <w:u w:val="single"/>
        </w:rPr>
        <w:t>лонке 3, или в том случае, если товары относятся к различным транспортным категориям, данное значение должно рассчитываться в соответствии с пун</w:t>
      </w:r>
      <w:r w:rsidRPr="005E7329">
        <w:rPr>
          <w:u w:val="single"/>
        </w:rPr>
        <w:t>к</w:t>
      </w:r>
      <w:r w:rsidRPr="005E7329">
        <w:rPr>
          <w:u w:val="single"/>
        </w:rPr>
        <w:t>том</w:t>
      </w:r>
      <w:r w:rsidR="00A11F8F">
        <w:rPr>
          <w:u w:val="single"/>
        </w:rPr>
        <w:t> </w:t>
      </w:r>
      <w:r w:rsidRPr="005E7329">
        <w:rPr>
          <w:u w:val="single"/>
        </w:rPr>
        <w:t>1.1.3.6.4</w:t>
      </w:r>
      <w:r w:rsidR="00A95333">
        <w:rPr>
          <w:u w:val="single"/>
        </w:rPr>
        <w:t>»</w:t>
      </w:r>
      <w:r w:rsidRPr="005E7329">
        <w:rPr>
          <w:u w:val="single"/>
        </w:rPr>
        <w:t>.</w:t>
      </w:r>
    </w:p>
    <w:p w:rsidR="005E7329" w:rsidRPr="005E7329" w:rsidRDefault="005E7329" w:rsidP="00A52935">
      <w:pPr>
        <w:pStyle w:val="H1GR"/>
      </w:pPr>
      <w:r w:rsidRPr="005E7329">
        <w:tab/>
      </w:r>
      <w:r w:rsidRPr="005E7329">
        <w:tab/>
        <w:t xml:space="preserve">Предложение 2а </w:t>
      </w:r>
    </w:p>
    <w:p w:rsidR="005E7329" w:rsidRPr="005E7329" w:rsidRDefault="005E7329" w:rsidP="005E7329">
      <w:pPr>
        <w:pStyle w:val="SingleTxtGR"/>
      </w:pPr>
      <w:r w:rsidRPr="005E7329">
        <w:t>13.</w:t>
      </w:r>
      <w:r w:rsidRPr="005E7329">
        <w:tab/>
        <w:t>Включить второй абзац/последнее предложение в пункт 1.1.3.6.2 след</w:t>
      </w:r>
      <w:r w:rsidRPr="005E7329">
        <w:t>у</w:t>
      </w:r>
      <w:r w:rsidRPr="005E7329">
        <w:t>ющим образом (при сохранении нынешнего перечня неприменяемых полож</w:t>
      </w:r>
      <w:r w:rsidRPr="005E7329">
        <w:t>е</w:t>
      </w:r>
      <w:r w:rsidRPr="005E7329">
        <w:t>ний):</w:t>
      </w:r>
    </w:p>
    <w:p w:rsidR="005E7329" w:rsidRPr="005E7329" w:rsidRDefault="00A95333" w:rsidP="005E7329">
      <w:pPr>
        <w:pStyle w:val="SingleTxtGR"/>
        <w:rPr>
          <w:b/>
          <w:u w:val="single"/>
        </w:rPr>
      </w:pPr>
      <w:r>
        <w:rPr>
          <w:u w:val="single"/>
        </w:rPr>
        <w:t>«</w:t>
      </w:r>
      <w:r w:rsidR="005E7329" w:rsidRPr="005E7329">
        <w:rPr>
          <w:u w:val="single"/>
        </w:rPr>
        <w:t>Опасные грузы, перевозимые в соответствии с подразделом 1.1.3.6, могут п</w:t>
      </w:r>
      <w:r w:rsidR="005E7329" w:rsidRPr="005E7329">
        <w:rPr>
          <w:u w:val="single"/>
        </w:rPr>
        <w:t>е</w:t>
      </w:r>
      <w:r w:rsidR="005E7329" w:rsidRPr="005E7329">
        <w:rPr>
          <w:u w:val="single"/>
        </w:rPr>
        <w:t>ревозиться в одной транспортной единице без применения нижеследующих п</w:t>
      </w:r>
      <w:r w:rsidR="005E7329" w:rsidRPr="005E7329">
        <w:rPr>
          <w:u w:val="single"/>
        </w:rPr>
        <w:t>о</w:t>
      </w:r>
      <w:r w:rsidR="005E7329" w:rsidRPr="005E7329">
        <w:rPr>
          <w:u w:val="single"/>
        </w:rPr>
        <w:t>ложений:</w:t>
      </w:r>
    </w:p>
    <w:p w:rsidR="005E7329" w:rsidRPr="005E7329" w:rsidRDefault="005E7329" w:rsidP="005E7329">
      <w:pPr>
        <w:pStyle w:val="SingleTxtGR"/>
      </w:pPr>
      <w:r w:rsidRPr="007335DC">
        <w:rPr>
          <w:i/>
        </w:rPr>
        <w:t>(перечень остается без изменений)</w:t>
      </w:r>
      <w:r w:rsidR="00A95333">
        <w:t>»</w:t>
      </w:r>
      <w:r w:rsidRPr="005E7329">
        <w:t>.</w:t>
      </w:r>
    </w:p>
    <w:p w:rsidR="005E7329" w:rsidRPr="005E7329" w:rsidRDefault="005E7329" w:rsidP="00A95333">
      <w:pPr>
        <w:pStyle w:val="H1GR"/>
      </w:pPr>
      <w:r w:rsidRPr="005E7329">
        <w:tab/>
      </w:r>
      <w:r w:rsidRPr="005E7329">
        <w:tab/>
        <w:t>Предложение 2b (альтернативный вариант предложения 2а)</w:t>
      </w:r>
    </w:p>
    <w:p w:rsidR="005E7329" w:rsidRPr="005E7329" w:rsidRDefault="005E7329" w:rsidP="005E7329">
      <w:pPr>
        <w:pStyle w:val="SingleTxtGR"/>
      </w:pPr>
      <w:r w:rsidRPr="005E7329">
        <w:t>14.</w:t>
      </w:r>
      <w:r w:rsidRPr="005E7329">
        <w:tab/>
        <w:t>Включить второй абзац/последнее предложение в пункт 1.1.3.6.2 след</w:t>
      </w:r>
      <w:r w:rsidRPr="005E7329">
        <w:t>у</w:t>
      </w:r>
      <w:r w:rsidRPr="005E7329">
        <w:t>ющим образом (при внесении поправок в перечень путем указания применя</w:t>
      </w:r>
      <w:r w:rsidRPr="005E7329">
        <w:t>е</w:t>
      </w:r>
      <w:r w:rsidRPr="005E7329">
        <w:t>мых положений):</w:t>
      </w:r>
    </w:p>
    <w:p w:rsidR="005E7329" w:rsidRPr="005E7329" w:rsidRDefault="00A95333" w:rsidP="005E7329">
      <w:pPr>
        <w:pStyle w:val="SingleTxtGR"/>
        <w:rPr>
          <w:u w:val="single"/>
        </w:rPr>
      </w:pPr>
      <w:r>
        <w:rPr>
          <w:u w:val="single"/>
        </w:rPr>
        <w:t>«</w:t>
      </w:r>
      <w:r w:rsidR="005E7329" w:rsidRPr="005E7329">
        <w:rPr>
          <w:u w:val="single"/>
        </w:rPr>
        <w:t>Опасные грузы, перевозимые в соответствии с подразделом 1.1.3.6, не подп</w:t>
      </w:r>
      <w:r w:rsidR="005E7329" w:rsidRPr="005E7329">
        <w:rPr>
          <w:u w:val="single"/>
        </w:rPr>
        <w:t>а</w:t>
      </w:r>
      <w:r w:rsidR="005E7329" w:rsidRPr="005E7329">
        <w:rPr>
          <w:u w:val="single"/>
        </w:rPr>
        <w:t>дают под действие любых других положений ДОПОГ, за исключением ниж</w:t>
      </w:r>
      <w:r w:rsidR="005E7329" w:rsidRPr="005E7329">
        <w:rPr>
          <w:u w:val="single"/>
        </w:rPr>
        <w:t>е</w:t>
      </w:r>
      <w:r w:rsidR="005E7329" w:rsidRPr="005E7329">
        <w:rPr>
          <w:u w:val="single"/>
        </w:rPr>
        <w:t xml:space="preserve">следующих положений: </w:t>
      </w:r>
    </w:p>
    <w:p w:rsidR="005E7329" w:rsidRPr="005E7329" w:rsidRDefault="005E7329" w:rsidP="00957724">
      <w:pPr>
        <w:pStyle w:val="SingleTxtGR"/>
        <w:numPr>
          <w:ilvl w:val="0"/>
          <w:numId w:val="4"/>
        </w:numPr>
        <w:spacing w:after="0"/>
        <w:ind w:right="1138" w:firstLine="414"/>
        <w:rPr>
          <w:u w:val="single"/>
          <w:lang w:val="en-GB"/>
        </w:rPr>
      </w:pPr>
      <w:r w:rsidRPr="005E7329">
        <w:rPr>
          <w:u w:val="single"/>
        </w:rPr>
        <w:t>часть 1*,</w:t>
      </w:r>
    </w:p>
    <w:p w:rsidR="005E7329" w:rsidRPr="005E7329" w:rsidRDefault="005E7329" w:rsidP="00957724">
      <w:pPr>
        <w:pStyle w:val="SingleTxtGR"/>
        <w:numPr>
          <w:ilvl w:val="0"/>
          <w:numId w:val="4"/>
        </w:numPr>
        <w:spacing w:after="0"/>
        <w:ind w:right="1138" w:firstLine="414"/>
        <w:rPr>
          <w:u w:val="single"/>
          <w:lang w:val="en-GB"/>
        </w:rPr>
      </w:pPr>
      <w:r w:rsidRPr="005E7329">
        <w:rPr>
          <w:u w:val="single"/>
        </w:rPr>
        <w:t xml:space="preserve">часть 2, </w:t>
      </w:r>
    </w:p>
    <w:p w:rsidR="005E7329" w:rsidRPr="005E7329" w:rsidRDefault="005E7329" w:rsidP="00957724">
      <w:pPr>
        <w:pStyle w:val="SingleTxtGR"/>
        <w:numPr>
          <w:ilvl w:val="0"/>
          <w:numId w:val="4"/>
        </w:numPr>
        <w:spacing w:after="0"/>
        <w:ind w:right="1138" w:firstLine="414"/>
        <w:rPr>
          <w:u w:val="single"/>
          <w:lang w:val="en-GB"/>
        </w:rPr>
      </w:pPr>
      <w:r w:rsidRPr="005E7329">
        <w:rPr>
          <w:u w:val="single"/>
        </w:rPr>
        <w:t xml:space="preserve">часть 3, </w:t>
      </w:r>
    </w:p>
    <w:p w:rsidR="005E7329" w:rsidRPr="005E7329" w:rsidRDefault="005E7329" w:rsidP="00957724">
      <w:pPr>
        <w:pStyle w:val="SingleTxtGR"/>
        <w:numPr>
          <w:ilvl w:val="0"/>
          <w:numId w:val="4"/>
        </w:numPr>
        <w:spacing w:after="0"/>
        <w:ind w:right="1138" w:firstLine="414"/>
        <w:rPr>
          <w:u w:val="single"/>
          <w:lang w:val="en-GB"/>
        </w:rPr>
      </w:pPr>
      <w:r w:rsidRPr="005E7329">
        <w:rPr>
          <w:u w:val="single"/>
        </w:rPr>
        <w:t>часть 4,</w:t>
      </w:r>
    </w:p>
    <w:p w:rsidR="005E7329" w:rsidRPr="005E7329" w:rsidRDefault="005E7329" w:rsidP="00957724">
      <w:pPr>
        <w:pStyle w:val="SingleTxtGR"/>
        <w:numPr>
          <w:ilvl w:val="0"/>
          <w:numId w:val="4"/>
        </w:numPr>
        <w:spacing w:after="0"/>
        <w:ind w:right="1138" w:firstLine="414"/>
        <w:rPr>
          <w:u w:val="single"/>
        </w:rPr>
      </w:pPr>
      <w:r w:rsidRPr="005E7329">
        <w:rPr>
          <w:u w:val="single"/>
        </w:rPr>
        <w:t>часть 5, кроме главы 5.3 и раздела 5.4.3,</w:t>
      </w:r>
    </w:p>
    <w:p w:rsidR="005E7329" w:rsidRPr="005E7329" w:rsidRDefault="005E7329" w:rsidP="00957724">
      <w:pPr>
        <w:pStyle w:val="SingleTxtGR"/>
        <w:numPr>
          <w:ilvl w:val="0"/>
          <w:numId w:val="4"/>
        </w:numPr>
        <w:spacing w:after="0"/>
        <w:ind w:right="1138" w:firstLine="414"/>
        <w:rPr>
          <w:u w:val="single"/>
          <w:lang w:val="en-GB"/>
        </w:rPr>
      </w:pPr>
      <w:r w:rsidRPr="005E7329">
        <w:rPr>
          <w:u w:val="single"/>
        </w:rPr>
        <w:t>часть 6,</w:t>
      </w:r>
    </w:p>
    <w:p w:rsidR="005E7329" w:rsidRPr="005E7329" w:rsidRDefault="005E7329" w:rsidP="00957724">
      <w:pPr>
        <w:pStyle w:val="SingleTxtGR"/>
        <w:numPr>
          <w:ilvl w:val="0"/>
          <w:numId w:val="4"/>
        </w:numPr>
        <w:spacing w:after="0"/>
        <w:ind w:right="1138" w:firstLine="414"/>
        <w:rPr>
          <w:u w:val="single"/>
        </w:rPr>
      </w:pPr>
      <w:r w:rsidRPr="005E7329">
        <w:rPr>
          <w:u w:val="single"/>
        </w:rPr>
        <w:t>глава 7.1, V5 и V8 главы 7.2, главы 7.3</w:t>
      </w:r>
      <w:r w:rsidR="00543E15">
        <w:rPr>
          <w:u w:val="single"/>
        </w:rPr>
        <w:t>–</w:t>
      </w:r>
      <w:r w:rsidRPr="005E7329">
        <w:rPr>
          <w:u w:val="single"/>
        </w:rPr>
        <w:t>7.5,</w:t>
      </w:r>
    </w:p>
    <w:p w:rsidR="005E7329" w:rsidRPr="005E7329" w:rsidRDefault="005E7329" w:rsidP="00957724">
      <w:pPr>
        <w:pStyle w:val="SingleTxtGR"/>
        <w:numPr>
          <w:ilvl w:val="0"/>
          <w:numId w:val="4"/>
        </w:numPr>
        <w:spacing w:after="0"/>
        <w:ind w:left="1701" w:right="1138" w:hanging="567"/>
        <w:rPr>
          <w:u w:val="single"/>
        </w:rPr>
      </w:pPr>
      <w:r w:rsidRPr="005E7329">
        <w:rPr>
          <w:u w:val="single"/>
        </w:rPr>
        <w:t>пункт 8.1.2.1 a), пункт 8.1.4.2–8.1.4.5, разделы 8.2.3, 8.3.3–8.3.5, глава</w:t>
      </w:r>
      <w:r w:rsidR="0036490C">
        <w:rPr>
          <w:u w:val="single"/>
        </w:rPr>
        <w:t> </w:t>
      </w:r>
      <w:r w:rsidRPr="005E7329">
        <w:rPr>
          <w:u w:val="single"/>
        </w:rPr>
        <w:t>8.4,</w:t>
      </w:r>
    </w:p>
    <w:p w:rsidR="005E7329" w:rsidRPr="005E7329" w:rsidRDefault="005E7329" w:rsidP="00957724">
      <w:pPr>
        <w:pStyle w:val="SingleTxtGR"/>
        <w:numPr>
          <w:ilvl w:val="0"/>
          <w:numId w:val="4"/>
        </w:numPr>
        <w:spacing w:after="0"/>
        <w:ind w:right="1138" w:firstLine="414"/>
        <w:rPr>
          <w:u w:val="single"/>
          <w:lang w:val="en-GB"/>
        </w:rPr>
      </w:pPr>
      <w:r w:rsidRPr="005E7329">
        <w:rPr>
          <w:u w:val="single"/>
        </w:rPr>
        <w:t>следующие положения в главе 8.5:</w:t>
      </w:r>
    </w:p>
    <w:p w:rsidR="00071D76" w:rsidRDefault="005E7329" w:rsidP="00957724">
      <w:pPr>
        <w:pStyle w:val="SingleTxtGR"/>
        <w:spacing w:after="0"/>
        <w:ind w:right="1138"/>
        <w:rPr>
          <w:u w:val="single"/>
          <w:lang w:val="en-US"/>
        </w:rPr>
      </w:pPr>
      <w:r w:rsidRPr="005E7329">
        <w:rPr>
          <w:u w:val="single"/>
        </w:rPr>
        <w:t>-</w:t>
      </w:r>
      <w:r w:rsidRPr="005E7329">
        <w:rPr>
          <w:u w:val="single"/>
        </w:rPr>
        <w:tab/>
        <w:t xml:space="preserve">S1 (3) и (6), </w:t>
      </w:r>
    </w:p>
    <w:p w:rsidR="00071D76" w:rsidRDefault="005E7329" w:rsidP="00957724">
      <w:pPr>
        <w:pStyle w:val="SingleTxtGR"/>
        <w:spacing w:after="0"/>
        <w:ind w:right="1138"/>
        <w:rPr>
          <w:u w:val="single"/>
          <w:lang w:val="en-US"/>
        </w:rPr>
      </w:pPr>
      <w:r w:rsidRPr="005E7329">
        <w:rPr>
          <w:u w:val="single"/>
        </w:rPr>
        <w:t>-</w:t>
      </w:r>
      <w:r w:rsidRPr="005E7329">
        <w:rPr>
          <w:u w:val="single"/>
        </w:rPr>
        <w:tab/>
        <w:t xml:space="preserve">S2 (1), </w:t>
      </w:r>
    </w:p>
    <w:p w:rsidR="00071D76" w:rsidRDefault="005E7329" w:rsidP="00957724">
      <w:pPr>
        <w:pStyle w:val="SingleTxtGR"/>
        <w:spacing w:after="0"/>
        <w:ind w:right="1138"/>
        <w:rPr>
          <w:u w:val="single"/>
          <w:lang w:val="en-US"/>
        </w:rPr>
      </w:pPr>
      <w:r w:rsidRPr="005E7329">
        <w:rPr>
          <w:u w:val="single"/>
        </w:rPr>
        <w:t>-</w:t>
      </w:r>
      <w:r w:rsidRPr="005E7329">
        <w:rPr>
          <w:u w:val="single"/>
        </w:rPr>
        <w:tab/>
        <w:t xml:space="preserve">S4, </w:t>
      </w:r>
    </w:p>
    <w:p w:rsidR="00071D76" w:rsidRDefault="005E7329" w:rsidP="00957724">
      <w:pPr>
        <w:pStyle w:val="SingleTxtGR"/>
        <w:spacing w:after="0"/>
        <w:ind w:left="1138" w:right="1138"/>
        <w:rPr>
          <w:u w:val="single"/>
          <w:lang w:val="en-US"/>
        </w:rPr>
      </w:pPr>
      <w:r w:rsidRPr="005E7329">
        <w:rPr>
          <w:u w:val="single"/>
        </w:rPr>
        <w:t>-</w:t>
      </w:r>
      <w:r w:rsidRPr="005E7329">
        <w:rPr>
          <w:u w:val="single"/>
        </w:rPr>
        <w:tab/>
        <w:t xml:space="preserve">S5 </w:t>
      </w:r>
    </w:p>
    <w:p w:rsidR="00071D76" w:rsidRDefault="005E7329" w:rsidP="00957724">
      <w:pPr>
        <w:pStyle w:val="SingleTxtGR"/>
        <w:spacing w:after="0"/>
        <w:ind w:left="1138" w:right="1138"/>
        <w:rPr>
          <w:u w:val="single"/>
          <w:lang w:val="en-US"/>
        </w:rPr>
      </w:pPr>
      <w:r w:rsidRPr="005E7329">
        <w:rPr>
          <w:u w:val="single"/>
        </w:rPr>
        <w:t>-</w:t>
      </w:r>
      <w:r w:rsidRPr="005E7329">
        <w:rPr>
          <w:u w:val="single"/>
        </w:rPr>
        <w:tab/>
        <w:t>S14</w:t>
      </w:r>
      <w:r w:rsidR="002F29E8">
        <w:rPr>
          <w:u w:val="single"/>
        </w:rPr>
        <w:t>–</w:t>
      </w:r>
      <w:r w:rsidRPr="005E7329">
        <w:rPr>
          <w:u w:val="single"/>
        </w:rPr>
        <w:t>S21 и</w:t>
      </w:r>
    </w:p>
    <w:p w:rsidR="005E7329" w:rsidRPr="00615122" w:rsidRDefault="00071D76" w:rsidP="00543E15">
      <w:pPr>
        <w:pStyle w:val="SingleTxtGR"/>
        <w:ind w:left="1138" w:right="1138"/>
        <w:rPr>
          <w:u w:val="single"/>
        </w:rPr>
      </w:pPr>
      <w:r w:rsidRPr="00615122">
        <w:rPr>
          <w:u w:val="single"/>
        </w:rPr>
        <w:t>-</w:t>
      </w:r>
      <w:r w:rsidR="005E7329" w:rsidRPr="005E7329">
        <w:rPr>
          <w:u w:val="single"/>
        </w:rPr>
        <w:tab/>
        <w:t>S24.</w:t>
      </w:r>
    </w:p>
    <w:p w:rsidR="005E7329" w:rsidRPr="005E7329" w:rsidRDefault="005E7329" w:rsidP="005E7329">
      <w:pPr>
        <w:pStyle w:val="SingleTxtGR"/>
      </w:pPr>
      <w:r w:rsidRPr="00957724">
        <w:rPr>
          <w:u w:val="single"/>
        </w:rPr>
        <w:t xml:space="preserve">* </w:t>
      </w:r>
      <w:r w:rsidRPr="005E7329">
        <w:rPr>
          <w:u w:val="single"/>
        </w:rPr>
        <w:t>Положения главы 1.10 касаются только взрывчатых веществ и изделий</w:t>
      </w:r>
      <w:r w:rsidRPr="005E7329">
        <w:t xml:space="preserve"> под №</w:t>
      </w:r>
      <w:r w:rsidR="00615122">
        <w:rPr>
          <w:lang w:val="en-US"/>
        </w:rPr>
        <w:t> </w:t>
      </w:r>
      <w:r w:rsidRPr="005E7329">
        <w:t>ООН 0029, 0030, 0059, 0065, 0073, 0104, 0237, 0255, 0267, 0288, 0289, 0290, 0360, 0361, 0364, 0365, 0366, 0439, 0440, 0441, 0455, 0456 и 0500 и освобожде</w:t>
      </w:r>
      <w:r w:rsidRPr="005E7329">
        <w:t>н</w:t>
      </w:r>
      <w:r w:rsidRPr="005E7329">
        <w:lastRenderedPageBreak/>
        <w:t>ных упаковок класса 7 под № ООН 2910 и 2911, если уровень активности пр</w:t>
      </w:r>
      <w:r w:rsidRPr="005E7329">
        <w:t>е</w:t>
      </w:r>
      <w:r w:rsidRPr="005E7329">
        <w:t>вышает значение А2</w:t>
      </w:r>
      <w:r w:rsidR="00A95333">
        <w:t>»</w:t>
      </w:r>
      <w:r w:rsidRPr="005E7329">
        <w:t>.</w:t>
      </w:r>
    </w:p>
    <w:p w:rsidR="005E7329" w:rsidRPr="005E7329" w:rsidRDefault="005E7329" w:rsidP="00071D76">
      <w:pPr>
        <w:pStyle w:val="H1GR"/>
      </w:pPr>
      <w:r w:rsidRPr="005E7329">
        <w:tab/>
      </w:r>
      <w:r w:rsidRPr="005E7329">
        <w:tab/>
        <w:t>Предложение 3</w:t>
      </w:r>
    </w:p>
    <w:p w:rsidR="005E7329" w:rsidRPr="005E7329" w:rsidRDefault="005E7329" w:rsidP="005E7329">
      <w:pPr>
        <w:pStyle w:val="SingleTxtGR"/>
      </w:pPr>
      <w:r w:rsidRPr="005E7329">
        <w:t>15.</w:t>
      </w:r>
      <w:r w:rsidRPr="005E7329">
        <w:tab/>
        <w:t>Изменить текст в пункте 1.1.3.6.4 следующим образом:</w:t>
      </w:r>
    </w:p>
    <w:p w:rsidR="005E7329" w:rsidRPr="005E7329" w:rsidRDefault="00282731" w:rsidP="005E7329">
      <w:pPr>
        <w:pStyle w:val="SingleTxtGR"/>
      </w:pPr>
      <w:r>
        <w:t>«</w:t>
      </w:r>
      <w:r w:rsidR="005E7329" w:rsidRPr="005E7329">
        <w:t>1.1.3.6.4</w:t>
      </w:r>
      <w:r w:rsidR="005E7329" w:rsidRPr="005E7329">
        <w:tab/>
        <w:t xml:space="preserve">Если </w:t>
      </w:r>
      <w:r w:rsidR="005E7329" w:rsidRPr="00A95333">
        <w:rPr>
          <w:strike/>
        </w:rPr>
        <w:t>в одной и той же</w:t>
      </w:r>
      <w:r w:rsidR="005E7329" w:rsidRPr="005E7329">
        <w:t xml:space="preserve"> транспортной единице перевозятся опасные грузы</w:t>
      </w:r>
      <w:r w:rsidR="005E7329" w:rsidRPr="00A95333">
        <w:rPr>
          <w:strike/>
        </w:rPr>
        <w:t>, относящиеся к разным транспортным категориям</w:t>
      </w:r>
      <w:r w:rsidR="005E7329" w:rsidRPr="005E7329">
        <w:t>, сумма</w:t>
      </w:r>
    </w:p>
    <w:p w:rsidR="005E7329" w:rsidRPr="005E7329" w:rsidRDefault="005E7329" w:rsidP="005E7329">
      <w:pPr>
        <w:pStyle w:val="SingleTxtGR"/>
      </w:pPr>
      <w:r w:rsidRPr="005E7329">
        <w:t>-</w:t>
      </w:r>
      <w:r w:rsidRPr="005E7329">
        <w:tab/>
        <w:t xml:space="preserve">количества веществ и изделий транспортной категории 1, помноженного на </w:t>
      </w:r>
      <w:r w:rsidR="00282731" w:rsidRPr="00282731">
        <w:t>"</w:t>
      </w:r>
      <w:r w:rsidRPr="005E7329">
        <w:t>50</w:t>
      </w:r>
      <w:r w:rsidR="00282731" w:rsidRPr="00282731">
        <w:t>"</w:t>
      </w:r>
      <w:r w:rsidRPr="005E7329">
        <w:t>,</w:t>
      </w:r>
    </w:p>
    <w:p w:rsidR="005E7329" w:rsidRPr="005E7329" w:rsidRDefault="005E7329" w:rsidP="005E7329">
      <w:pPr>
        <w:pStyle w:val="SingleTxtGR"/>
      </w:pPr>
      <w:r w:rsidRPr="005E7329">
        <w:t>-</w:t>
      </w:r>
      <w:r w:rsidRPr="005E7329">
        <w:tab/>
        <w:t>количества упомянутых в примечании к таблице в пункте 1.1.3.6.3 в</w:t>
      </w:r>
      <w:r w:rsidRPr="005E7329">
        <w:t>е</w:t>
      </w:r>
      <w:r w:rsidRPr="005E7329">
        <w:t xml:space="preserve">ществ и изделий транспортной категории 1, помноженного на </w:t>
      </w:r>
      <w:r w:rsidR="00282731" w:rsidRPr="00282731">
        <w:t>"</w:t>
      </w:r>
      <w:r w:rsidRPr="005E7329">
        <w:t>20</w:t>
      </w:r>
      <w:r w:rsidR="00282731" w:rsidRPr="00282731">
        <w:t>"</w:t>
      </w:r>
      <w:r w:rsidRPr="005E7329">
        <w:t>,</w:t>
      </w:r>
    </w:p>
    <w:p w:rsidR="005E7329" w:rsidRPr="005E7329" w:rsidRDefault="005E7329" w:rsidP="005E7329">
      <w:pPr>
        <w:pStyle w:val="SingleTxtGR"/>
      </w:pPr>
      <w:r w:rsidRPr="005E7329">
        <w:t>-</w:t>
      </w:r>
      <w:r w:rsidRPr="005E7329">
        <w:tab/>
        <w:t xml:space="preserve">количества веществ и изделий транспортной категории 2, помноженного на </w:t>
      </w:r>
      <w:r w:rsidR="00282731" w:rsidRPr="00282731">
        <w:t>"</w:t>
      </w:r>
      <w:r w:rsidRPr="005E7329">
        <w:t>3</w:t>
      </w:r>
      <w:r w:rsidR="00282731" w:rsidRPr="00282731">
        <w:t>"</w:t>
      </w:r>
      <w:r w:rsidRPr="005E7329">
        <w:t>, и</w:t>
      </w:r>
    </w:p>
    <w:p w:rsidR="005E7329" w:rsidRPr="005E7329" w:rsidRDefault="005E7329" w:rsidP="005E7329">
      <w:pPr>
        <w:pStyle w:val="SingleTxtGR"/>
      </w:pPr>
      <w:r w:rsidRPr="005E7329">
        <w:t>-</w:t>
      </w:r>
      <w:r w:rsidRPr="005E7329">
        <w:tab/>
        <w:t>количества веществ и изделий транспортной категории 3</w:t>
      </w:r>
    </w:p>
    <w:p w:rsidR="005E7329" w:rsidRPr="005E7329" w:rsidRDefault="005E7329" w:rsidP="005E7329">
      <w:pPr>
        <w:pStyle w:val="SingleTxtGR"/>
      </w:pPr>
      <w:r w:rsidRPr="005E7329">
        <w:t xml:space="preserve">не должна превышать </w:t>
      </w:r>
      <w:r w:rsidRPr="005E7329">
        <w:rPr>
          <w:u w:val="single"/>
        </w:rPr>
        <w:t>рассчитанное значение</w:t>
      </w:r>
      <w:r w:rsidRPr="005E7329">
        <w:t xml:space="preserve"> </w:t>
      </w:r>
      <w:r w:rsidR="00282731" w:rsidRPr="00282731">
        <w:t>"</w:t>
      </w:r>
      <w:r w:rsidRPr="005E7329">
        <w:t>1 000</w:t>
      </w:r>
      <w:r w:rsidR="00282731" w:rsidRPr="00282731">
        <w:t>"</w:t>
      </w:r>
      <w:r w:rsidR="00282731">
        <w:t>»</w:t>
      </w:r>
      <w:r w:rsidRPr="005E7329">
        <w:t>.</w:t>
      </w:r>
    </w:p>
    <w:p w:rsidR="005E7329" w:rsidRPr="005E7329" w:rsidRDefault="005E7329" w:rsidP="00071D76">
      <w:pPr>
        <w:pStyle w:val="H1GR"/>
      </w:pPr>
      <w:r w:rsidRPr="005E7329">
        <w:tab/>
      </w:r>
      <w:r w:rsidRPr="005E7329">
        <w:tab/>
        <w:t>Предложение 4</w:t>
      </w:r>
    </w:p>
    <w:p w:rsidR="005E7329" w:rsidRPr="005E7329" w:rsidRDefault="005E7329" w:rsidP="005E7329">
      <w:pPr>
        <w:pStyle w:val="SingleTxtGR"/>
      </w:pPr>
      <w:r w:rsidRPr="005E7329">
        <w:t>16.</w:t>
      </w:r>
      <w:r w:rsidRPr="005E7329">
        <w:tab/>
        <w:t>Изменить подпункт f) пункта 5.4.1.1.1, ПРИМЕЧАНИЕ 1, следующим о</w:t>
      </w:r>
      <w:r w:rsidRPr="005E7329">
        <w:t>б</w:t>
      </w:r>
      <w:r w:rsidRPr="005E7329">
        <w:t>разом:</w:t>
      </w:r>
    </w:p>
    <w:p w:rsidR="005E7329" w:rsidRPr="005E7329" w:rsidRDefault="00A95333" w:rsidP="005E7329">
      <w:pPr>
        <w:pStyle w:val="SingleTxtGR"/>
        <w:rPr>
          <w:u w:val="single"/>
        </w:rPr>
      </w:pPr>
      <w:r>
        <w:t>«</w:t>
      </w:r>
      <w:r w:rsidR="005E7329" w:rsidRPr="005E7329">
        <w:t xml:space="preserve">ПРИМЕЧАНИЕ 1: Если предусматривается применение подраздела 1.1.3.6, общее количество </w:t>
      </w:r>
      <w:r w:rsidR="005E7329" w:rsidRPr="005E7329">
        <w:rPr>
          <w:u w:val="single"/>
        </w:rPr>
        <w:t>и рассчитанное значение</w:t>
      </w:r>
      <w:r w:rsidR="005E7329" w:rsidRPr="005E7329">
        <w:t xml:space="preserve"> опасных грузов каждой транспор</w:t>
      </w:r>
      <w:r w:rsidR="005E7329" w:rsidRPr="005E7329">
        <w:t>т</w:t>
      </w:r>
      <w:r w:rsidR="005E7329" w:rsidRPr="005E7329">
        <w:t xml:space="preserve">ной категории должно указываться в транспортном документе </w:t>
      </w:r>
      <w:r w:rsidR="005E7329" w:rsidRPr="00A95333">
        <w:rPr>
          <w:strike/>
        </w:rPr>
        <w:t>в соответствии с пунктом 1.1.3.6.3</w:t>
      </w:r>
      <w:r w:rsidR="005E7329" w:rsidRPr="005E7329">
        <w:t xml:space="preserve"> (</w:t>
      </w:r>
      <w:r w:rsidR="005E7329" w:rsidRPr="00445872">
        <w:rPr>
          <w:u w:val="single"/>
        </w:rPr>
        <w:t>см. пункты 1.1.3.6.2 и 1.1.3.6.4</w:t>
      </w:r>
      <w:r w:rsidR="005E7329" w:rsidRPr="005E7329">
        <w:t>)</w:t>
      </w:r>
      <w:r>
        <w:t>»</w:t>
      </w:r>
      <w:r w:rsidR="005E7329" w:rsidRPr="005E7329">
        <w:t>.</w:t>
      </w:r>
    </w:p>
    <w:p w:rsidR="005E7329" w:rsidRPr="005E7329" w:rsidRDefault="005E7329" w:rsidP="00071D76">
      <w:pPr>
        <w:pStyle w:val="H1GR"/>
      </w:pPr>
      <w:r w:rsidRPr="005E7329">
        <w:tab/>
      </w:r>
      <w:r w:rsidRPr="005E7329">
        <w:tab/>
        <w:t>Предложение 5</w:t>
      </w:r>
    </w:p>
    <w:p w:rsidR="005E7329" w:rsidRPr="005E7329" w:rsidRDefault="005E7329" w:rsidP="005E7329">
      <w:pPr>
        <w:pStyle w:val="SingleTxtGR"/>
      </w:pPr>
      <w:r w:rsidRPr="005E7329">
        <w:t>17.</w:t>
      </w:r>
      <w:r w:rsidRPr="005E7329">
        <w:tab/>
        <w:t>Добавить следующий пример в конце пункта 5.4.1.1.1</w:t>
      </w:r>
      <w:r w:rsidR="00151A89">
        <w:t> </w:t>
      </w:r>
      <w:r w:rsidR="004A4D7D" w:rsidRPr="005E7329">
        <w:t>f)</w:t>
      </w:r>
      <w:r w:rsidRPr="005E7329">
        <w:t>, ПРИМЕЧАНИЕ</w:t>
      </w:r>
      <w:r w:rsidR="00866B5E">
        <w:t> 1</w:t>
      </w:r>
      <w:r w:rsidRPr="005E7329">
        <w:t>:</w:t>
      </w:r>
    </w:p>
    <w:p w:rsidR="005E7329" w:rsidRPr="005E7329" w:rsidRDefault="00A95333" w:rsidP="005E7329">
      <w:pPr>
        <w:pStyle w:val="SingleTxtGR"/>
        <w:rPr>
          <w:u w:val="single"/>
        </w:rPr>
      </w:pPr>
      <w:r>
        <w:rPr>
          <w:u w:val="single"/>
        </w:rPr>
        <w:t>«</w:t>
      </w:r>
      <w:r w:rsidR="005E7329" w:rsidRPr="005E7329">
        <w:rPr>
          <w:u w:val="single"/>
        </w:rPr>
        <w:t>См. следующий пример:</w:t>
      </w:r>
    </w:p>
    <w:p w:rsidR="009021F9" w:rsidRPr="00A95333" w:rsidRDefault="008D4AE8" w:rsidP="00320F60">
      <w:pPr>
        <w:pStyle w:val="SingleTxtGR"/>
        <w:spacing w:after="0"/>
        <w:ind w:left="1138" w:right="1138"/>
        <w:jc w:val="left"/>
      </w:pPr>
      <w:r>
        <w:rPr>
          <w:rFonts w:ascii="Vani" w:hAnsi="Vani" w:cs="Vani"/>
          <w:u w:val="single"/>
        </w:rPr>
        <w:t>"</w:t>
      </w:r>
      <w:r w:rsidR="005E7329" w:rsidRPr="005E7329">
        <w:rPr>
          <w:u w:val="single"/>
        </w:rPr>
        <w:t>транспортная категория 2: 44 кг, величина – 132,</w:t>
      </w:r>
      <w:r w:rsidR="00320F60">
        <w:rPr>
          <w:u w:val="single"/>
        </w:rPr>
        <w:br/>
      </w:r>
      <w:r>
        <w:rPr>
          <w:rFonts w:ascii="Vani" w:hAnsi="Vani" w:cs="Vani"/>
          <w:u w:val="single"/>
        </w:rPr>
        <w:t>"</w:t>
      </w:r>
      <w:r w:rsidR="005E7329" w:rsidRPr="005E7329">
        <w:rPr>
          <w:u w:val="single"/>
        </w:rPr>
        <w:t>транспортная категория 3: 600 литров, величина – 600</w:t>
      </w:r>
      <w:r>
        <w:rPr>
          <w:rFonts w:ascii="Vani" w:hAnsi="Vani" w:cs="Vani"/>
          <w:u w:val="single"/>
        </w:rPr>
        <w:t>"</w:t>
      </w:r>
      <w:r w:rsidR="00A95333">
        <w:rPr>
          <w:u w:val="single"/>
        </w:rPr>
        <w:t>»</w:t>
      </w:r>
      <w:r w:rsidR="005E7329" w:rsidRPr="005E7329">
        <w:rPr>
          <w:u w:val="single"/>
        </w:rPr>
        <w:t>.</w:t>
      </w:r>
    </w:p>
    <w:p w:rsidR="009021F9" w:rsidRPr="005E7329" w:rsidRDefault="00071D76" w:rsidP="00071D76">
      <w:pPr>
        <w:spacing w:before="240"/>
        <w:jc w:val="center"/>
      </w:pPr>
      <w:r w:rsidRPr="00A95333">
        <w:rPr>
          <w:u w:val="single"/>
        </w:rPr>
        <w:tab/>
      </w:r>
      <w:r w:rsidRPr="00A95333">
        <w:rPr>
          <w:u w:val="single"/>
        </w:rPr>
        <w:tab/>
      </w:r>
      <w:r w:rsidRPr="00A95333">
        <w:rPr>
          <w:u w:val="single"/>
        </w:rPr>
        <w:tab/>
      </w:r>
    </w:p>
    <w:sectPr w:rsidR="009021F9" w:rsidRPr="005E7329" w:rsidSect="004D63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1F9" w:rsidRDefault="009021F9" w:rsidP="00B471C5">
      <w:r>
        <w:separator/>
      </w:r>
    </w:p>
  </w:endnote>
  <w:endnote w:type="continuationSeparator" w:id="0">
    <w:p w:rsidR="009021F9" w:rsidRDefault="009021F9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60DA1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9021F9" w:rsidRPr="009021F9">
      <w:rPr>
        <w:lang w:val="en-US"/>
      </w:rPr>
      <w:t>14498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9021F9" w:rsidRPr="009021F9">
      <w:rPr>
        <w:lang w:val="en-US"/>
      </w:rPr>
      <w:t>14498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60DA1">
      <w:rPr>
        <w:b/>
        <w:noProof/>
        <w:sz w:val="18"/>
        <w:szCs w:val="18"/>
      </w:rPr>
      <w:t>5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9021F9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9021F9" w:rsidRPr="009021F9">
            <w:rPr>
              <w:lang w:val="en-US"/>
            </w:rPr>
            <w:t>14498</w:t>
          </w:r>
          <w:r w:rsidR="009021F9">
            <w:rPr>
              <w:lang w:val="en-US"/>
            </w:rPr>
            <w:t xml:space="preserve">  </w:t>
          </w:r>
          <w:r w:rsidRPr="001C3ABC">
            <w:rPr>
              <w:lang w:val="en-US"/>
            </w:rPr>
            <w:t>(R)</w:t>
          </w:r>
          <w:r w:rsidR="009021F9">
            <w:rPr>
              <w:lang w:val="en-US"/>
            </w:rPr>
            <w:t xml:space="preserve">  290816  290816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9021F9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5/2016/10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2016/10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9021F9" w:rsidRDefault="009021F9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9021F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9021F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021F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9021F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021F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9021F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9021F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9021F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9021F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1F9" w:rsidRPr="009141DC" w:rsidRDefault="009021F9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9021F9" w:rsidRPr="00D1261C" w:rsidRDefault="009021F9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0D107A" w:rsidRPr="000D107A" w:rsidRDefault="000D107A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0D107A">
        <w:rPr>
          <w:lang w:val="ru-RU"/>
        </w:rPr>
        <w:tab/>
        <w:t>В соответствии с программой работы Комитета по внутреннему транспорту на</w:t>
      </w:r>
      <w:r w:rsidR="000F1E43">
        <w:rPr>
          <w:lang w:val="ru-RU"/>
        </w:rPr>
        <w:t> </w:t>
      </w:r>
      <w:r w:rsidRPr="000D107A">
        <w:rPr>
          <w:lang w:val="ru-RU"/>
        </w:rPr>
        <w:t xml:space="preserve">2016−2017 годы (ECE/TRANS/2016/28/Add.1 (9.1)).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9021F9" w:rsidRPr="009021F9">
      <w:rPr>
        <w:lang w:val="en-US"/>
      </w:rPr>
      <w:t>TRANS/WP.15/2016/10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9021F9" w:rsidRPr="009021F9">
      <w:rPr>
        <w:lang w:val="en-US"/>
      </w:rPr>
      <w:t>TRANS/WP.15/2016/10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F9" w:rsidRDefault="009021F9" w:rsidP="009021F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32A1"/>
    <w:multiLevelType w:val="hybridMultilevel"/>
    <w:tmpl w:val="A5309FA4"/>
    <w:lvl w:ilvl="0" w:tplc="3F6A5A24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/>
  <w:proofState w:spelling="clean" w:grammar="clean"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F9"/>
    <w:rsid w:val="000450D1"/>
    <w:rsid w:val="00071D76"/>
    <w:rsid w:val="00080CD7"/>
    <w:rsid w:val="000B1FD5"/>
    <w:rsid w:val="000B57DA"/>
    <w:rsid w:val="000C7DAF"/>
    <w:rsid w:val="000D107A"/>
    <w:rsid w:val="000F1E43"/>
    <w:rsid w:val="000F2A4F"/>
    <w:rsid w:val="00151A89"/>
    <w:rsid w:val="00203F84"/>
    <w:rsid w:val="00275188"/>
    <w:rsid w:val="00282731"/>
    <w:rsid w:val="0028687D"/>
    <w:rsid w:val="002B091C"/>
    <w:rsid w:val="002B3D40"/>
    <w:rsid w:val="002D0CCB"/>
    <w:rsid w:val="002F29E8"/>
    <w:rsid w:val="00320F60"/>
    <w:rsid w:val="00345C79"/>
    <w:rsid w:val="0036490C"/>
    <w:rsid w:val="00366A39"/>
    <w:rsid w:val="00393D6D"/>
    <w:rsid w:val="003C7FCF"/>
    <w:rsid w:val="003D48F4"/>
    <w:rsid w:val="00434834"/>
    <w:rsid w:val="00445872"/>
    <w:rsid w:val="0048005C"/>
    <w:rsid w:val="004A4D7D"/>
    <w:rsid w:val="004D639B"/>
    <w:rsid w:val="004E242B"/>
    <w:rsid w:val="004F6044"/>
    <w:rsid w:val="00543E15"/>
    <w:rsid w:val="00544379"/>
    <w:rsid w:val="00550AA1"/>
    <w:rsid w:val="00566944"/>
    <w:rsid w:val="005D56BF"/>
    <w:rsid w:val="005E7329"/>
    <w:rsid w:val="00615122"/>
    <w:rsid w:val="0062027E"/>
    <w:rsid w:val="006210BB"/>
    <w:rsid w:val="00635DA4"/>
    <w:rsid w:val="00643644"/>
    <w:rsid w:val="00660DA1"/>
    <w:rsid w:val="00665D8D"/>
    <w:rsid w:val="006A7A3B"/>
    <w:rsid w:val="006B6B57"/>
    <w:rsid w:val="006E5DBE"/>
    <w:rsid w:val="006F49F1"/>
    <w:rsid w:val="007005EE"/>
    <w:rsid w:val="00705394"/>
    <w:rsid w:val="00715634"/>
    <w:rsid w:val="007335DC"/>
    <w:rsid w:val="00743F62"/>
    <w:rsid w:val="00751995"/>
    <w:rsid w:val="00760D3A"/>
    <w:rsid w:val="00773BA8"/>
    <w:rsid w:val="0079226C"/>
    <w:rsid w:val="007A1F42"/>
    <w:rsid w:val="007C2492"/>
    <w:rsid w:val="007D76DD"/>
    <w:rsid w:val="008474AF"/>
    <w:rsid w:val="00860281"/>
    <w:rsid w:val="00862171"/>
    <w:rsid w:val="00866B5E"/>
    <w:rsid w:val="008717E8"/>
    <w:rsid w:val="008B10F0"/>
    <w:rsid w:val="008D01AE"/>
    <w:rsid w:val="008D4AE8"/>
    <w:rsid w:val="008E0423"/>
    <w:rsid w:val="009021F9"/>
    <w:rsid w:val="009141DC"/>
    <w:rsid w:val="009174A1"/>
    <w:rsid w:val="00957724"/>
    <w:rsid w:val="0098674D"/>
    <w:rsid w:val="0099401B"/>
    <w:rsid w:val="00997ACA"/>
    <w:rsid w:val="00A03FB7"/>
    <w:rsid w:val="00A11F8F"/>
    <w:rsid w:val="00A52935"/>
    <w:rsid w:val="00A55C56"/>
    <w:rsid w:val="00A658DB"/>
    <w:rsid w:val="00A75A11"/>
    <w:rsid w:val="00A95333"/>
    <w:rsid w:val="00A9606E"/>
    <w:rsid w:val="00AD7EAD"/>
    <w:rsid w:val="00B35A32"/>
    <w:rsid w:val="00B432C6"/>
    <w:rsid w:val="00B471C5"/>
    <w:rsid w:val="00B6474A"/>
    <w:rsid w:val="00BA0540"/>
    <w:rsid w:val="00BE1742"/>
    <w:rsid w:val="00C50A2D"/>
    <w:rsid w:val="00C75668"/>
    <w:rsid w:val="00CA3499"/>
    <w:rsid w:val="00CD2ACE"/>
    <w:rsid w:val="00D1261C"/>
    <w:rsid w:val="00D26030"/>
    <w:rsid w:val="00D506AD"/>
    <w:rsid w:val="00D75DCE"/>
    <w:rsid w:val="00DD35AC"/>
    <w:rsid w:val="00DD479F"/>
    <w:rsid w:val="00E1339A"/>
    <w:rsid w:val="00E15E48"/>
    <w:rsid w:val="00E35F8F"/>
    <w:rsid w:val="00EB0723"/>
    <w:rsid w:val="00EB2957"/>
    <w:rsid w:val="00EC47B2"/>
    <w:rsid w:val="00EE6F37"/>
    <w:rsid w:val="00EF73F3"/>
    <w:rsid w:val="00F14984"/>
    <w:rsid w:val="00F1599F"/>
    <w:rsid w:val="00F31EF2"/>
    <w:rsid w:val="00F53839"/>
    <w:rsid w:val="00FD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5E73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7329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D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A1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5E73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7329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D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A1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13522-2D0F-4A9D-AC42-43B17177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1478</Words>
  <Characters>8425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 Olga</dc:creator>
  <cp:lastModifiedBy>barrio-champeau</cp:lastModifiedBy>
  <cp:revision>2</cp:revision>
  <cp:lastPrinted>2016-08-29T12:56:00Z</cp:lastPrinted>
  <dcterms:created xsi:type="dcterms:W3CDTF">2016-09-26T14:50:00Z</dcterms:created>
  <dcterms:modified xsi:type="dcterms:W3CDTF">2016-09-26T14:50:00Z</dcterms:modified>
</cp:coreProperties>
</file>