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ED3214"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171EA3" w:rsidRDefault="00C4302B" w:rsidP="00085208">
            <w:pPr>
              <w:jc w:val="right"/>
              <w:rPr>
                <w:lang w:val="en-GB"/>
              </w:rPr>
            </w:pPr>
            <w:r w:rsidRPr="00171EA3">
              <w:rPr>
                <w:sz w:val="40"/>
                <w:lang w:val="en-GB"/>
              </w:rPr>
              <w:t>ECE</w:t>
            </w:r>
            <w:r w:rsidRPr="00171EA3">
              <w:rPr>
                <w:lang w:val="en-GB"/>
              </w:rPr>
              <w:t>/TRANS/WP.15/AC.</w:t>
            </w:r>
            <w:r w:rsidR="00085208">
              <w:rPr>
                <w:lang w:val="en-GB"/>
              </w:rPr>
              <w:t>2/2016</w:t>
            </w:r>
            <w:r w:rsidRPr="00171EA3">
              <w:rPr>
                <w:lang w:val="en-GB"/>
              </w:rPr>
              <w:t>/</w:t>
            </w:r>
            <w:r w:rsidR="00085208">
              <w:rPr>
                <w:lang w:val="en-GB"/>
              </w:rPr>
              <w:t>1</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1703B7" w:rsidP="00F01516">
            <w:pPr>
              <w:spacing w:before="120"/>
              <w:jc w:val="center"/>
              <w:rPr>
                <w:lang w:val="fr-FR"/>
              </w:rPr>
            </w:pPr>
            <w:r>
              <w:rPr>
                <w:noProof/>
                <w:lang w:val="en-GB" w:eastAsia="en-GB"/>
              </w:rPr>
              <w:drawing>
                <wp:inline distT="0" distB="0" distL="0" distR="0">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C4302B" w:rsidP="00C4302B">
            <w:pPr>
              <w:spacing w:before="240" w:line="240" w:lineRule="exact"/>
              <w:rPr>
                <w:lang w:val="fr-FR"/>
              </w:rPr>
            </w:pPr>
            <w:proofErr w:type="spellStart"/>
            <w:r>
              <w:rPr>
                <w:lang w:val="fr-FR"/>
              </w:rPr>
              <w:t>Distr</w:t>
            </w:r>
            <w:proofErr w:type="spellEnd"/>
            <w:r>
              <w:rPr>
                <w:lang w:val="fr-FR"/>
              </w:rPr>
              <w:t>. générale</w:t>
            </w:r>
          </w:p>
          <w:p w:rsidR="00C4302B" w:rsidRDefault="006A2631" w:rsidP="00C4302B">
            <w:pPr>
              <w:spacing w:line="240" w:lineRule="exact"/>
              <w:rPr>
                <w:lang w:val="fr-FR"/>
              </w:rPr>
            </w:pPr>
            <w:r>
              <w:rPr>
                <w:lang w:val="fr-FR"/>
              </w:rPr>
              <w:t>1</w:t>
            </w:r>
            <w:r w:rsidR="00D04B4F">
              <w:rPr>
                <w:lang w:val="fr-FR"/>
              </w:rPr>
              <w:t>2</w:t>
            </w:r>
            <w:r w:rsidR="002D3B2E">
              <w:rPr>
                <w:lang w:val="fr-FR"/>
              </w:rPr>
              <w:t xml:space="preserve"> novembre</w:t>
            </w:r>
            <w:r w:rsidR="00C4302B" w:rsidRPr="00171EA3">
              <w:rPr>
                <w:lang w:val="fr-FR"/>
              </w:rPr>
              <w:t xml:space="preserve"> 2015</w:t>
            </w:r>
          </w:p>
          <w:p w:rsidR="00C4302B" w:rsidRDefault="00AA3C96" w:rsidP="00C4302B">
            <w:pPr>
              <w:spacing w:line="240" w:lineRule="exact"/>
              <w:rPr>
                <w:lang w:val="fr-FR"/>
              </w:rPr>
            </w:pPr>
            <w:r>
              <w:rPr>
                <w:lang w:val="fr-FR"/>
              </w:rPr>
              <w:t>Français</w:t>
            </w:r>
          </w:p>
          <w:p w:rsidR="00C4302B" w:rsidRPr="00367E6A" w:rsidRDefault="00C4302B" w:rsidP="00C4302B">
            <w:pPr>
              <w:spacing w:line="240" w:lineRule="exact"/>
              <w:rPr>
                <w:lang w:val="fr-FR"/>
              </w:rPr>
            </w:pPr>
            <w:r>
              <w:rPr>
                <w:lang w:val="fr-FR"/>
              </w:rPr>
              <w:t xml:space="preserve">Original: français </w:t>
            </w:r>
            <w:r w:rsidR="00AA3C96">
              <w:rPr>
                <w:lang w:val="fr-FR"/>
              </w:rPr>
              <w:t>et anglais</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49374F" w:rsidRPr="00A17EEC" w:rsidRDefault="0049374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49374F" w:rsidRPr="00234E40" w:rsidRDefault="0049374F" w:rsidP="0049374F">
      <w:pPr>
        <w:spacing w:before="120"/>
        <w:rPr>
          <w:b/>
        </w:rPr>
      </w:pPr>
      <w:r>
        <w:rPr>
          <w:b/>
        </w:rPr>
        <w:t xml:space="preserve">Vingt-huitième </w:t>
      </w:r>
      <w:r w:rsidRPr="00234E40">
        <w:rPr>
          <w:b/>
        </w:rPr>
        <w:t>session</w:t>
      </w:r>
    </w:p>
    <w:p w:rsidR="0049374F" w:rsidRDefault="0049374F" w:rsidP="0049374F">
      <w:r>
        <w:t>Genève, 25-29 janvier 2016</w:t>
      </w:r>
    </w:p>
    <w:p w:rsidR="0049374F" w:rsidRDefault="0049374F" w:rsidP="0049374F">
      <w:r w:rsidRPr="00B93E72">
        <w:t xml:space="preserve">Point </w:t>
      </w:r>
      <w:r>
        <w:t>5 a)</w:t>
      </w:r>
      <w:r w:rsidRPr="00B93E72">
        <w:t xml:space="preserve"> de l</w:t>
      </w:r>
      <w:r>
        <w:t>’</w:t>
      </w:r>
      <w:r w:rsidRPr="00B93E72">
        <w:t>ordre du jour provisoire</w:t>
      </w:r>
    </w:p>
    <w:p w:rsidR="0049374F" w:rsidRPr="00602512" w:rsidRDefault="0049374F" w:rsidP="0049374F">
      <w:pPr>
        <w:rPr>
          <w:b/>
          <w:lang w:val="fr-FR"/>
        </w:rPr>
      </w:pPr>
      <w:r w:rsidRPr="00602512">
        <w:rPr>
          <w:b/>
          <w:lang w:val="fr-FR"/>
        </w:rPr>
        <w:t>Propositions d’amendements au règlement annexé à l’ADN</w:t>
      </w:r>
      <w:r>
        <w:rPr>
          <w:b/>
          <w:lang w:val="fr-FR"/>
        </w:rPr>
        <w:t>:</w:t>
      </w:r>
    </w:p>
    <w:p w:rsidR="0049374F" w:rsidRPr="0046419E" w:rsidRDefault="0049374F" w:rsidP="0049374F">
      <w:pPr>
        <w:rPr>
          <w:lang w:val="fr-FR"/>
        </w:rPr>
      </w:pPr>
      <w:r w:rsidRPr="0046419E">
        <w:rPr>
          <w:b/>
          <w:color w:val="000000"/>
          <w:szCs w:val="24"/>
          <w:lang w:val="fr-FR" w:eastAsia="fr-FR"/>
        </w:rPr>
        <w:t>Travaux de</w:t>
      </w:r>
      <w:r w:rsidR="00085208">
        <w:rPr>
          <w:b/>
          <w:color w:val="000000"/>
          <w:szCs w:val="24"/>
          <w:lang w:val="fr-FR" w:eastAsia="fr-FR"/>
        </w:rPr>
        <w:t xml:space="preserve"> la </w:t>
      </w:r>
      <w:r w:rsidR="00085208">
        <w:rPr>
          <w:b/>
          <w:lang w:val="fr-FR"/>
        </w:rPr>
        <w:t>Réunion Commune RID/ADR/ADN</w:t>
      </w:r>
    </w:p>
    <w:p w:rsidR="0049374F" w:rsidRPr="0046419E" w:rsidRDefault="0049374F" w:rsidP="0049374F">
      <w:pPr>
        <w:keepNext/>
        <w:keepLines/>
        <w:tabs>
          <w:tab w:val="right" w:pos="851"/>
        </w:tabs>
        <w:spacing w:before="360" w:after="240" w:line="300" w:lineRule="exact"/>
        <w:ind w:left="1134" w:right="1134" w:hanging="1134"/>
        <w:rPr>
          <w:b/>
          <w:sz w:val="28"/>
          <w:lang w:val="fr-FR"/>
        </w:rPr>
      </w:pPr>
      <w:r w:rsidRPr="0046419E">
        <w:rPr>
          <w:b/>
          <w:sz w:val="28"/>
          <w:lang w:val="fr-FR"/>
        </w:rPr>
        <w:tab/>
      </w:r>
      <w:r w:rsidRPr="0046419E">
        <w:rPr>
          <w:b/>
          <w:sz w:val="28"/>
          <w:lang w:val="fr-FR"/>
        </w:rPr>
        <w:tab/>
      </w:r>
      <w:r w:rsidR="00ED3214">
        <w:rPr>
          <w:b/>
          <w:sz w:val="28"/>
          <w:lang w:val="fr-FR"/>
        </w:rPr>
        <w:t xml:space="preserve">Projet d'amendements du </w:t>
      </w:r>
      <w:r w:rsidR="00ED3214" w:rsidRPr="00ED3214">
        <w:rPr>
          <w:b/>
          <w:sz w:val="28"/>
          <w:lang w:val="fr-FR"/>
        </w:rPr>
        <w:t xml:space="preserve">Groupe de travail spécial de l’harmonisation des Règlements RID/ADR/ADN avec les Recommandations de l’ONU relatives au transport des marchandises dangereuses </w:t>
      </w:r>
      <w:r w:rsidR="00AE5242">
        <w:rPr>
          <w:b/>
          <w:sz w:val="28"/>
          <w:lang w:val="fr-FR"/>
        </w:rPr>
        <w:t>et modifié</w:t>
      </w:r>
      <w:r w:rsidRPr="0046419E">
        <w:rPr>
          <w:b/>
          <w:sz w:val="28"/>
          <w:lang w:val="fr-FR"/>
        </w:rPr>
        <w:t xml:space="preserve"> </w:t>
      </w:r>
      <w:r w:rsidR="00AE4F08" w:rsidRPr="0046419E">
        <w:rPr>
          <w:b/>
          <w:sz w:val="28"/>
          <w:lang w:val="fr-FR"/>
        </w:rPr>
        <w:t xml:space="preserve">par la </w:t>
      </w:r>
      <w:r w:rsidR="00FD64E0" w:rsidRPr="0046419E">
        <w:rPr>
          <w:b/>
          <w:sz w:val="28"/>
          <w:lang w:val="fr-FR"/>
        </w:rPr>
        <w:t>Réunion</w:t>
      </w:r>
      <w:r w:rsidR="00216861" w:rsidRPr="0046419E">
        <w:rPr>
          <w:b/>
          <w:bCs/>
          <w:sz w:val="28"/>
          <w:lang w:val="fr-FR"/>
        </w:rPr>
        <w:t xml:space="preserve"> </w:t>
      </w:r>
      <w:r w:rsidR="00085208">
        <w:rPr>
          <w:b/>
          <w:bCs/>
          <w:sz w:val="28"/>
          <w:lang w:val="fr-FR"/>
        </w:rPr>
        <w:t>Commune RID/ADR/ADN</w:t>
      </w:r>
      <w:r w:rsidR="00216861" w:rsidRPr="0046419E">
        <w:rPr>
          <w:b/>
          <w:sz w:val="28"/>
          <w:lang w:val="fr-FR"/>
        </w:rPr>
        <w:t xml:space="preserve"> pour </w:t>
      </w:r>
      <w:proofErr w:type="spellStart"/>
      <w:r w:rsidR="00216861" w:rsidRPr="0046419E">
        <w:rPr>
          <w:b/>
          <w:sz w:val="28"/>
          <w:lang w:val="fr-FR"/>
        </w:rPr>
        <w:t>entrée</w:t>
      </w:r>
      <w:proofErr w:type="spellEnd"/>
      <w:r w:rsidR="00216861" w:rsidRPr="0046419E">
        <w:rPr>
          <w:b/>
          <w:sz w:val="28"/>
          <w:lang w:val="fr-FR"/>
        </w:rPr>
        <w:t xml:space="preserve"> en vigueur le </w:t>
      </w:r>
      <w:r w:rsidR="007F1D96">
        <w:rPr>
          <w:b/>
          <w:sz w:val="28"/>
          <w:lang w:val="fr-FR"/>
        </w:rPr>
        <w:br/>
      </w:r>
      <w:r w:rsidR="00216861" w:rsidRPr="0046419E">
        <w:rPr>
          <w:b/>
          <w:sz w:val="28"/>
          <w:lang w:val="fr-FR"/>
        </w:rPr>
        <w:t>1</w:t>
      </w:r>
      <w:r w:rsidR="00216861" w:rsidRPr="007F1D96">
        <w:rPr>
          <w:b/>
          <w:sz w:val="28"/>
          <w:vertAlign w:val="superscript"/>
          <w:lang w:val="fr-FR"/>
        </w:rPr>
        <w:t>er</w:t>
      </w:r>
      <w:r w:rsidR="007F1D96">
        <w:rPr>
          <w:b/>
          <w:sz w:val="28"/>
          <w:vertAlign w:val="superscript"/>
          <w:lang w:val="fr-FR"/>
        </w:rPr>
        <w:t xml:space="preserve"> </w:t>
      </w:r>
      <w:r w:rsidR="002D3B2E">
        <w:rPr>
          <w:b/>
          <w:sz w:val="28"/>
          <w:lang w:val="fr-FR"/>
        </w:rPr>
        <w:t xml:space="preserve"> janvier 2017</w:t>
      </w:r>
    </w:p>
    <w:p w:rsidR="0049374F" w:rsidRPr="00ED3214" w:rsidRDefault="0049374F" w:rsidP="0049374F">
      <w:pPr>
        <w:keepNext/>
        <w:keepLines/>
        <w:tabs>
          <w:tab w:val="right" w:pos="851"/>
        </w:tabs>
        <w:spacing w:before="360" w:after="240" w:line="270" w:lineRule="exact"/>
        <w:ind w:left="1134" w:right="1134" w:hanging="1134"/>
        <w:rPr>
          <w:b/>
          <w:sz w:val="24"/>
          <w:lang w:val="fr-FR"/>
        </w:rPr>
      </w:pPr>
      <w:r w:rsidRPr="0046419E">
        <w:rPr>
          <w:b/>
          <w:sz w:val="24"/>
          <w:lang w:val="fr-FR"/>
        </w:rPr>
        <w:tab/>
      </w:r>
      <w:r w:rsidRPr="0046419E">
        <w:rPr>
          <w:b/>
          <w:sz w:val="24"/>
          <w:lang w:val="fr-FR"/>
        </w:rPr>
        <w:tab/>
      </w:r>
      <w:r w:rsidRPr="00ED3214">
        <w:rPr>
          <w:b/>
          <w:sz w:val="24"/>
          <w:lang w:val="fr-FR"/>
        </w:rPr>
        <w:t xml:space="preserve">Note </w:t>
      </w:r>
      <w:r w:rsidR="0027037E" w:rsidRPr="00ED3214">
        <w:rPr>
          <w:b/>
          <w:sz w:val="24"/>
          <w:lang w:val="fr-FR"/>
        </w:rPr>
        <w:t>du secrétariat</w:t>
      </w:r>
      <w:r w:rsidR="002D3B2E" w:rsidRPr="00D932E6">
        <w:rPr>
          <w:rStyle w:val="FootnoteReference"/>
          <w:b/>
          <w:sz w:val="22"/>
          <w:szCs w:val="22"/>
        </w:rPr>
        <w:footnoteReference w:id="2"/>
      </w:r>
    </w:p>
    <w:p w:rsidR="0049374F" w:rsidRPr="00ED3214" w:rsidRDefault="0046419E" w:rsidP="0049374F">
      <w:pPr>
        <w:spacing w:after="120"/>
        <w:ind w:left="1134" w:right="1134"/>
        <w:jc w:val="both"/>
        <w:rPr>
          <w:lang w:val="fr-FR"/>
        </w:rPr>
      </w:pPr>
      <w:r w:rsidRPr="00ED3214">
        <w:rPr>
          <w:lang w:val="fr-FR" w:bidi="fr-CH"/>
        </w:rPr>
        <w:t xml:space="preserve">Le </w:t>
      </w:r>
      <w:r w:rsidR="00ED3214" w:rsidRPr="00ED3214">
        <w:rPr>
          <w:lang w:val="fr-FR" w:bidi="fr-CH"/>
        </w:rPr>
        <w:t>ra</w:t>
      </w:r>
      <w:r w:rsidR="00ED3214">
        <w:rPr>
          <w:lang w:val="fr-FR" w:bidi="fr-CH"/>
        </w:rPr>
        <w:t xml:space="preserve">pport du </w:t>
      </w:r>
      <w:r w:rsidRPr="00ED3214">
        <w:rPr>
          <w:lang w:val="fr-FR" w:bidi="fr-CH"/>
        </w:rPr>
        <w:t xml:space="preserve">Groupe de travail spécial de l’harmonisation des Règlements RID/ADR/ADN avec les Recommandations de l’ONU relatives au transport des marchandises dangereuses </w:t>
      </w:r>
      <w:r w:rsidR="00ED3214">
        <w:rPr>
          <w:lang w:val="fr-FR" w:bidi="fr-CH"/>
        </w:rPr>
        <w:t xml:space="preserve">se trouve dans le document </w:t>
      </w:r>
      <w:r w:rsidR="0049374F" w:rsidRPr="00ED3214">
        <w:rPr>
          <w:lang w:val="fr-FR"/>
        </w:rPr>
        <w:t>ECE/TRANS/WP.15/AC.1/2015/23.</w:t>
      </w:r>
    </w:p>
    <w:p w:rsidR="0049374F" w:rsidRPr="00ED3214" w:rsidRDefault="0046419E" w:rsidP="0049374F">
      <w:pPr>
        <w:spacing w:after="120"/>
        <w:ind w:left="1134" w:right="1134"/>
        <w:jc w:val="both"/>
      </w:pPr>
      <w:r w:rsidRPr="005C53B5">
        <w:rPr>
          <w:lang w:bidi="fr-CH"/>
        </w:rPr>
        <w:t xml:space="preserve">Les projets d’amendements aux Règlements RID/ADR/ADN proposés par le Groupe de travail spécial </w:t>
      </w:r>
      <w:r w:rsidR="00AE5242" w:rsidRPr="005C53B5">
        <w:rPr>
          <w:lang w:bidi="fr-CH"/>
        </w:rPr>
        <w:t>(ECE/TRANS/WP.15</w:t>
      </w:r>
      <w:r w:rsidR="00AE5242">
        <w:rPr>
          <w:lang w:bidi="fr-CH"/>
        </w:rPr>
        <w:t xml:space="preserve">/AC.1/2015/23/Add.1) </w:t>
      </w:r>
      <w:r w:rsidR="00ED3214">
        <w:rPr>
          <w:lang w:bidi="fr-CH"/>
        </w:rPr>
        <w:t xml:space="preserve">ont été examinés par la Réunion Commune RID/ADR/ADN à sa session d'automne 2015 (Genève, 15-25 septembre 2015) et la Réunion Commune a proposé des modifications qui se trouvent dans le document </w:t>
      </w:r>
      <w:r w:rsidR="0049374F" w:rsidRPr="00ED3214">
        <w:t>ECE/TRANS/WP.15/AC.1/140/Add.1.</w:t>
      </w:r>
    </w:p>
    <w:p w:rsidR="0049374F" w:rsidRPr="002D3B2E" w:rsidRDefault="00ED3214" w:rsidP="002D3B2E">
      <w:pPr>
        <w:spacing w:after="120"/>
        <w:ind w:left="1134" w:right="1134"/>
        <w:jc w:val="both"/>
      </w:pPr>
      <w:r w:rsidRPr="00AE5242">
        <w:lastRenderedPageBreak/>
        <w:t xml:space="preserve">Les projets d'amendements tels que modifié par la Réunion Commune </w:t>
      </w:r>
      <w:r w:rsidR="00AE5242" w:rsidRPr="00AE5242">
        <w:rPr>
          <w:lang w:val="fr-FR"/>
        </w:rPr>
        <w:t>q</w:t>
      </w:r>
      <w:r w:rsidR="00AE5242">
        <w:rPr>
          <w:lang w:val="fr-FR"/>
        </w:rPr>
        <w:t>ui pourrait être considéré</w:t>
      </w:r>
      <w:r w:rsidR="00AE5242" w:rsidRPr="00AE5242">
        <w:rPr>
          <w:lang w:val="fr-FR"/>
        </w:rPr>
        <w:t xml:space="preserve"> pertinent pour l'ADN peuvent être trouvés ci-dessous</w:t>
      </w:r>
      <w:r w:rsidR="002D3B2E">
        <w:t>.</w:t>
      </w:r>
    </w:p>
    <w:p w:rsidR="00FE2AF4" w:rsidRDefault="00FE2AF4" w:rsidP="00FE2AF4">
      <w:pPr>
        <w:pStyle w:val="H1G"/>
        <w:rPr>
          <w:lang w:val="fr-FR"/>
        </w:rPr>
      </w:pPr>
      <w:r w:rsidRPr="00AE5242">
        <w:tab/>
      </w:r>
      <w:r w:rsidRPr="00AE5242">
        <w:tab/>
      </w:r>
      <w:r>
        <w:rPr>
          <w:lang w:val="fr-FR"/>
        </w:rPr>
        <w:t>Chapitre 1.2</w:t>
      </w:r>
    </w:p>
    <w:p w:rsidR="00FE2AF4" w:rsidRDefault="00FE2AF4" w:rsidP="00FE2AF4">
      <w:pPr>
        <w:pStyle w:val="SingleTxtG"/>
        <w:tabs>
          <w:tab w:val="left" w:pos="2268"/>
        </w:tabs>
        <w:rPr>
          <w:lang w:val="fr-FR"/>
        </w:rPr>
      </w:pPr>
      <w:r>
        <w:rPr>
          <w:lang w:val="fr-FR"/>
        </w:rPr>
        <w:t>1.2.1</w:t>
      </w:r>
      <w:r>
        <w:rPr>
          <w:lang w:val="fr-FR"/>
        </w:rPr>
        <w:tab/>
        <w:t>Modifier le début de la définition d’</w:t>
      </w:r>
      <w:r w:rsidRPr="002B155B">
        <w:rPr>
          <w:i/>
          <w:iCs/>
          <w:lang w:val="fr-FR"/>
        </w:rPr>
        <w:t>Aérosols ou générateurs d'aérosols</w:t>
      </w:r>
      <w:r>
        <w:rPr>
          <w:lang w:val="fr-FR"/>
        </w:rPr>
        <w:t xml:space="preserve"> pour lire comme suit: «</w:t>
      </w:r>
      <w:r w:rsidRPr="00547717">
        <w:rPr>
          <w:i/>
          <w:lang w:val="fr-FR"/>
        </w:rPr>
        <w:t>Aérosol ou générateur d’aérosol</w:t>
      </w:r>
      <w:r>
        <w:rPr>
          <w:lang w:val="fr-FR"/>
        </w:rPr>
        <w:t>, un objet constitué d’un récipient non rechargeable</w:t>
      </w:r>
      <w:r w:rsidRPr="00EA0CDC">
        <w:rPr>
          <w:lang w:val="fr-FR"/>
        </w:rPr>
        <w:t xml:space="preserve"> répondant aux prescriptions du 6.2.4</w:t>
      </w:r>
      <w:r w:rsidR="0049374F">
        <w:rPr>
          <w:lang w:val="fr-FR"/>
        </w:rPr>
        <w:t xml:space="preserve"> de l'ADR</w:t>
      </w:r>
      <w:r w:rsidRPr="004357DE">
        <w:rPr>
          <w:lang w:val="fr-FR"/>
        </w:rPr>
        <w:t>,...»</w:t>
      </w:r>
      <w:r>
        <w:rPr>
          <w:lang w:val="fr-FR"/>
        </w:rPr>
        <w:t>.</w:t>
      </w:r>
    </w:p>
    <w:p w:rsidR="00FE2AF4" w:rsidRDefault="00FE2AF4" w:rsidP="00FE2AF4">
      <w:pPr>
        <w:pStyle w:val="SingleTxtG"/>
        <w:tabs>
          <w:tab w:val="left" w:pos="2268"/>
        </w:tabs>
        <w:rPr>
          <w:lang w:val="fr-FR"/>
        </w:rPr>
      </w:pPr>
      <w:r>
        <w:rPr>
          <w:lang w:val="fr-FR"/>
        </w:rPr>
        <w:t>1.2.1</w:t>
      </w:r>
      <w:r>
        <w:rPr>
          <w:lang w:val="fr-FR"/>
        </w:rPr>
        <w:tab/>
        <w:t xml:space="preserve">Dans la définition de </w:t>
      </w:r>
      <w:r>
        <w:rPr>
          <w:i/>
          <w:lang w:val="fr-FR"/>
        </w:rPr>
        <w:t>CGA</w:t>
      </w:r>
      <w:r>
        <w:rPr>
          <w:lang w:val="fr-FR"/>
        </w:rPr>
        <w:t>, modifier l’adresse entre parenthèses pour lire comme suit: «</w:t>
      </w:r>
      <w:r w:rsidRPr="0081779B">
        <w:t xml:space="preserve">CGA, 14501 George Carter </w:t>
      </w:r>
      <w:proofErr w:type="spellStart"/>
      <w:r w:rsidRPr="0081779B">
        <w:t>Way</w:t>
      </w:r>
      <w:proofErr w:type="spellEnd"/>
      <w:r w:rsidRPr="0081779B">
        <w:t xml:space="preserve">, Suite 103, Chantilly, VA 20151, </w:t>
      </w:r>
      <w:r w:rsidRPr="00D1680C">
        <w:rPr>
          <w:lang w:val="fr-FR"/>
        </w:rPr>
        <w:t>États-Unis d'Amérique</w:t>
      </w:r>
      <w:r>
        <w:rPr>
          <w:lang w:val="fr-FR"/>
        </w:rPr>
        <w:t>».</w:t>
      </w:r>
    </w:p>
    <w:p w:rsidR="00FE2AF4" w:rsidRPr="00792477" w:rsidRDefault="00FE2AF4" w:rsidP="00FE2AF4">
      <w:pPr>
        <w:pStyle w:val="SingleTxtG"/>
        <w:tabs>
          <w:tab w:val="left" w:pos="2268"/>
        </w:tabs>
        <w:ind w:left="1170"/>
      </w:pPr>
      <w:r w:rsidRPr="00792477">
        <w:t xml:space="preserve">1.2.1 </w:t>
      </w:r>
      <w:r w:rsidRPr="00792477">
        <w:tab/>
      </w:r>
      <w:r w:rsidRPr="00792477">
        <w:rPr>
          <w:lang w:val="fr-FR"/>
        </w:rPr>
        <w:t xml:space="preserve">Dans la définition de </w:t>
      </w:r>
      <w:r w:rsidRPr="00792477">
        <w:rPr>
          <w:i/>
          <w:lang w:val="fr-FR"/>
        </w:rPr>
        <w:t>SGH</w:t>
      </w:r>
      <w:r w:rsidRPr="00792477">
        <w:t>, remplacer «cinquième édition» par «sixième édition» et remplacer «</w:t>
      </w:r>
      <w:r w:rsidRPr="00792477">
        <w:rPr>
          <w:lang w:val="fr-FR"/>
        </w:rPr>
        <w:t>ST/SG/AC.10/30/Rev.5</w:t>
      </w:r>
      <w:r w:rsidRPr="00792477">
        <w:t>» par «</w:t>
      </w:r>
      <w:r w:rsidRPr="00792477">
        <w:rPr>
          <w:lang w:val="fr-FR"/>
        </w:rPr>
        <w:t>ST/SG/AC.10/30/Rev.6</w:t>
      </w:r>
      <w:r>
        <w:t>».</w:t>
      </w:r>
    </w:p>
    <w:p w:rsidR="00FE2AF4" w:rsidRPr="00792477" w:rsidRDefault="00FE2AF4" w:rsidP="00FE2AF4">
      <w:pPr>
        <w:pStyle w:val="SingleTxtG"/>
        <w:tabs>
          <w:tab w:val="left" w:pos="2268"/>
        </w:tabs>
        <w:ind w:left="1170"/>
      </w:pPr>
      <w:r w:rsidRPr="00792477">
        <w:t>1.2.1</w:t>
      </w:r>
      <w:r w:rsidRPr="00792477">
        <w:tab/>
      </w:r>
      <w:r w:rsidRPr="00792477">
        <w:rPr>
          <w:lang w:val="fr-FR"/>
        </w:rPr>
        <w:t>Dans la définition de</w:t>
      </w:r>
      <w:r w:rsidRPr="00792477">
        <w:t xml:space="preserve"> </w:t>
      </w:r>
      <w:r w:rsidRPr="00792477">
        <w:rPr>
          <w:i/>
        </w:rPr>
        <w:t>Manuel d'épreuves et de critères</w:t>
      </w:r>
      <w:r w:rsidRPr="00792477">
        <w:t>, remplacer «cinquième édition» par «sixième édition» et remplacer «ST/SG/AC.10/11/Rev.5, Amend.1 et Amend.2» par «ST/SG/AC.10/11/Rev.6».</w:t>
      </w:r>
    </w:p>
    <w:p w:rsidR="00FE2AF4" w:rsidRPr="00855A13" w:rsidRDefault="00FE2AF4" w:rsidP="00FE2AF4">
      <w:pPr>
        <w:pStyle w:val="SingleTxtG"/>
        <w:tabs>
          <w:tab w:val="left" w:pos="2268"/>
        </w:tabs>
      </w:pPr>
      <w:r w:rsidRPr="00855A13">
        <w:t>1.2.1</w:t>
      </w:r>
      <w:r w:rsidRPr="00855A13">
        <w:tab/>
        <w:t xml:space="preserve">Dans la définition de </w:t>
      </w:r>
      <w:r>
        <w:rPr>
          <w:i/>
        </w:rPr>
        <w:t>G</w:t>
      </w:r>
      <w:r w:rsidRPr="00046893">
        <w:rPr>
          <w:i/>
        </w:rPr>
        <w:t>rand emballage de secours</w:t>
      </w:r>
      <w:r>
        <w:t>, r</w:t>
      </w:r>
      <w:r w:rsidRPr="00855A13">
        <w:t>emplacer «ou présentant des fuites» par «, présentant des fuites ou non conformes».</w:t>
      </w:r>
    </w:p>
    <w:p w:rsidR="00FE2AF4" w:rsidRPr="003B0EF6" w:rsidRDefault="00FE2AF4" w:rsidP="00FE2AF4">
      <w:pPr>
        <w:pStyle w:val="SingleTxtG"/>
        <w:tabs>
          <w:tab w:val="left" w:pos="2268"/>
        </w:tabs>
        <w:rPr>
          <w:lang w:val="fr-FR"/>
        </w:rPr>
      </w:pPr>
      <w:r>
        <w:t>1.2.1</w:t>
      </w:r>
      <w:r>
        <w:tab/>
        <w:t xml:space="preserve">Dans la définition de </w:t>
      </w:r>
      <w:r w:rsidRPr="004B7705">
        <w:rPr>
          <w:i/>
          <w:iCs/>
          <w:szCs w:val="22"/>
        </w:rPr>
        <w:t>Récipient à pression de secours</w:t>
      </w:r>
      <w:r>
        <w:t>, remplacer «1 000 litres» par «3</w:t>
      </w:r>
      <w:r>
        <w:rPr>
          <w:sz w:val="18"/>
        </w:rPr>
        <w:t> 000 litres</w:t>
      </w:r>
      <w:r>
        <w:t>».</w:t>
      </w:r>
    </w:p>
    <w:p w:rsidR="00FE2AF4" w:rsidRDefault="00FE2AF4" w:rsidP="00FE2AF4">
      <w:pPr>
        <w:pStyle w:val="SingleTxtG"/>
        <w:tabs>
          <w:tab w:val="left" w:pos="2268"/>
        </w:tabs>
        <w:rPr>
          <w:lang w:val="fr-FR"/>
        </w:rPr>
      </w:pPr>
      <w:r>
        <w:rPr>
          <w:lang w:val="fr-FR"/>
        </w:rPr>
        <w:t>1.2.1</w:t>
      </w:r>
      <w:r>
        <w:rPr>
          <w:lang w:val="fr-FR"/>
        </w:rPr>
        <w:tab/>
        <w:t xml:space="preserve">Dans la définition de </w:t>
      </w:r>
      <w:r>
        <w:rPr>
          <w:i/>
          <w:lang w:val="fr-FR"/>
        </w:rPr>
        <w:t>Tube</w:t>
      </w:r>
      <w:r>
        <w:rPr>
          <w:lang w:val="fr-FR"/>
        </w:rPr>
        <w:t>, après «sans soudure», ajouter «ou de construction composite».</w:t>
      </w:r>
    </w:p>
    <w:p w:rsidR="009817BD" w:rsidRDefault="009817BD" w:rsidP="009817BD">
      <w:pPr>
        <w:pStyle w:val="SingleTxtG"/>
        <w:tabs>
          <w:tab w:val="left" w:pos="2268"/>
        </w:tabs>
        <w:rPr>
          <w:lang w:val="fr-FR"/>
        </w:rPr>
      </w:pPr>
      <w:r>
        <w:rPr>
          <w:lang w:val="fr-FR"/>
        </w:rPr>
        <w:t>1.2.1</w:t>
      </w:r>
      <w:r>
        <w:rPr>
          <w:lang w:val="fr-FR"/>
        </w:rPr>
        <w:tab/>
        <w:t xml:space="preserve">Dans la définition de </w:t>
      </w:r>
      <w:r w:rsidRPr="001A37C7">
        <w:rPr>
          <w:i/>
          <w:lang w:val="fr-FR"/>
        </w:rPr>
        <w:t>Règlement type de l'ONU</w:t>
      </w:r>
      <w:r>
        <w:rPr>
          <w:lang w:val="fr-FR"/>
        </w:rPr>
        <w:t>, r</w:t>
      </w:r>
      <w:r w:rsidRPr="00B32A61">
        <w:rPr>
          <w:lang w:val="fr-FR"/>
        </w:rPr>
        <w:t>emplacer «dix- huitième» par «dix-</w:t>
      </w:r>
      <w:r>
        <w:rPr>
          <w:lang w:val="fr-FR"/>
        </w:rPr>
        <w:t>neuvième</w:t>
      </w:r>
      <w:r w:rsidRPr="00B32A61">
        <w:rPr>
          <w:lang w:val="fr-FR"/>
        </w:rPr>
        <w:t xml:space="preserve">» et </w:t>
      </w:r>
      <w:r>
        <w:rPr>
          <w:lang w:val="fr-FR"/>
        </w:rPr>
        <w:t xml:space="preserve">remplacer </w:t>
      </w:r>
      <w:r w:rsidRPr="00B32A61">
        <w:rPr>
          <w:lang w:val="fr-FR"/>
        </w:rPr>
        <w:t>«(ST/SG/AC.10/1/Rev.</w:t>
      </w:r>
      <w:r>
        <w:rPr>
          <w:lang w:val="fr-FR"/>
        </w:rPr>
        <w:t>18</w:t>
      </w:r>
      <w:r w:rsidRPr="00B32A61">
        <w:rPr>
          <w:lang w:val="fr-FR"/>
        </w:rPr>
        <w:t>)» par «(ST/SG/AC.10/1/Rev.</w:t>
      </w:r>
      <w:r>
        <w:rPr>
          <w:lang w:val="fr-FR"/>
        </w:rPr>
        <w:t>19</w:t>
      </w:r>
      <w:r w:rsidRPr="00B32A61">
        <w:rPr>
          <w:lang w:val="fr-FR"/>
        </w:rPr>
        <w:t>)».</w:t>
      </w:r>
    </w:p>
    <w:p w:rsidR="00FE2AF4" w:rsidRDefault="00FE2AF4" w:rsidP="00FE2AF4">
      <w:pPr>
        <w:pStyle w:val="SingleTxtG"/>
        <w:tabs>
          <w:tab w:val="left" w:pos="2268"/>
        </w:tabs>
      </w:pPr>
      <w:r>
        <w:rPr>
          <w:lang w:val="fr-FR"/>
        </w:rPr>
        <w:t>1.2.1</w:t>
      </w:r>
      <w:r>
        <w:rPr>
          <w:lang w:val="fr-FR"/>
        </w:rPr>
        <w:tab/>
      </w:r>
      <w:r>
        <w:t xml:space="preserve">Ajouter les nouvelles définitions suivantes </w:t>
      </w:r>
      <w:r w:rsidRPr="002B155B">
        <w:t>dans l’ordre alphabétique:</w:t>
      </w:r>
    </w:p>
    <w:p w:rsidR="00FE2AF4" w:rsidRDefault="00FE2AF4" w:rsidP="00FE2AF4">
      <w:pPr>
        <w:pStyle w:val="SingleTxtG"/>
      </w:pPr>
      <w:r w:rsidRPr="006B1C10">
        <w:t>«</w:t>
      </w:r>
      <w:r w:rsidRPr="006B1C10">
        <w:rPr>
          <w:i/>
        </w:rPr>
        <w:t>Durée de service</w:t>
      </w:r>
      <w:r w:rsidRPr="006B1C10">
        <w:t xml:space="preserve">, pour les bouteilles </w:t>
      </w:r>
      <w:r>
        <w:t xml:space="preserve">et les tubes </w:t>
      </w:r>
      <w:r w:rsidRPr="006B1C10">
        <w:t>composites, le nombre d’années autorisées pour le maintien en service de la bouteille</w:t>
      </w:r>
      <w:r>
        <w:t xml:space="preserve"> ou du tube</w:t>
      </w:r>
      <w:r w:rsidRPr="006B1C10">
        <w:t>;»</w:t>
      </w:r>
    </w:p>
    <w:p w:rsidR="00FE2AF4" w:rsidRDefault="00FE2AF4" w:rsidP="00FE2AF4">
      <w:pPr>
        <w:pStyle w:val="SingleTxtG"/>
      </w:pPr>
      <w:r>
        <w:t>«</w:t>
      </w:r>
      <w:r w:rsidRPr="00634E61">
        <w:rPr>
          <w:i/>
        </w:rPr>
        <w:t>Durée de vie nominale</w:t>
      </w:r>
      <w:r>
        <w:t xml:space="preserve">, </w:t>
      </w:r>
      <w:r w:rsidRPr="00463C02">
        <w:t>pour les bouteilles</w:t>
      </w:r>
      <w:r>
        <w:t xml:space="preserve"> et les tubes </w:t>
      </w:r>
      <w:r w:rsidRPr="00463C02">
        <w:t>composites,</w:t>
      </w:r>
      <w:r>
        <w:t xml:space="preserve"> la durée de vie maximale (en nombre d’années) pour laquelle la bouteille ou le tube est conçu et approuvé conformément à la norme applicable;».</w:t>
      </w:r>
    </w:p>
    <w:p w:rsidR="00FE2AF4" w:rsidRPr="00C24965" w:rsidRDefault="00FE2AF4" w:rsidP="00FE2AF4">
      <w:pPr>
        <w:pStyle w:val="SingleTxtG"/>
      </w:pPr>
      <w:r w:rsidRPr="000C748A">
        <w:t>«</w:t>
      </w:r>
      <w:r w:rsidRPr="000C748A">
        <w:rPr>
          <w:i/>
        </w:rPr>
        <w:t>Température de polymérisation auto-accélérée (TPAA)</w:t>
      </w:r>
      <w:r w:rsidRPr="000C748A">
        <w:t xml:space="preserve">, </w:t>
      </w:r>
      <w:r>
        <w:t xml:space="preserve">la </w:t>
      </w:r>
      <w:r w:rsidRPr="000C748A">
        <w:t>température la plus basse à laquelle une matière peut commencer à polymériser dans l’emballage</w:t>
      </w:r>
      <w:r>
        <w:t xml:space="preserve">, le GRV ou la citerne </w:t>
      </w:r>
      <w:r w:rsidR="00216861">
        <w:t>tel que remis</w:t>
      </w:r>
      <w:r w:rsidRPr="000C748A">
        <w:t xml:space="preserve"> au transport. </w:t>
      </w:r>
      <w:r>
        <w:t>Elle s’</w:t>
      </w:r>
      <w:r w:rsidRPr="000C748A">
        <w:t xml:space="preserve">obtient en appliquant les </w:t>
      </w:r>
      <w:r>
        <w:t xml:space="preserve">mêmes </w:t>
      </w:r>
      <w:r w:rsidRPr="000C748A">
        <w:t xml:space="preserve">procédures d’épreuve </w:t>
      </w:r>
      <w:r>
        <w:t>que pour</w:t>
      </w:r>
      <w:r w:rsidRPr="000C748A">
        <w:t xml:space="preserve"> déterminer la température de décomposition auto-accélérée des matières </w:t>
      </w:r>
      <w:proofErr w:type="spellStart"/>
      <w:r w:rsidRPr="000C748A">
        <w:t>autoréactives</w:t>
      </w:r>
      <w:proofErr w:type="spellEnd"/>
      <w:r w:rsidRPr="000C748A">
        <w:t xml:space="preserve">, conformément </w:t>
      </w:r>
      <w:r>
        <w:t>à la section 28 de la deuxième partie du</w:t>
      </w:r>
      <w:r w:rsidRPr="000C748A">
        <w:t xml:space="preserve"> Manuel d’épreuves et de critères</w:t>
      </w:r>
      <w:r>
        <w:t>.</w:t>
      </w:r>
      <w:r w:rsidRPr="000C748A">
        <w:t>».</w:t>
      </w:r>
    </w:p>
    <w:p w:rsidR="00FE1D5F" w:rsidRDefault="00FE1D5F" w:rsidP="00FE1D5F">
      <w:pPr>
        <w:pStyle w:val="H1G"/>
        <w:rPr>
          <w:lang w:val="fr-FR"/>
        </w:rPr>
      </w:pPr>
      <w:r>
        <w:rPr>
          <w:lang w:val="fr-FR"/>
        </w:rPr>
        <w:tab/>
      </w:r>
      <w:r>
        <w:rPr>
          <w:lang w:val="fr-FR"/>
        </w:rPr>
        <w:tab/>
        <w:t>Chapitre 1.6</w:t>
      </w:r>
    </w:p>
    <w:p w:rsidR="002D0474" w:rsidRDefault="002D0474" w:rsidP="001A37C7">
      <w:pPr>
        <w:pStyle w:val="SingleTxtG"/>
      </w:pPr>
      <w:r>
        <w:t>1.6.1.25</w:t>
      </w:r>
      <w:r>
        <w:tab/>
        <w:t>Modifier pour lire comme suit:</w:t>
      </w:r>
    </w:p>
    <w:p w:rsidR="002D0474" w:rsidRDefault="002D0474" w:rsidP="001A37C7">
      <w:pPr>
        <w:pStyle w:val="SingleTxtG"/>
      </w:pPr>
      <w:r>
        <w:t>«</w:t>
      </w:r>
      <w:r w:rsidRPr="002D0474">
        <w:t>1.6.1.25</w:t>
      </w:r>
      <w:r w:rsidRPr="002D0474">
        <w:tab/>
      </w:r>
      <w:r>
        <w:t>L</w:t>
      </w:r>
      <w:r w:rsidRPr="002D0474">
        <w:t>es bouteilles d'une contenance en eau ne dépassant pas 60 litres marqué</w:t>
      </w:r>
      <w:r>
        <w:t>e</w:t>
      </w:r>
      <w:r w:rsidRPr="002D0474">
        <w:t xml:space="preserve">s avec un numéro ONU conformément aux dispositions </w:t>
      </w:r>
      <w:r>
        <w:t>l’ADN</w:t>
      </w:r>
      <w:r w:rsidRPr="002D0474">
        <w:t xml:space="preserve"> applicable jusqu'au 31 décembre 2012 et qui ne sont pas conformes aux prescriptions du 5.2.1.1 concernant la taille du numéro ONU et des lettres </w:t>
      </w:r>
      <w:r w:rsidR="00D932E6">
        <w:t>«</w:t>
      </w:r>
      <w:r w:rsidRPr="002D0474">
        <w:t>UN</w:t>
      </w:r>
      <w:r w:rsidR="00D932E6">
        <w:t>»</w:t>
      </w:r>
      <w:r w:rsidRPr="002D0474">
        <w:t xml:space="preserve"> applicables à partir du 1er janvier 2013 pourront encore être utilisé</w:t>
      </w:r>
      <w:r>
        <w:t>e</w:t>
      </w:r>
      <w:r w:rsidRPr="002D0474">
        <w:t>s jusqu'à leur prochain contrôle périodique mais au plus tard le 30 juin 2018.</w:t>
      </w:r>
      <w:r>
        <w:t>».</w:t>
      </w:r>
    </w:p>
    <w:p w:rsidR="00BF06B0" w:rsidRDefault="00FE1D5F" w:rsidP="001A37C7">
      <w:pPr>
        <w:pStyle w:val="SingleTxtG"/>
      </w:pPr>
      <w:r>
        <w:lastRenderedPageBreak/>
        <w:t>Ajouter les nouvelles mesures transitoires suivantes:</w:t>
      </w:r>
    </w:p>
    <w:p w:rsidR="00FE1D5F" w:rsidRDefault="00FE1D5F" w:rsidP="001A37C7">
      <w:pPr>
        <w:pStyle w:val="SingleTxtG"/>
      </w:pPr>
      <w:r>
        <w:t>«1.6.1.</w:t>
      </w:r>
      <w:r w:rsidR="009817BD">
        <w:t>38</w:t>
      </w:r>
      <w:r>
        <w:tab/>
        <w:t xml:space="preserve">Nonobstant les prescriptions de la disposition spéciale 188 du chapitre 3.3 applicables à partir du 1er janvier 2017, les </w:t>
      </w:r>
      <w:r w:rsidRPr="002D0474">
        <w:t>marquages</w:t>
      </w:r>
      <w:r>
        <w:t xml:space="preserve"> conformément à la disposition spéciale 188 du chapitre 3.3 en vigueur jusqu’au 31 décembre 2016 pourront encore figurer sur les colis contenant des piles ou batteries au lithium jusqu’au 31 décembre 2018.».</w:t>
      </w:r>
    </w:p>
    <w:p w:rsidR="00CA047F" w:rsidRDefault="00CA047F" w:rsidP="001A37C7">
      <w:pPr>
        <w:pStyle w:val="SingleTxtG"/>
      </w:pPr>
      <w:r>
        <w:t>«1.6.1.39</w:t>
      </w:r>
      <w:r>
        <w:tab/>
      </w:r>
      <w:r w:rsidR="009066AE">
        <w:t xml:space="preserve">Nonobstant les prescriptions de l’ADN applicables à partir du 1er janvier 2017, les objets </w:t>
      </w:r>
      <w:proofErr w:type="spellStart"/>
      <w:r w:rsidR="009066AE">
        <w:t>des</w:t>
      </w:r>
      <w:proofErr w:type="spellEnd"/>
      <w:r w:rsidR="009066AE">
        <w:t xml:space="preserve"> Nos ONU 0015, 0016 et 0303 contenant </w:t>
      </w:r>
      <w:r w:rsidR="00EA4D5A" w:rsidRPr="008B40FC">
        <w:rPr>
          <w:lang w:val="fr-FR"/>
        </w:rPr>
        <w:t xml:space="preserve">une (des) matière(s) fumigène(s) toxique(s) par inhalation selon les critères pour la </w:t>
      </w:r>
      <w:r w:rsidR="00216861">
        <w:rPr>
          <w:lang w:val="fr-FR"/>
        </w:rPr>
        <w:t>classe</w:t>
      </w:r>
      <w:r w:rsidR="00EA4D5A" w:rsidRPr="008B40FC">
        <w:rPr>
          <w:lang w:val="fr-FR"/>
        </w:rPr>
        <w:t xml:space="preserve"> 6.1</w:t>
      </w:r>
      <w:r w:rsidR="005F59DB">
        <w:rPr>
          <w:lang w:val="fr-FR"/>
        </w:rPr>
        <w:t>,</w:t>
      </w:r>
      <w:r w:rsidR="00EA4D5A">
        <w:rPr>
          <w:lang w:val="fr-FR"/>
        </w:rPr>
        <w:t xml:space="preserve"> fabriqués </w:t>
      </w:r>
      <w:r w:rsidR="00EA4D5A" w:rsidRPr="008B40FC">
        <w:rPr>
          <w:lang w:val="fr-FR"/>
        </w:rPr>
        <w:t>avant le 31 décembre 2016</w:t>
      </w:r>
      <w:r w:rsidR="005F59DB">
        <w:rPr>
          <w:lang w:val="fr-FR"/>
        </w:rPr>
        <w:t>,</w:t>
      </w:r>
      <w:r w:rsidR="00EA4D5A">
        <w:rPr>
          <w:lang w:val="fr-FR"/>
        </w:rPr>
        <w:t xml:space="preserve"> peuvent être</w:t>
      </w:r>
      <w:r w:rsidR="00EA4D5A" w:rsidRPr="00EA4D5A">
        <w:rPr>
          <w:lang w:val="fr-FR"/>
        </w:rPr>
        <w:t xml:space="preserve"> </w:t>
      </w:r>
      <w:r w:rsidR="00EA4D5A" w:rsidRPr="008B40FC">
        <w:rPr>
          <w:lang w:val="fr-FR"/>
        </w:rPr>
        <w:t xml:space="preserve">transportés jusqu’au </w:t>
      </w:r>
      <w:r w:rsidR="00EA4D5A">
        <w:rPr>
          <w:lang w:val="fr-FR"/>
        </w:rPr>
        <w:t>31 décembre 2018</w:t>
      </w:r>
      <w:r w:rsidR="00EA4D5A" w:rsidRPr="008B40FC">
        <w:rPr>
          <w:lang w:val="fr-FR"/>
        </w:rPr>
        <w:t xml:space="preserve"> sans porter l’étiquette de risque subsidiaire </w:t>
      </w:r>
      <w:r w:rsidR="00D932E6">
        <w:t>«</w:t>
      </w:r>
      <w:r w:rsidR="00EA4D5A" w:rsidRPr="008B40FC">
        <w:rPr>
          <w:lang w:val="fr-FR"/>
        </w:rPr>
        <w:t>TOXIQUE</w:t>
      </w:r>
      <w:r w:rsidR="00D932E6">
        <w:t>»</w:t>
      </w:r>
      <w:r w:rsidR="00EA4D5A">
        <w:rPr>
          <w:lang w:val="fr-FR"/>
        </w:rPr>
        <w:t xml:space="preserve"> (modèle No 6.1, voir 5.2.2.2.2)</w:t>
      </w:r>
      <w:r w:rsidR="00EA4D5A" w:rsidRPr="008B40FC">
        <w:rPr>
          <w:lang w:val="fr-FR"/>
        </w:rPr>
        <w:t>.</w:t>
      </w:r>
      <w:r>
        <w:t>»</w:t>
      </w:r>
      <w:r w:rsidR="005F59DB">
        <w:t>.</w:t>
      </w:r>
    </w:p>
    <w:p w:rsidR="007E2F66" w:rsidRPr="007E2F66" w:rsidRDefault="007E2F66" w:rsidP="007E2F66">
      <w:pPr>
        <w:pStyle w:val="SingleTxtG"/>
      </w:pPr>
      <w:r>
        <w:t>«1.6.1.40</w:t>
      </w:r>
      <w:r>
        <w:tab/>
        <w:t>Nonobstant les prescriptions de l’ADN applicables à partir du 1er janvier 2017,</w:t>
      </w:r>
      <w:r w:rsidRPr="007E2F66">
        <w:t xml:space="preserve"> </w:t>
      </w:r>
      <w:r>
        <w:t>l</w:t>
      </w:r>
      <w:r w:rsidRPr="00A1622E">
        <w:t xml:space="preserve">es grands emballages </w:t>
      </w:r>
      <w:r w:rsidRPr="00A1622E">
        <w:rPr>
          <w:iCs/>
        </w:rPr>
        <w:t>satisfaisant au niveau d’épreuve du groupe d’emballage III</w:t>
      </w:r>
      <w:r>
        <w:rPr>
          <w:iCs/>
        </w:rPr>
        <w:t xml:space="preserve"> </w:t>
      </w:r>
      <w:r w:rsidRPr="00A1622E">
        <w:rPr>
          <w:iCs/>
        </w:rPr>
        <w:t xml:space="preserve">conformément à </w:t>
      </w:r>
      <w:r>
        <w:rPr>
          <w:iCs/>
        </w:rPr>
        <w:t xml:space="preserve">la disposition spéciale L2 de </w:t>
      </w:r>
      <w:r w:rsidRPr="00A1622E">
        <w:rPr>
          <w:iCs/>
        </w:rPr>
        <w:t>l’instruction d’emballage LP02</w:t>
      </w:r>
      <w:r w:rsidRPr="007E2F66">
        <w:rPr>
          <w:iCs/>
        </w:rPr>
        <w:t xml:space="preserve"> </w:t>
      </w:r>
      <w:r>
        <w:rPr>
          <w:iCs/>
        </w:rPr>
        <w:t xml:space="preserve">du 4.1.4.3 </w:t>
      </w:r>
      <w:r w:rsidR="0049374F">
        <w:rPr>
          <w:iCs/>
        </w:rPr>
        <w:t xml:space="preserve">de l'ADR </w:t>
      </w:r>
      <w:r>
        <w:rPr>
          <w:iCs/>
        </w:rPr>
        <w:t>applicable jusqu’au 31 décembre 2016 pourront encore être utilisés jusqu’au 31 décembre 2022 pour le No ONU 1950.».</w:t>
      </w:r>
    </w:p>
    <w:p w:rsidR="00531F0F" w:rsidRPr="001A37C7" w:rsidRDefault="00531F0F" w:rsidP="001A37C7">
      <w:pPr>
        <w:pStyle w:val="SingleTxtG"/>
      </w:pPr>
      <w:r>
        <w:t>«1.6.1.41</w:t>
      </w:r>
      <w:r>
        <w:tab/>
        <w:t>Nonobstant les prescriptions de la colonne (5) du tableau A du chapitre 3.2 applicables à partir du 1er janvier 2017</w:t>
      </w:r>
      <w:r w:rsidR="00FE307F">
        <w:t xml:space="preserve"> aux Nos ONU 3090, 3091, 3480 et 3481, l’étiquette de la classe 9 (modèle No 9, voir 5.2.2.2.2) pourra encore être utilisée pour ces numéros ONU jusqu’au </w:t>
      </w:r>
      <w:r w:rsidR="00FE307F">
        <w:rPr>
          <w:lang w:val="fr-FR"/>
        </w:rPr>
        <w:t>31 décembre 2018.».</w:t>
      </w:r>
    </w:p>
    <w:p w:rsidR="000963EA" w:rsidRDefault="000963EA" w:rsidP="000963EA">
      <w:pPr>
        <w:pStyle w:val="H1G"/>
        <w:rPr>
          <w:lang w:val="fr-FR"/>
        </w:rPr>
      </w:pPr>
      <w:r>
        <w:rPr>
          <w:lang w:val="fr-FR"/>
        </w:rPr>
        <w:tab/>
      </w:r>
      <w:r>
        <w:rPr>
          <w:lang w:val="fr-FR"/>
        </w:rPr>
        <w:tab/>
        <w:t>Chapitre 2.1</w:t>
      </w:r>
    </w:p>
    <w:p w:rsidR="002C555D" w:rsidRDefault="002C555D" w:rsidP="000963EA">
      <w:pPr>
        <w:pStyle w:val="SingleTxtG"/>
        <w:tabs>
          <w:tab w:val="left" w:pos="2268"/>
        </w:tabs>
        <w:rPr>
          <w:lang w:val="fr-FR"/>
        </w:rPr>
      </w:pPr>
      <w:r>
        <w:rPr>
          <w:lang w:val="fr-FR"/>
        </w:rPr>
        <w:t>2.1.1.1</w:t>
      </w:r>
      <w:r>
        <w:rPr>
          <w:lang w:val="fr-FR"/>
        </w:rPr>
        <w:tab/>
        <w:t xml:space="preserve">Pour la classe 4.1, </w:t>
      </w:r>
      <w:r w:rsidR="006A2C79">
        <w:rPr>
          <w:iCs/>
          <w:lang w:val="fr-FR"/>
        </w:rPr>
        <w:t xml:space="preserve">après «matières </w:t>
      </w:r>
      <w:proofErr w:type="spellStart"/>
      <w:r w:rsidR="006A2C79">
        <w:rPr>
          <w:iCs/>
          <w:lang w:val="fr-FR"/>
        </w:rPr>
        <w:t>autoréactives</w:t>
      </w:r>
      <w:proofErr w:type="spellEnd"/>
      <w:r w:rsidR="006A2C79">
        <w:rPr>
          <w:iCs/>
          <w:lang w:val="fr-FR"/>
        </w:rPr>
        <w:t>» ajouter «, matières qui polymérisent».</w:t>
      </w:r>
    </w:p>
    <w:p w:rsidR="00C31DD5" w:rsidRDefault="008E0B16" w:rsidP="008E0B16">
      <w:pPr>
        <w:pStyle w:val="SingleTxtG"/>
        <w:tabs>
          <w:tab w:val="left" w:pos="2268"/>
        </w:tabs>
        <w:rPr>
          <w:lang w:val="fr-FR"/>
        </w:rPr>
      </w:pPr>
      <w:r>
        <w:rPr>
          <w:lang w:val="fr-FR"/>
        </w:rPr>
        <w:t>2.1.2.2</w:t>
      </w:r>
      <w:r>
        <w:rPr>
          <w:lang w:val="fr-FR"/>
        </w:rPr>
        <w:tab/>
      </w:r>
      <w:r>
        <w:rPr>
          <w:lang w:val="fr-FR"/>
        </w:rPr>
        <w:tab/>
        <w:t xml:space="preserve">Ajouter la nouvelle phrase suivante à la fin: </w:t>
      </w:r>
    </w:p>
    <w:p w:rsidR="008E0B16" w:rsidRDefault="008E0B16" w:rsidP="008E0B16">
      <w:pPr>
        <w:pStyle w:val="SingleTxtG"/>
        <w:tabs>
          <w:tab w:val="left" w:pos="2268"/>
        </w:tabs>
        <w:rPr>
          <w:lang w:val="fr-FR"/>
        </w:rPr>
      </w:pPr>
      <w:r>
        <w:rPr>
          <w:lang w:val="fr-FR"/>
        </w:rPr>
        <w:t>«</w:t>
      </w:r>
      <w:r w:rsidRPr="00697B12">
        <w:t xml:space="preserve">Les matières qui figurent nommément dans la colonne 2 </w:t>
      </w:r>
      <w:r>
        <w:t>du tableau A du chapitre 3.2</w:t>
      </w:r>
      <w:r w:rsidRPr="00697B12">
        <w:t xml:space="preserve"> doivent être transportées selon leur classification dans </w:t>
      </w:r>
      <w:r>
        <w:t>le tableau A</w:t>
      </w:r>
      <w:r w:rsidRPr="00697B12">
        <w:t xml:space="preserve"> ou sous les conditions énoncées au </w:t>
      </w:r>
      <w:r>
        <w:t>2.1.2.8.</w:t>
      </w:r>
      <w:r>
        <w:rPr>
          <w:lang w:val="fr-FR"/>
        </w:rPr>
        <w:t>».</w:t>
      </w:r>
    </w:p>
    <w:p w:rsidR="000963EA" w:rsidRDefault="000963EA" w:rsidP="000963EA">
      <w:pPr>
        <w:pStyle w:val="SingleTxtG"/>
        <w:tabs>
          <w:tab w:val="left" w:pos="2268"/>
        </w:tabs>
        <w:rPr>
          <w:lang w:val="fr-FR"/>
        </w:rPr>
      </w:pPr>
      <w:r>
        <w:rPr>
          <w:lang w:val="fr-FR"/>
        </w:rPr>
        <w:t>Ajouter un nouveau 2.1.2.8 pour lire comme suit:</w:t>
      </w:r>
    </w:p>
    <w:p w:rsidR="000963EA" w:rsidRPr="00F809E4" w:rsidRDefault="000963EA" w:rsidP="000963EA">
      <w:pPr>
        <w:pStyle w:val="SingleTxtG"/>
        <w:tabs>
          <w:tab w:val="left" w:pos="2268"/>
        </w:tabs>
      </w:pPr>
      <w:r>
        <w:rPr>
          <w:lang w:val="fr-FR"/>
        </w:rPr>
        <w:t>«2.1.2.8</w:t>
      </w:r>
      <w:r>
        <w:rPr>
          <w:lang w:val="fr-FR"/>
        </w:rPr>
        <w:tab/>
      </w:r>
      <w:r w:rsidRPr="00F809E4">
        <w:t xml:space="preserve">Si l’expéditeur </w:t>
      </w:r>
      <w:r>
        <w:t>a identifié</w:t>
      </w:r>
      <w:r w:rsidRPr="00F809E4">
        <w:t xml:space="preserve">, sur la base de résultats d’épreuves, qu’une matière figurant nommément dans la colonne 2 </w:t>
      </w:r>
      <w:r>
        <w:t>du tableau A du</w:t>
      </w:r>
      <w:r w:rsidRPr="00F809E4">
        <w:t xml:space="preserve"> chapitre 3.2 remplit les critères de classement correspondant à une classe qui n’est pas indiquée </w:t>
      </w:r>
      <w:r>
        <w:t>dans la colonne (3a) ou (5) du tableau A du chapitre 3.2</w:t>
      </w:r>
      <w:r w:rsidRPr="00F809E4">
        <w:t>, il peut, avec l’accord de l’autorité compétente, expédier la matière:</w:t>
      </w:r>
    </w:p>
    <w:p w:rsidR="000963EA" w:rsidRPr="00A61953" w:rsidRDefault="00C31DD5" w:rsidP="00C31DD5">
      <w:pPr>
        <w:pStyle w:val="SingleTxtG"/>
        <w:tabs>
          <w:tab w:val="left" w:pos="1985"/>
        </w:tabs>
        <w:ind w:left="1701" w:hanging="567"/>
        <w:rPr>
          <w:lang w:val="fr-FR"/>
        </w:rPr>
      </w:pPr>
      <w:r>
        <w:rPr>
          <w:lang w:val="fr-FR"/>
        </w:rPr>
        <w:t>-</w:t>
      </w:r>
      <w:r w:rsidR="000963EA" w:rsidRPr="00A61953">
        <w:rPr>
          <w:lang w:val="fr-FR"/>
        </w:rPr>
        <w:tab/>
        <w:t xml:space="preserve">Sous la rubrique </w:t>
      </w:r>
      <w:r w:rsidR="000963EA" w:rsidRPr="004357DE">
        <w:t>collective</w:t>
      </w:r>
      <w:r w:rsidR="000963EA" w:rsidRPr="000963EA">
        <w:rPr>
          <w:lang w:val="fr-FR"/>
        </w:rPr>
        <w:t xml:space="preserve"> </w:t>
      </w:r>
      <w:r w:rsidR="000963EA" w:rsidRPr="00A61953">
        <w:rPr>
          <w:lang w:val="fr-FR"/>
        </w:rPr>
        <w:t xml:space="preserve"> la plus appropriée </w:t>
      </w:r>
      <w:r w:rsidR="000963EA" w:rsidRPr="000963EA">
        <w:rPr>
          <w:lang w:val="fr-FR"/>
        </w:rPr>
        <w:t xml:space="preserve">figurant dans </w:t>
      </w:r>
      <w:r w:rsidR="000963EA">
        <w:rPr>
          <w:lang w:val="fr-FR"/>
        </w:rPr>
        <w:t xml:space="preserve">les </w:t>
      </w:r>
      <w:r w:rsidR="000963EA" w:rsidRPr="000963EA">
        <w:rPr>
          <w:lang w:val="fr-FR"/>
        </w:rPr>
        <w:t>sous-section</w:t>
      </w:r>
      <w:r w:rsidR="000963EA">
        <w:rPr>
          <w:lang w:val="fr-FR"/>
        </w:rPr>
        <w:t>s</w:t>
      </w:r>
      <w:r w:rsidR="000963EA" w:rsidRPr="000963EA">
        <w:rPr>
          <w:lang w:val="fr-FR"/>
        </w:rPr>
        <w:t xml:space="preserve"> 2.2.x.3</w:t>
      </w:r>
      <w:r w:rsidR="000963EA">
        <w:rPr>
          <w:lang w:val="fr-FR"/>
        </w:rPr>
        <w:t xml:space="preserve">, </w:t>
      </w:r>
      <w:r w:rsidR="000963EA" w:rsidRPr="00A61953">
        <w:rPr>
          <w:lang w:val="fr-FR"/>
        </w:rPr>
        <w:t>qui tienne compte de tous les risques recensés; ou</w:t>
      </w:r>
    </w:p>
    <w:p w:rsidR="000963EA" w:rsidRDefault="000963EA" w:rsidP="00C31DD5">
      <w:pPr>
        <w:pStyle w:val="SingleTxtG"/>
        <w:tabs>
          <w:tab w:val="left" w:pos="1985"/>
        </w:tabs>
        <w:ind w:left="1701" w:hanging="567"/>
      </w:pPr>
      <w:r>
        <w:t>-</w:t>
      </w:r>
      <w:r>
        <w:tab/>
      </w:r>
      <w:r w:rsidRPr="00F809E4">
        <w:t xml:space="preserve">Sous le même </w:t>
      </w:r>
      <w:r w:rsidRPr="00C31DD5">
        <w:rPr>
          <w:lang w:val="fr-FR"/>
        </w:rPr>
        <w:t>numéro</w:t>
      </w:r>
      <w:r w:rsidRPr="00F809E4">
        <w:t xml:space="preserve"> ONU et le même nom mais en ajoutant les informations de communication du danger nécessaires pour indiquer le ou les risques subsidiaires supplémentaires (</w:t>
      </w:r>
      <w:r>
        <w:t>documentation</w:t>
      </w:r>
      <w:r w:rsidRPr="00F809E4">
        <w:t>, étiquette, plaque-étiquette), sous réserve que la classe reste inchangée et que toute autre condition de transport (par exemple, limitation de quantité, dispositions relatives aux emballages et aux citernes) qui s’appliquerait normalement aux matières présentant une telle combinaison de risques s’applique aussi à la matière indiquée</w:t>
      </w:r>
      <w:r>
        <w:t>.</w:t>
      </w:r>
    </w:p>
    <w:p w:rsidR="000963EA" w:rsidRDefault="000963EA" w:rsidP="000963EA">
      <w:pPr>
        <w:pStyle w:val="SingleTxtG"/>
        <w:rPr>
          <w:b/>
          <w:bCs/>
          <w:i/>
          <w:iCs/>
          <w:lang w:val="fr-FR"/>
        </w:rPr>
      </w:pPr>
      <w:r>
        <w:rPr>
          <w:b/>
          <w:bCs/>
          <w:i/>
          <w:iCs/>
          <w:lang w:val="fr-FR"/>
        </w:rPr>
        <w:t>NOTA 1:</w:t>
      </w:r>
      <w:r>
        <w:rPr>
          <w:b/>
          <w:bCs/>
          <w:i/>
          <w:iCs/>
          <w:lang w:val="fr-FR"/>
        </w:rPr>
        <w:tab/>
      </w:r>
      <w:r w:rsidR="00DF3492" w:rsidRPr="001A37C7">
        <w:rPr>
          <w:bCs/>
          <w:i/>
          <w:iCs/>
          <w:lang w:val="fr-FR"/>
        </w:rPr>
        <w:t>L’autorité compétente</w:t>
      </w:r>
      <w:r w:rsidR="00DF3492">
        <w:rPr>
          <w:bCs/>
          <w:i/>
          <w:iCs/>
          <w:lang w:val="fr-FR"/>
        </w:rPr>
        <w:t xml:space="preserve"> donnant son accord peut être </w:t>
      </w:r>
      <w:r w:rsidR="00DF3492" w:rsidRPr="001A37C7">
        <w:rPr>
          <w:bCs/>
          <w:i/>
          <w:iCs/>
          <w:lang w:val="fr-FR"/>
        </w:rPr>
        <w:t xml:space="preserve"> l'autorité compétente </w:t>
      </w:r>
      <w:r w:rsidR="007811F7">
        <w:rPr>
          <w:bCs/>
          <w:i/>
          <w:iCs/>
          <w:lang w:val="fr-FR"/>
        </w:rPr>
        <w:t xml:space="preserve">de tout État partie </w:t>
      </w:r>
      <w:r w:rsidR="00DF3492">
        <w:rPr>
          <w:bCs/>
          <w:i/>
          <w:iCs/>
          <w:lang w:val="fr-FR"/>
        </w:rPr>
        <w:t>à l’ADN</w:t>
      </w:r>
      <w:r w:rsidR="00DF3492" w:rsidRPr="001A37C7">
        <w:rPr>
          <w:bCs/>
          <w:i/>
          <w:iCs/>
          <w:lang w:val="fr-FR"/>
        </w:rPr>
        <w:t xml:space="preserve"> qui peut également reconna</w:t>
      </w:r>
      <w:r w:rsidR="00216861">
        <w:rPr>
          <w:bCs/>
          <w:i/>
          <w:iCs/>
          <w:lang w:val="fr-FR"/>
        </w:rPr>
        <w:t>î</w:t>
      </w:r>
      <w:r w:rsidR="00DF3492" w:rsidRPr="001A37C7">
        <w:rPr>
          <w:bCs/>
          <w:i/>
          <w:iCs/>
          <w:lang w:val="fr-FR"/>
        </w:rPr>
        <w:t xml:space="preserve">tre l’approbation par l’autorité compétente d’un pays qui ne serait pas </w:t>
      </w:r>
      <w:r w:rsidR="007811F7">
        <w:rPr>
          <w:bCs/>
          <w:i/>
          <w:iCs/>
          <w:lang w:val="fr-FR"/>
        </w:rPr>
        <w:t>État partie à l’ADN</w:t>
      </w:r>
      <w:r w:rsidR="00DF3492" w:rsidRPr="001A37C7">
        <w:rPr>
          <w:bCs/>
          <w:i/>
          <w:iCs/>
          <w:lang w:val="fr-FR"/>
        </w:rPr>
        <w:t xml:space="preserve"> à condition que cette </w:t>
      </w:r>
      <w:r w:rsidR="00DF3492" w:rsidRPr="001A37C7">
        <w:rPr>
          <w:bCs/>
          <w:i/>
          <w:iCs/>
          <w:lang w:val="fr-FR"/>
        </w:rPr>
        <w:lastRenderedPageBreak/>
        <w:t>approbation ait été accordée conformément aux procédures applicables selon le RID, l’ADR, l’ADN, le Code IMDG ou les prescriptions techniques de l’OACI.</w:t>
      </w:r>
    </w:p>
    <w:p w:rsidR="003A462C" w:rsidRDefault="000963EA" w:rsidP="000963EA">
      <w:pPr>
        <w:pStyle w:val="SingleTxtG"/>
        <w:rPr>
          <w:i/>
          <w:iCs/>
        </w:rPr>
      </w:pPr>
      <w:r w:rsidRPr="003A1225">
        <w:rPr>
          <w:b/>
          <w:bCs/>
          <w:i/>
          <w:iCs/>
          <w:lang w:val="fr-FR"/>
        </w:rPr>
        <w:t>NOTA</w:t>
      </w:r>
      <w:r w:rsidR="003A462C">
        <w:rPr>
          <w:b/>
          <w:bCs/>
          <w:i/>
          <w:iCs/>
          <w:lang w:val="fr-FR"/>
        </w:rPr>
        <w:t xml:space="preserve"> 2</w:t>
      </w:r>
      <w:r w:rsidRPr="003A1225">
        <w:rPr>
          <w:b/>
          <w:bCs/>
          <w:i/>
          <w:iCs/>
          <w:lang w:val="fr-FR"/>
        </w:rPr>
        <w:t>:</w:t>
      </w:r>
      <w:r>
        <w:rPr>
          <w:lang w:val="fr-FR"/>
        </w:rPr>
        <w:tab/>
      </w:r>
      <w:r w:rsidRPr="00631AAE">
        <w:rPr>
          <w:i/>
          <w:iCs/>
        </w:rPr>
        <w:t xml:space="preserve">Lorsqu’une autorité compétente accorde une telle autorisation, elle devrait en informer le Sous-Comité d’experts du transport des marchandises dangereuses </w:t>
      </w:r>
      <w:r>
        <w:rPr>
          <w:i/>
          <w:iCs/>
        </w:rPr>
        <w:t xml:space="preserve">de l’ONU </w:t>
      </w:r>
      <w:r w:rsidRPr="00631AAE">
        <w:rPr>
          <w:i/>
          <w:iCs/>
        </w:rPr>
        <w:t xml:space="preserve">et soumettre une proposition d’amendement à la Liste de marchandises dangereuses </w:t>
      </w:r>
      <w:r w:rsidR="00216861" w:rsidRPr="00216861">
        <w:rPr>
          <w:i/>
          <w:iCs/>
          <w:lang w:val="fr-FR"/>
        </w:rPr>
        <w:t xml:space="preserve">du </w:t>
      </w:r>
      <w:r w:rsidR="00216861" w:rsidRPr="00216861">
        <w:rPr>
          <w:i/>
          <w:iCs/>
        </w:rPr>
        <w:t xml:space="preserve">Règlement type de l'ONU </w:t>
      </w:r>
      <w:r w:rsidRPr="00631AAE">
        <w:rPr>
          <w:i/>
          <w:iCs/>
        </w:rPr>
        <w:t>en vue d’y apporter les modifications nécessaires. Si la proposition d’amendement est rejetée, l’autorité compétente devrait retirer son autorisation.</w:t>
      </w:r>
    </w:p>
    <w:p w:rsidR="000963EA" w:rsidRDefault="003A462C" w:rsidP="000963EA">
      <w:pPr>
        <w:pStyle w:val="SingleTxtG"/>
        <w:rPr>
          <w:lang w:val="fr-FR"/>
        </w:rPr>
      </w:pPr>
      <w:r>
        <w:rPr>
          <w:b/>
          <w:bCs/>
          <w:i/>
          <w:iCs/>
          <w:lang w:val="fr-FR"/>
        </w:rPr>
        <w:t>NOTA 3:</w:t>
      </w:r>
      <w:r>
        <w:rPr>
          <w:b/>
          <w:bCs/>
          <w:i/>
          <w:iCs/>
          <w:lang w:val="fr-FR"/>
        </w:rPr>
        <w:tab/>
      </w:r>
      <w:r>
        <w:rPr>
          <w:bCs/>
          <w:i/>
          <w:iCs/>
          <w:lang w:val="fr-FR"/>
        </w:rPr>
        <w:t>Pour le transport conformément au 2.1.2.8, voir aussi 5.4.1.1.20.</w:t>
      </w:r>
      <w:r w:rsidR="000963EA">
        <w:rPr>
          <w:lang w:val="fr-FR"/>
        </w:rPr>
        <w:t>».</w:t>
      </w:r>
    </w:p>
    <w:p w:rsidR="00260A9C" w:rsidRDefault="00260A9C" w:rsidP="00260A9C">
      <w:pPr>
        <w:pStyle w:val="H1G"/>
        <w:rPr>
          <w:lang w:val="fr-FR"/>
        </w:rPr>
      </w:pPr>
      <w:r>
        <w:rPr>
          <w:lang w:val="fr-FR"/>
        </w:rPr>
        <w:tab/>
      </w:r>
      <w:r>
        <w:rPr>
          <w:lang w:val="fr-FR"/>
        </w:rPr>
        <w:tab/>
        <w:t>Chapitre 2.2</w:t>
      </w:r>
    </w:p>
    <w:p w:rsidR="00260A9C" w:rsidRDefault="00E5407C" w:rsidP="00260A9C">
      <w:pPr>
        <w:pStyle w:val="SingleTxtG"/>
        <w:tabs>
          <w:tab w:val="left" w:pos="2268"/>
        </w:tabs>
        <w:rPr>
          <w:lang w:val="fr-FR"/>
        </w:rPr>
      </w:pPr>
      <w:r>
        <w:rPr>
          <w:lang w:val="fr-FR"/>
        </w:rPr>
        <w:t>2.2.1.1.5</w:t>
      </w:r>
      <w:r w:rsidR="00260A9C" w:rsidRPr="00202E9E">
        <w:rPr>
          <w:lang w:val="fr-FR"/>
        </w:rPr>
        <w:tab/>
      </w:r>
      <w:r>
        <w:rPr>
          <w:lang w:val="fr-FR"/>
        </w:rPr>
        <w:t>Dans la définition de la Division 1.6,</w:t>
      </w:r>
      <w:r w:rsidR="004B154F">
        <w:rPr>
          <w:lang w:val="fr-FR"/>
        </w:rPr>
        <w:t xml:space="preserve"> dans la deuxième phrase,</w:t>
      </w:r>
      <w:r>
        <w:rPr>
          <w:lang w:val="fr-FR"/>
        </w:rPr>
        <w:t xml:space="preserve"> </w:t>
      </w:r>
      <w:proofErr w:type="gramStart"/>
      <w:r>
        <w:rPr>
          <w:lang w:val="fr-FR"/>
        </w:rPr>
        <w:t>remplacer</w:t>
      </w:r>
      <w:proofErr w:type="gramEnd"/>
      <w:r>
        <w:rPr>
          <w:lang w:val="fr-FR"/>
        </w:rPr>
        <w:t xml:space="preserve"> </w:t>
      </w:r>
      <w:r w:rsidR="00D932E6" w:rsidRPr="008B40FC">
        <w:rPr>
          <w:lang w:val="fr-FR"/>
        </w:rPr>
        <w:t>«</w:t>
      </w:r>
      <w:r>
        <w:rPr>
          <w:lang w:val="fr-FR"/>
        </w:rPr>
        <w:t xml:space="preserve">ne </w:t>
      </w:r>
      <w:r w:rsidR="00260A9C">
        <w:rPr>
          <w:lang w:val="fr-FR"/>
        </w:rPr>
        <w:t xml:space="preserve">contiennent </w:t>
      </w:r>
      <w:r>
        <w:rPr>
          <w:lang w:val="fr-FR"/>
        </w:rPr>
        <w:t xml:space="preserve">que </w:t>
      </w:r>
      <w:r w:rsidR="00260A9C">
        <w:rPr>
          <w:lang w:val="fr-FR"/>
        </w:rPr>
        <w:t>des matières</w:t>
      </w:r>
      <w:r w:rsidR="00D932E6" w:rsidRPr="008B40FC">
        <w:rPr>
          <w:lang w:val="fr-FR"/>
        </w:rPr>
        <w:t>»</w:t>
      </w:r>
      <w:r w:rsidR="00260A9C">
        <w:rPr>
          <w:lang w:val="fr-FR"/>
        </w:rPr>
        <w:t xml:space="preserve"> par </w:t>
      </w:r>
      <w:r w:rsidR="00D932E6" w:rsidRPr="008B40FC">
        <w:rPr>
          <w:lang w:val="fr-FR"/>
        </w:rPr>
        <w:t>«</w:t>
      </w:r>
      <w:r w:rsidR="00260A9C">
        <w:rPr>
          <w:lang w:val="fr-FR"/>
        </w:rPr>
        <w:t>contiennent principalement des matières</w:t>
      </w:r>
      <w:r w:rsidR="00D932E6" w:rsidRPr="008B40FC">
        <w:rPr>
          <w:lang w:val="fr-FR"/>
        </w:rPr>
        <w:t>»</w:t>
      </w:r>
      <w:r w:rsidR="00260A9C">
        <w:rPr>
          <w:lang w:val="fr-FR"/>
        </w:rPr>
        <w:t>.</w:t>
      </w:r>
    </w:p>
    <w:p w:rsidR="00260A9C" w:rsidRDefault="004B154F" w:rsidP="00260A9C">
      <w:pPr>
        <w:pStyle w:val="SingleTxtG"/>
        <w:tabs>
          <w:tab w:val="left" w:pos="2268"/>
        </w:tabs>
      </w:pPr>
      <w:r>
        <w:t>2.2.1.1.6</w:t>
      </w:r>
      <w:r w:rsidR="00260A9C">
        <w:tab/>
      </w:r>
      <w:r>
        <w:t>P</w:t>
      </w:r>
      <w:r w:rsidR="00260A9C">
        <w:t xml:space="preserve">our le groupe de compatibilité N, modifier la description pour lire comme suit: </w:t>
      </w:r>
      <w:r w:rsidR="00D932E6" w:rsidRPr="008B40FC">
        <w:rPr>
          <w:lang w:val="fr-FR"/>
        </w:rPr>
        <w:t>«</w:t>
      </w:r>
      <w:r w:rsidR="00260A9C">
        <w:t>Objets contenant principalement des matières extrêmement peu sensibles</w:t>
      </w:r>
      <w:r w:rsidR="00D932E6" w:rsidRPr="008B40FC">
        <w:rPr>
          <w:lang w:val="fr-FR"/>
        </w:rPr>
        <w:t>»</w:t>
      </w:r>
      <w:r w:rsidR="00260A9C">
        <w:t>.</w:t>
      </w:r>
    </w:p>
    <w:p w:rsidR="00260A9C" w:rsidRPr="008B40FC" w:rsidRDefault="004B154F" w:rsidP="00260A9C">
      <w:pPr>
        <w:pStyle w:val="SingleTxtG"/>
        <w:tabs>
          <w:tab w:val="left" w:pos="2268"/>
        </w:tabs>
        <w:rPr>
          <w:lang w:val="fr-FR"/>
        </w:rPr>
      </w:pPr>
      <w:r>
        <w:rPr>
          <w:lang w:val="fr-FR"/>
        </w:rPr>
        <w:t>2.2.1.1.7.1</w:t>
      </w:r>
      <w:r w:rsidR="00260A9C" w:rsidRPr="008B40FC">
        <w:rPr>
          <w:lang w:val="fr-FR"/>
        </w:rPr>
        <w:tab/>
        <w:t>Au début de la deuxième phrase, après «Toutefois», ajouter «:» et faire un saut de paragraphe. La suite du texte devient l’alinéa b). Ajouter un nouvel alinéa a) pour lire comme suit:</w:t>
      </w:r>
    </w:p>
    <w:p w:rsidR="00260A9C" w:rsidRDefault="00260A9C" w:rsidP="00260A9C">
      <w:pPr>
        <w:pStyle w:val="SingleTxtG"/>
        <w:rPr>
          <w:lang w:val="fr-FR"/>
        </w:rPr>
      </w:pPr>
      <w:r w:rsidRPr="008B40FC">
        <w:rPr>
          <w:lang w:val="fr-FR"/>
        </w:rPr>
        <w:t>«a)</w:t>
      </w:r>
      <w:r w:rsidRPr="008B40FC">
        <w:rPr>
          <w:lang w:val="fr-FR"/>
        </w:rPr>
        <w:tab/>
        <w:t>les cascades qui obtiennent un résultat positif à l’issue de l’épreuve HSL des compositions éclair décrite à l’appendice 7 du Manuel d’épreuves et de critères doivent être affectés à la division 1.1, groupe de compatibilité G, indépendamment des résultats des épreuves de la série 6;».</w:t>
      </w:r>
    </w:p>
    <w:p w:rsidR="004B154F" w:rsidRDefault="004B154F" w:rsidP="004B154F">
      <w:pPr>
        <w:pStyle w:val="SingleTxtG"/>
      </w:pPr>
      <w:r w:rsidRPr="004357DE">
        <w:rPr>
          <w:lang w:val="fr-FR"/>
        </w:rPr>
        <w:t>Dans l’alinéa b), r</w:t>
      </w:r>
      <w:proofErr w:type="spellStart"/>
      <w:r w:rsidRPr="004357DE">
        <w:t>emplacer</w:t>
      </w:r>
      <w:proofErr w:type="spellEnd"/>
      <w:r w:rsidRPr="004357DE">
        <w:t xml:space="preserve"> «qu’il s’agit d’objets» par «que les artifices de divertissement sont des objets» et remplacer «les essais» par «les épreuves».</w:t>
      </w:r>
    </w:p>
    <w:p w:rsidR="00260A9C" w:rsidRPr="008B40FC" w:rsidRDefault="0016419C" w:rsidP="00260A9C">
      <w:pPr>
        <w:pStyle w:val="SingleTxtG"/>
        <w:rPr>
          <w:lang w:val="fr-FR"/>
        </w:rPr>
      </w:pPr>
      <w:r>
        <w:rPr>
          <w:lang w:val="fr-FR"/>
        </w:rPr>
        <w:t>2.2.1.1.7.5</w:t>
      </w:r>
      <w:r w:rsidR="00260A9C" w:rsidRPr="008B40FC">
        <w:rPr>
          <w:lang w:val="fr-FR"/>
        </w:rPr>
        <w:tab/>
        <w:t>Dans le tableau, pour la rubrique «Fontaine», dans la deuxième colonne, supprimer «cascade,». Dans la troisième colonne, ajouter un nouveau nota à la fin pour lire:</w:t>
      </w:r>
    </w:p>
    <w:p w:rsidR="00260A9C" w:rsidRPr="008B40FC" w:rsidRDefault="00260A9C" w:rsidP="00260A9C">
      <w:pPr>
        <w:pStyle w:val="SingleTxtG"/>
        <w:rPr>
          <w:lang w:val="fr-FR"/>
        </w:rPr>
      </w:pPr>
      <w:r w:rsidRPr="008B40FC">
        <w:rPr>
          <w:lang w:val="fr-FR"/>
        </w:rPr>
        <w:t>«</w:t>
      </w:r>
      <w:r w:rsidRPr="008B40FC">
        <w:rPr>
          <w:b/>
          <w:i/>
          <w:lang w:val="fr-FR"/>
        </w:rPr>
        <w:t>NOTA:</w:t>
      </w:r>
      <w:r w:rsidRPr="008B40FC">
        <w:rPr>
          <w:i/>
          <w:lang w:val="fr-FR"/>
        </w:rPr>
        <w:t xml:space="preserve"> Les fontaines conçues pour produire une cascade verticale ou</w:t>
      </w:r>
      <w:r>
        <w:rPr>
          <w:i/>
          <w:lang w:val="fr-FR"/>
        </w:rPr>
        <w:t xml:space="preserve"> </w:t>
      </w:r>
      <w:r w:rsidRPr="008B40FC">
        <w:rPr>
          <w:i/>
          <w:lang w:val="fr-FR"/>
        </w:rPr>
        <w:t>un rideau d’étincelles sont considérées comme étant des cascades (voir rubrique suivante).</w:t>
      </w:r>
      <w:r w:rsidRPr="008B40FC">
        <w:rPr>
          <w:lang w:val="fr-FR"/>
        </w:rPr>
        <w:t>».</w:t>
      </w:r>
    </w:p>
    <w:p w:rsidR="00260A9C" w:rsidRPr="008B40FC" w:rsidRDefault="00260A9C" w:rsidP="00260A9C">
      <w:pPr>
        <w:pStyle w:val="SingleTxtG"/>
        <w:rPr>
          <w:lang w:val="fr-FR"/>
        </w:rPr>
      </w:pPr>
      <w:r w:rsidRPr="008B40FC">
        <w:rPr>
          <w:lang w:val="fr-FR"/>
        </w:rPr>
        <w:t>Après la ligne pour la rubrique «Fontaine», ajouter la nouvelle ligne suivante:</w:t>
      </w:r>
    </w:p>
    <w:tbl>
      <w:tblPr>
        <w:tblW w:w="9639" w:type="dxa"/>
        <w:tblBorders>
          <w:insideH w:val="single" w:sz="12" w:space="0" w:color="auto"/>
        </w:tblBorders>
        <w:tblLayout w:type="fixed"/>
        <w:tblCellMar>
          <w:left w:w="0" w:type="dxa"/>
          <w:right w:w="0" w:type="dxa"/>
        </w:tblCellMar>
        <w:tblLook w:val="01E0" w:firstRow="1" w:lastRow="1" w:firstColumn="1" w:lastColumn="1" w:noHBand="0" w:noVBand="0"/>
      </w:tblPr>
      <w:tblGrid>
        <w:gridCol w:w="1587"/>
        <w:gridCol w:w="1540"/>
        <w:gridCol w:w="1843"/>
        <w:gridCol w:w="3260"/>
        <w:gridCol w:w="1409"/>
      </w:tblGrid>
      <w:tr w:rsidR="00260A9C" w:rsidRPr="00625C96" w:rsidTr="00625C96">
        <w:trPr>
          <w:tblHeader/>
        </w:trPr>
        <w:tc>
          <w:tcPr>
            <w:tcW w:w="1587" w:type="dxa"/>
            <w:shd w:val="clear" w:color="auto" w:fill="auto"/>
            <w:vAlign w:val="center"/>
          </w:tcPr>
          <w:p w:rsidR="00260A9C" w:rsidRPr="00625C96" w:rsidRDefault="00260A9C" w:rsidP="00625C96">
            <w:pPr>
              <w:spacing w:before="40" w:after="120" w:line="220" w:lineRule="exact"/>
              <w:ind w:left="57" w:right="57"/>
              <w:rPr>
                <w:i/>
                <w:sz w:val="16"/>
                <w:szCs w:val="16"/>
                <w:lang w:val="fr-FR"/>
              </w:rPr>
            </w:pPr>
            <w:r w:rsidRPr="00625C96">
              <w:rPr>
                <w:i/>
                <w:sz w:val="16"/>
                <w:szCs w:val="16"/>
                <w:lang w:val="fr-FR"/>
              </w:rPr>
              <w:t>Type</w:t>
            </w:r>
          </w:p>
        </w:tc>
        <w:tc>
          <w:tcPr>
            <w:tcW w:w="1540" w:type="dxa"/>
            <w:shd w:val="clear" w:color="auto" w:fill="auto"/>
            <w:vAlign w:val="center"/>
          </w:tcPr>
          <w:p w:rsidR="00260A9C" w:rsidRPr="00625C96" w:rsidRDefault="00260A9C" w:rsidP="00625C96">
            <w:pPr>
              <w:spacing w:before="40" w:after="120" w:line="220" w:lineRule="exact"/>
              <w:ind w:left="57" w:right="57"/>
              <w:rPr>
                <w:i/>
                <w:spacing w:val="-2"/>
                <w:sz w:val="16"/>
                <w:szCs w:val="16"/>
                <w:lang w:val="fr-FR"/>
              </w:rPr>
            </w:pPr>
            <w:r w:rsidRPr="00625C96">
              <w:rPr>
                <w:i/>
                <w:spacing w:val="-2"/>
                <w:sz w:val="16"/>
                <w:szCs w:val="16"/>
                <w:lang w:val="fr-FR"/>
              </w:rPr>
              <w:t>Comprend/</w:t>
            </w:r>
            <w:r w:rsidRPr="00625C96">
              <w:rPr>
                <w:i/>
                <w:spacing w:val="-2"/>
                <w:sz w:val="16"/>
                <w:szCs w:val="16"/>
                <w:lang w:val="fr-FR"/>
              </w:rPr>
              <w:br/>
              <w:t>Synonyme de:</w:t>
            </w:r>
          </w:p>
        </w:tc>
        <w:tc>
          <w:tcPr>
            <w:tcW w:w="1843" w:type="dxa"/>
            <w:shd w:val="clear" w:color="auto" w:fill="auto"/>
            <w:vAlign w:val="center"/>
          </w:tcPr>
          <w:p w:rsidR="00260A9C" w:rsidRPr="00625C96" w:rsidRDefault="00260A9C" w:rsidP="00625C96">
            <w:pPr>
              <w:spacing w:before="40" w:after="120" w:line="220" w:lineRule="exact"/>
              <w:ind w:left="57" w:right="57"/>
              <w:rPr>
                <w:i/>
                <w:sz w:val="16"/>
                <w:szCs w:val="16"/>
                <w:lang w:val="fr-FR"/>
              </w:rPr>
            </w:pPr>
            <w:r w:rsidRPr="00625C96">
              <w:rPr>
                <w:i/>
                <w:sz w:val="16"/>
                <w:szCs w:val="16"/>
                <w:lang w:val="fr-FR"/>
              </w:rPr>
              <w:t>Définition</w:t>
            </w:r>
          </w:p>
        </w:tc>
        <w:tc>
          <w:tcPr>
            <w:tcW w:w="3260" w:type="dxa"/>
            <w:shd w:val="clear" w:color="auto" w:fill="auto"/>
            <w:vAlign w:val="center"/>
          </w:tcPr>
          <w:p w:rsidR="00260A9C" w:rsidRPr="00625C96" w:rsidRDefault="00260A9C" w:rsidP="00625C96">
            <w:pPr>
              <w:spacing w:before="40" w:after="120" w:line="220" w:lineRule="exact"/>
              <w:ind w:left="57" w:right="57"/>
              <w:rPr>
                <w:i/>
                <w:sz w:val="16"/>
                <w:szCs w:val="16"/>
                <w:lang w:val="fr-FR"/>
              </w:rPr>
            </w:pPr>
            <w:r w:rsidRPr="00625C96">
              <w:rPr>
                <w:i/>
                <w:sz w:val="16"/>
                <w:szCs w:val="16"/>
                <w:lang w:val="fr-FR"/>
              </w:rPr>
              <w:t>Caractéristiques</w:t>
            </w:r>
          </w:p>
        </w:tc>
        <w:tc>
          <w:tcPr>
            <w:tcW w:w="1409" w:type="dxa"/>
            <w:shd w:val="clear" w:color="auto" w:fill="auto"/>
            <w:vAlign w:val="center"/>
          </w:tcPr>
          <w:p w:rsidR="00260A9C" w:rsidRPr="00625C96" w:rsidRDefault="00260A9C" w:rsidP="00625C96">
            <w:pPr>
              <w:spacing w:before="40" w:after="120" w:line="220" w:lineRule="exact"/>
              <w:ind w:left="57" w:right="57"/>
              <w:rPr>
                <w:i/>
                <w:sz w:val="16"/>
                <w:szCs w:val="16"/>
                <w:lang w:val="fr-FR"/>
              </w:rPr>
            </w:pPr>
            <w:r w:rsidRPr="00625C96">
              <w:rPr>
                <w:i/>
                <w:sz w:val="16"/>
                <w:szCs w:val="16"/>
                <w:lang w:val="fr-FR"/>
              </w:rPr>
              <w:t>Classification</w:t>
            </w:r>
          </w:p>
        </w:tc>
      </w:tr>
      <w:tr w:rsidR="00260A9C" w:rsidRPr="008B40FC" w:rsidTr="00625C96">
        <w:trPr>
          <w:trHeight w:val="1790"/>
        </w:trPr>
        <w:tc>
          <w:tcPr>
            <w:tcW w:w="1587" w:type="dxa"/>
            <w:vMerge w:val="restart"/>
            <w:shd w:val="clear" w:color="auto" w:fill="auto"/>
          </w:tcPr>
          <w:p w:rsidR="00260A9C" w:rsidRPr="008B40FC" w:rsidRDefault="00260A9C" w:rsidP="00625C96">
            <w:pPr>
              <w:spacing w:before="40" w:after="120" w:line="220" w:lineRule="exact"/>
              <w:ind w:left="57" w:right="57"/>
              <w:rPr>
                <w:sz w:val="18"/>
                <w:lang w:val="fr-FR"/>
              </w:rPr>
            </w:pPr>
            <w:r w:rsidRPr="008B40FC">
              <w:rPr>
                <w:lang w:val="fr-FR"/>
              </w:rPr>
              <w:t>Cascade</w:t>
            </w:r>
          </w:p>
        </w:tc>
        <w:tc>
          <w:tcPr>
            <w:tcW w:w="1540" w:type="dxa"/>
            <w:vMerge w:val="restart"/>
            <w:shd w:val="clear" w:color="auto" w:fill="auto"/>
          </w:tcPr>
          <w:p w:rsidR="00260A9C" w:rsidRPr="008B40FC" w:rsidRDefault="00260A9C" w:rsidP="00625C96">
            <w:pPr>
              <w:spacing w:before="40" w:after="120" w:line="220" w:lineRule="exact"/>
              <w:ind w:left="57" w:right="57"/>
              <w:rPr>
                <w:sz w:val="18"/>
                <w:lang w:val="fr-FR"/>
              </w:rPr>
            </w:pPr>
            <w:proofErr w:type="spellStart"/>
            <w:r w:rsidRPr="008B40FC">
              <w:rPr>
                <w:lang w:val="fr-FR"/>
              </w:rPr>
              <w:t>s.o</w:t>
            </w:r>
            <w:proofErr w:type="spellEnd"/>
            <w:r w:rsidRPr="008B40FC">
              <w:rPr>
                <w:lang w:val="fr-FR"/>
              </w:rPr>
              <w:t>.</w:t>
            </w:r>
          </w:p>
        </w:tc>
        <w:tc>
          <w:tcPr>
            <w:tcW w:w="1843" w:type="dxa"/>
            <w:vMerge w:val="restart"/>
            <w:shd w:val="clear" w:color="auto" w:fill="auto"/>
          </w:tcPr>
          <w:p w:rsidR="00260A9C" w:rsidRPr="008B40FC" w:rsidRDefault="00260A9C" w:rsidP="00625C96">
            <w:pPr>
              <w:spacing w:before="40" w:after="120" w:line="220" w:lineRule="exact"/>
              <w:ind w:left="57" w:right="57"/>
              <w:rPr>
                <w:sz w:val="18"/>
                <w:lang w:val="fr-FR"/>
              </w:rPr>
            </w:pPr>
            <w:r w:rsidRPr="008B40FC">
              <w:rPr>
                <w:lang w:val="fr-FR"/>
              </w:rPr>
              <w:t>Fontaine pyrotechnique conçue pour produire une cascade verticale ou un rideau d’étincelles</w:t>
            </w:r>
          </w:p>
        </w:tc>
        <w:tc>
          <w:tcPr>
            <w:tcW w:w="3260" w:type="dxa"/>
            <w:tcBorders>
              <w:bottom w:val="nil"/>
            </w:tcBorders>
            <w:shd w:val="clear" w:color="auto" w:fill="auto"/>
          </w:tcPr>
          <w:p w:rsidR="00260A9C" w:rsidRPr="008B40FC" w:rsidRDefault="00260A9C" w:rsidP="00625C96">
            <w:pPr>
              <w:spacing w:before="40" w:after="120" w:line="220" w:lineRule="exact"/>
              <w:ind w:left="57" w:right="57"/>
              <w:rPr>
                <w:sz w:val="18"/>
                <w:lang w:val="fr-FR"/>
              </w:rPr>
            </w:pPr>
            <w:r w:rsidRPr="008B40FC">
              <w:rPr>
                <w:lang w:val="fr-FR"/>
              </w:rPr>
              <w:t>Contient une matière pyrotechnique ayant obtenu un résultat positif à l’issue de l’épreuve HSL des compositions éclair décrite à l’appendice 7 du Manuel d’épreuves et de critères, indépendamment des résultats des épreuves de la série 6 (voir </w:t>
            </w:r>
            <w:r w:rsidR="00216861" w:rsidRPr="00216861">
              <w:rPr>
                <w:iCs/>
                <w:lang w:val="fr-FR"/>
              </w:rPr>
              <w:t>2.2.1.1.7.1</w:t>
            </w:r>
            <w:r w:rsidRPr="008B40FC">
              <w:rPr>
                <w:lang w:val="fr-FR"/>
              </w:rPr>
              <w:t>a))</w:t>
            </w:r>
          </w:p>
        </w:tc>
        <w:tc>
          <w:tcPr>
            <w:tcW w:w="1409" w:type="dxa"/>
            <w:tcBorders>
              <w:bottom w:val="nil"/>
            </w:tcBorders>
            <w:shd w:val="clear" w:color="auto" w:fill="auto"/>
          </w:tcPr>
          <w:p w:rsidR="00260A9C" w:rsidRPr="008B40FC" w:rsidRDefault="00260A9C" w:rsidP="00625C96">
            <w:pPr>
              <w:spacing w:before="40" w:after="120" w:line="220" w:lineRule="exact"/>
              <w:ind w:left="57" w:right="57"/>
              <w:rPr>
                <w:sz w:val="18"/>
                <w:lang w:val="fr-FR"/>
              </w:rPr>
            </w:pPr>
            <w:r w:rsidRPr="008B40FC">
              <w:rPr>
                <w:lang w:val="fr-FR"/>
              </w:rPr>
              <w:t>1.1G</w:t>
            </w:r>
          </w:p>
        </w:tc>
      </w:tr>
      <w:tr w:rsidR="00260A9C" w:rsidRPr="008B40FC" w:rsidTr="00625C96">
        <w:trPr>
          <w:trHeight w:val="1391"/>
        </w:trPr>
        <w:tc>
          <w:tcPr>
            <w:tcW w:w="1587" w:type="dxa"/>
            <w:vMerge/>
            <w:shd w:val="clear" w:color="auto" w:fill="auto"/>
          </w:tcPr>
          <w:p w:rsidR="00260A9C" w:rsidRPr="008B40FC" w:rsidRDefault="00260A9C" w:rsidP="00625C96">
            <w:pPr>
              <w:spacing w:before="40" w:after="120" w:line="220" w:lineRule="exact"/>
              <w:ind w:left="57" w:right="57"/>
              <w:rPr>
                <w:lang w:val="fr-FR"/>
              </w:rPr>
            </w:pPr>
          </w:p>
        </w:tc>
        <w:tc>
          <w:tcPr>
            <w:tcW w:w="1540" w:type="dxa"/>
            <w:vMerge/>
            <w:shd w:val="clear" w:color="auto" w:fill="auto"/>
          </w:tcPr>
          <w:p w:rsidR="00260A9C" w:rsidRPr="008B40FC" w:rsidRDefault="00260A9C" w:rsidP="00625C96">
            <w:pPr>
              <w:spacing w:before="40" w:after="120" w:line="220" w:lineRule="exact"/>
              <w:ind w:left="57" w:right="57"/>
              <w:rPr>
                <w:lang w:val="fr-FR"/>
              </w:rPr>
            </w:pPr>
          </w:p>
        </w:tc>
        <w:tc>
          <w:tcPr>
            <w:tcW w:w="1843" w:type="dxa"/>
            <w:vMerge/>
            <w:shd w:val="clear" w:color="auto" w:fill="auto"/>
          </w:tcPr>
          <w:p w:rsidR="00260A9C" w:rsidRPr="008B40FC" w:rsidRDefault="00260A9C" w:rsidP="00625C96">
            <w:pPr>
              <w:spacing w:before="40" w:after="120" w:line="220" w:lineRule="exact"/>
              <w:ind w:left="57" w:right="57"/>
              <w:rPr>
                <w:lang w:val="fr-FR"/>
              </w:rPr>
            </w:pPr>
          </w:p>
        </w:tc>
        <w:tc>
          <w:tcPr>
            <w:tcW w:w="3260" w:type="dxa"/>
            <w:tcBorders>
              <w:top w:val="nil"/>
              <w:bottom w:val="nil"/>
            </w:tcBorders>
            <w:shd w:val="clear" w:color="auto" w:fill="auto"/>
          </w:tcPr>
          <w:p w:rsidR="00260A9C" w:rsidRPr="008B40FC" w:rsidRDefault="00260A9C" w:rsidP="00625C96">
            <w:pPr>
              <w:spacing w:before="40" w:after="120" w:line="220" w:lineRule="exact"/>
              <w:ind w:left="57" w:right="57"/>
              <w:rPr>
                <w:lang w:val="fr-FR"/>
              </w:rPr>
            </w:pPr>
            <w:r w:rsidRPr="008B40FC">
              <w:rPr>
                <w:lang w:val="fr-FR"/>
              </w:rPr>
              <w:t>Contient une matière pyrotechnique ayant obtenu un résultat négatif à l’issue de l’épreuve HSL des compositions éclair décrite à l’appendice 7 du Manuel d’épreuves et de critères</w:t>
            </w:r>
          </w:p>
        </w:tc>
        <w:tc>
          <w:tcPr>
            <w:tcW w:w="1409" w:type="dxa"/>
            <w:tcBorders>
              <w:top w:val="nil"/>
              <w:bottom w:val="nil"/>
            </w:tcBorders>
            <w:shd w:val="clear" w:color="auto" w:fill="auto"/>
          </w:tcPr>
          <w:p w:rsidR="00260A9C" w:rsidRPr="008B40FC" w:rsidRDefault="00260A9C" w:rsidP="00625C96">
            <w:pPr>
              <w:spacing w:before="40" w:after="120" w:line="220" w:lineRule="exact"/>
              <w:ind w:left="57" w:right="57"/>
              <w:rPr>
                <w:lang w:val="fr-FR"/>
              </w:rPr>
            </w:pPr>
            <w:r w:rsidRPr="008B40FC">
              <w:rPr>
                <w:lang w:val="fr-FR"/>
              </w:rPr>
              <w:t>1.3G</w:t>
            </w:r>
          </w:p>
        </w:tc>
      </w:tr>
    </w:tbl>
    <w:p w:rsidR="00260A9C" w:rsidRPr="005E5579" w:rsidRDefault="0016419C" w:rsidP="00260A9C">
      <w:pPr>
        <w:pStyle w:val="SingleTxtG"/>
        <w:spacing w:before="120"/>
        <w:ind w:left="2268" w:hanging="1134"/>
      </w:pPr>
      <w:r>
        <w:lastRenderedPageBreak/>
        <w:t>2.2.1.1</w:t>
      </w:r>
      <w:r w:rsidR="00260A9C" w:rsidRPr="005E5579">
        <w:tab/>
        <w:t>A</w:t>
      </w:r>
      <w:r w:rsidR="00260A9C">
        <w:t>jouter un nouveau paragraphe </w:t>
      </w:r>
      <w:r>
        <w:t>2.2.1.1.9</w:t>
      </w:r>
      <w:r w:rsidR="00260A9C">
        <w:t>, ainsi libellé</w:t>
      </w:r>
      <w:r w:rsidR="00260A9C" w:rsidRPr="005E5579">
        <w:t>:</w:t>
      </w:r>
    </w:p>
    <w:p w:rsidR="00260A9C" w:rsidRPr="005E5579" w:rsidRDefault="00260A9C" w:rsidP="00260A9C">
      <w:pPr>
        <w:pStyle w:val="SingleTxtG"/>
        <w:ind w:left="2268" w:hanging="1134"/>
        <w:rPr>
          <w:i/>
        </w:rPr>
      </w:pPr>
      <w:r>
        <w:t>«</w:t>
      </w:r>
      <w:r w:rsidR="0016419C">
        <w:t>2.2.1.1.9</w:t>
      </w:r>
      <w:r w:rsidRPr="005E5579">
        <w:tab/>
      </w:r>
      <w:r>
        <w:rPr>
          <w:i/>
        </w:rPr>
        <w:t>Document de classification</w:t>
      </w:r>
    </w:p>
    <w:p w:rsidR="00260A9C" w:rsidRDefault="0016419C" w:rsidP="00260A9C">
      <w:pPr>
        <w:pStyle w:val="SingleTxtG"/>
      </w:pPr>
      <w:r>
        <w:t>2.2.1.1.9.1</w:t>
      </w:r>
      <w:r w:rsidR="00260A9C" w:rsidRPr="005E5579">
        <w:tab/>
      </w:r>
      <w:r w:rsidR="00260A9C">
        <w:t>L’autorité compétente qui affecte un objet ou une matière à la classe 1 doit confirmer cette affectation au demandeur par écrit</w:t>
      </w:r>
      <w:r w:rsidR="004357DE">
        <w:t>.</w:t>
      </w:r>
    </w:p>
    <w:p w:rsidR="00260A9C" w:rsidRDefault="0016419C" w:rsidP="00260A9C">
      <w:pPr>
        <w:pStyle w:val="SingleTxtG"/>
      </w:pPr>
      <w:r>
        <w:t>2.2.1.1.9.2</w:t>
      </w:r>
      <w:r w:rsidR="00260A9C" w:rsidRPr="005E5579">
        <w:tab/>
      </w:r>
      <w:r w:rsidR="00260A9C">
        <w:t>Le document de classification soumis par l’autorité compétente peut se présenter sous n’importe quelle forme et compter plus d’une page, à condition que les pages soient numérotées dans l’ordre, et porter un seul et même numéro de référence</w:t>
      </w:r>
      <w:r w:rsidR="004357DE">
        <w:t>.</w:t>
      </w:r>
    </w:p>
    <w:p w:rsidR="00260A9C" w:rsidRDefault="0016419C" w:rsidP="00260A9C">
      <w:pPr>
        <w:pStyle w:val="SingleTxtG"/>
      </w:pPr>
      <w:r>
        <w:t>2.2.1.1.9.3</w:t>
      </w:r>
      <w:r w:rsidR="00260A9C" w:rsidRPr="005E5579">
        <w:tab/>
      </w:r>
      <w:r w:rsidR="00260A9C">
        <w:t xml:space="preserve">Les renseignements figurant dans ce document doivent être facilement reconnaissables, </w:t>
      </w:r>
      <w:r w:rsidR="00260A9C" w:rsidRPr="004357DE">
        <w:t>lisibles et</w:t>
      </w:r>
      <w:r w:rsidR="00260A9C">
        <w:t xml:space="preserve"> durables</w:t>
      </w:r>
      <w:r w:rsidR="004357DE">
        <w:t>.</w:t>
      </w:r>
    </w:p>
    <w:p w:rsidR="00260A9C" w:rsidRPr="005E5579" w:rsidRDefault="0016419C" w:rsidP="00260A9C">
      <w:pPr>
        <w:pStyle w:val="SingleTxtG"/>
        <w:keepNext/>
      </w:pPr>
      <w:r>
        <w:t>2.2.1.1.9.4</w:t>
      </w:r>
      <w:r w:rsidR="00260A9C">
        <w:tab/>
        <w:t>Exe</w:t>
      </w:r>
      <w:r w:rsidR="00260A9C" w:rsidRPr="005E5579">
        <w:t xml:space="preserve">mples </w:t>
      </w:r>
      <w:r w:rsidR="00260A9C">
        <w:t xml:space="preserve">de renseignements pouvant figurer dans le document de </w:t>
      </w:r>
      <w:r w:rsidR="00260A9C" w:rsidRPr="005E5579">
        <w:t>classification:</w:t>
      </w:r>
    </w:p>
    <w:p w:rsidR="00260A9C" w:rsidRPr="004357DE" w:rsidRDefault="00260A9C" w:rsidP="0034031C">
      <w:pPr>
        <w:pStyle w:val="SingleTxtG"/>
        <w:ind w:left="1701" w:hanging="1"/>
      </w:pPr>
      <w:r w:rsidRPr="005E5579">
        <w:t>a)</w:t>
      </w:r>
      <w:r w:rsidRPr="005E5579">
        <w:tab/>
      </w:r>
      <w:r w:rsidRPr="004357DE">
        <w:t>Nom de l’autorité compétente et dispositions de la législation nationale qui fondent sa légitimité;</w:t>
      </w:r>
    </w:p>
    <w:p w:rsidR="00260A9C" w:rsidRPr="004357DE" w:rsidRDefault="00260A9C" w:rsidP="0034031C">
      <w:pPr>
        <w:pStyle w:val="SingleTxtG"/>
        <w:ind w:left="1701" w:hanging="1"/>
      </w:pPr>
      <w:r w:rsidRPr="004357DE">
        <w:t>b)</w:t>
      </w:r>
      <w:r w:rsidRPr="004357DE">
        <w:tab/>
        <w:t>Règlements modaux ou nationaux auxquels s’applique le document de classification;</w:t>
      </w:r>
    </w:p>
    <w:p w:rsidR="00260A9C" w:rsidRPr="004357DE" w:rsidRDefault="00260A9C" w:rsidP="0034031C">
      <w:pPr>
        <w:pStyle w:val="SingleTxtG"/>
        <w:ind w:left="1701" w:hanging="1"/>
      </w:pPr>
      <w:r w:rsidRPr="004357DE">
        <w:t>c)</w:t>
      </w:r>
      <w:r w:rsidRPr="004357DE">
        <w:tab/>
        <w:t xml:space="preserve">Confirmation que la classification a été approuvée, faite ou entérinée conformément </w:t>
      </w:r>
      <w:r w:rsidR="0016419C" w:rsidRPr="004357DE">
        <w:t xml:space="preserve">au Règlement type de l'ONU </w:t>
      </w:r>
      <w:r w:rsidRPr="004357DE">
        <w:t xml:space="preserve"> ou aux règlements modaux pertinents;</w:t>
      </w:r>
    </w:p>
    <w:p w:rsidR="00260A9C" w:rsidRPr="004357DE" w:rsidRDefault="00260A9C" w:rsidP="0034031C">
      <w:pPr>
        <w:pStyle w:val="SingleTxtG"/>
        <w:ind w:left="1701" w:hanging="1"/>
      </w:pPr>
      <w:r w:rsidRPr="004357DE">
        <w:t>d)</w:t>
      </w:r>
      <w:r w:rsidRPr="004357DE">
        <w:tab/>
        <w:t>Nom et adresse de la personne morale à qui la classification a été confiée et toute référence d’enregistrement de société qui permet d’identifier spécifiquement une société donnée ou ses filiales suivant la législation nationale; e)</w:t>
      </w:r>
      <w:r w:rsidRPr="004357DE">
        <w:tab/>
        <w:t>Dénomination sous laquelle les matières ou objets explosibles seront mis sur le marché ou expédiés;</w:t>
      </w:r>
    </w:p>
    <w:p w:rsidR="00406E74" w:rsidRPr="004357DE" w:rsidRDefault="00406E74" w:rsidP="0034031C">
      <w:pPr>
        <w:pStyle w:val="SingleTxtG"/>
        <w:ind w:left="1701" w:hanging="1"/>
      </w:pPr>
      <w:r w:rsidRPr="004357DE">
        <w:t>e)</w:t>
      </w:r>
      <w:r w:rsidRPr="004357DE">
        <w:tab/>
        <w:t>Dénomination sous laquelle la matière ou l’objet explosible sera mis sur le marché ou expédié;</w:t>
      </w:r>
    </w:p>
    <w:p w:rsidR="00260A9C" w:rsidRPr="004357DE" w:rsidRDefault="00260A9C" w:rsidP="0034031C">
      <w:pPr>
        <w:pStyle w:val="SingleTxtG"/>
        <w:ind w:left="1701" w:hanging="1"/>
      </w:pPr>
      <w:r w:rsidRPr="004357DE">
        <w:t>f)</w:t>
      </w:r>
      <w:r w:rsidRPr="004357DE">
        <w:tab/>
        <w:t>Désignation officielle de transport, numéro ONU, classe, division et groupe de compatibilité correspondant</w:t>
      </w:r>
      <w:r w:rsidR="00406E74" w:rsidRPr="004357DE">
        <w:t xml:space="preserve"> à la matière ou l’objet explosible</w:t>
      </w:r>
      <w:r w:rsidRPr="004357DE">
        <w:t>;</w:t>
      </w:r>
    </w:p>
    <w:p w:rsidR="00260A9C" w:rsidRPr="004357DE" w:rsidRDefault="00260A9C" w:rsidP="0034031C">
      <w:pPr>
        <w:pStyle w:val="SingleTxtG"/>
        <w:ind w:left="1701" w:hanging="1"/>
      </w:pPr>
      <w:r w:rsidRPr="004357DE">
        <w:t>g)</w:t>
      </w:r>
      <w:r w:rsidRPr="004357DE">
        <w:tab/>
        <w:t>Le cas échéant, masse nette maximum de matière explosible contenue dans le colis ou l’objet;</w:t>
      </w:r>
    </w:p>
    <w:p w:rsidR="00260A9C" w:rsidRPr="004357DE" w:rsidRDefault="00260A9C" w:rsidP="0034031C">
      <w:pPr>
        <w:pStyle w:val="SingleTxtG"/>
        <w:ind w:left="1701" w:hanging="1"/>
      </w:pPr>
      <w:r w:rsidRPr="004357DE">
        <w:t>h)</w:t>
      </w:r>
      <w:r w:rsidRPr="004357DE">
        <w:tab/>
        <w:t>Nom, signature, timbre, cachet ou autre signe d’identification de la personne autorisée par l’autorité compétente à délivrer le document de classification, lesquels doivent être clairement visibles;</w:t>
      </w:r>
    </w:p>
    <w:p w:rsidR="00260A9C" w:rsidRPr="004357DE" w:rsidRDefault="00260A9C" w:rsidP="0034031C">
      <w:pPr>
        <w:pStyle w:val="SingleTxtG"/>
        <w:ind w:left="1701" w:hanging="1"/>
      </w:pPr>
      <w:r w:rsidRPr="004357DE">
        <w:t>i)</w:t>
      </w:r>
      <w:r w:rsidRPr="004357DE">
        <w:tab/>
        <w:t>Lorsque la sécurité du transport ou la division est considérée comme tributaire de l’emballage, indication des emballages intérieurs, des emballages intermédiaires et des emballages extérieurs autorisés;</w:t>
      </w:r>
    </w:p>
    <w:p w:rsidR="00260A9C" w:rsidRPr="004357DE" w:rsidRDefault="00260A9C" w:rsidP="0034031C">
      <w:pPr>
        <w:pStyle w:val="SingleTxtG"/>
        <w:ind w:left="1701" w:hanging="1"/>
      </w:pPr>
      <w:r w:rsidRPr="004357DE">
        <w:t>j)</w:t>
      </w:r>
      <w:r w:rsidRPr="004357DE">
        <w:tab/>
        <w:t xml:space="preserve">Numéro de pièce, numéro de stock ou tout autre numéro de référence sous lequel </w:t>
      </w:r>
      <w:r w:rsidR="00406E74" w:rsidRPr="004357DE">
        <w:t>la matière ou l’objet explosible sera mis sur le marché ou expédié</w:t>
      </w:r>
      <w:r w:rsidRPr="004357DE">
        <w:t>;</w:t>
      </w:r>
    </w:p>
    <w:p w:rsidR="00260A9C" w:rsidRDefault="00260A9C" w:rsidP="0034031C">
      <w:pPr>
        <w:pStyle w:val="SingleTxtG"/>
        <w:ind w:left="1701" w:hanging="1"/>
      </w:pPr>
      <w:r w:rsidRPr="004357DE">
        <w:t>k)</w:t>
      </w:r>
      <w:r w:rsidRPr="004357DE">
        <w:tab/>
        <w:t>Nom et adresse de la personne morale qui a fabriqué les explosifs et toute référence d’enregistrement</w:t>
      </w:r>
      <w:r>
        <w:t xml:space="preserve"> de société qui permet d’identifier spécifiquement une société donnée ou ses filiales suivant la législation nationale</w:t>
      </w:r>
      <w:r w:rsidRPr="00D44E54">
        <w:t>;</w:t>
      </w:r>
    </w:p>
    <w:p w:rsidR="00260A9C" w:rsidRPr="004357DE" w:rsidRDefault="00260A9C" w:rsidP="0034031C">
      <w:pPr>
        <w:pStyle w:val="SingleTxtG"/>
        <w:ind w:left="1701" w:hanging="1"/>
      </w:pPr>
      <w:r w:rsidRPr="005E5579">
        <w:t>l)</w:t>
      </w:r>
      <w:r w:rsidRPr="005E5579">
        <w:tab/>
      </w:r>
      <w:r w:rsidRPr="004357DE">
        <w:t>Tout renseignement supplémentaire concernant les instructions d’emballage et les dispositions spéciales d’emballage applicables, le cas échéant;</w:t>
      </w:r>
    </w:p>
    <w:p w:rsidR="00260A9C" w:rsidRDefault="00260A9C" w:rsidP="0034031C">
      <w:pPr>
        <w:pStyle w:val="SingleTxtG"/>
        <w:ind w:left="1701" w:hanging="1"/>
      </w:pPr>
      <w:r w:rsidRPr="004357DE">
        <w:t>m)</w:t>
      </w:r>
      <w:r w:rsidRPr="004357DE">
        <w:tab/>
        <w:t>Justification de la classification, par exemple résultats d’essais, classement</w:t>
      </w:r>
      <w:r>
        <w:t xml:space="preserve"> par défaut d’artifices de divertissement, analogie avec </w:t>
      </w:r>
      <w:r w:rsidRPr="00D44E54">
        <w:t>une matière ou un objet explosible</w:t>
      </w:r>
      <w:r>
        <w:t xml:space="preserve"> classé, </w:t>
      </w:r>
      <w:r w:rsidRPr="00D45561">
        <w:t xml:space="preserve">définition </w:t>
      </w:r>
      <w:r>
        <w:t xml:space="preserve">figurant dans </w:t>
      </w:r>
      <w:r w:rsidR="00C218FD">
        <w:t>le tableau A du chapitre 3.2</w:t>
      </w:r>
      <w:r>
        <w:t>, etc.;</w:t>
      </w:r>
    </w:p>
    <w:p w:rsidR="00260A9C" w:rsidRDefault="00260A9C" w:rsidP="00037498">
      <w:pPr>
        <w:pStyle w:val="SingleTxtG"/>
        <w:ind w:left="1701" w:hanging="1"/>
      </w:pPr>
      <w:r w:rsidRPr="005E5579">
        <w:lastRenderedPageBreak/>
        <w:t>n)</w:t>
      </w:r>
      <w:r w:rsidRPr="005E5579">
        <w:tab/>
      </w:r>
      <w:r>
        <w:t>Conditions ou limites spéciales que l’autorité compétente a fixées pour la sécurité du transport des explosifs, la communication du danger et le transport international;</w:t>
      </w:r>
    </w:p>
    <w:p w:rsidR="00260A9C" w:rsidRPr="005E5579" w:rsidRDefault="00260A9C" w:rsidP="00037498">
      <w:pPr>
        <w:pStyle w:val="SingleTxtG"/>
        <w:ind w:left="1701" w:hanging="1"/>
      </w:pPr>
      <w:r w:rsidRPr="005E5579">
        <w:t>o)</w:t>
      </w:r>
      <w:r w:rsidRPr="005E5579">
        <w:tab/>
      </w:r>
      <w:r>
        <w:t xml:space="preserve">Date d’expiration du document de </w:t>
      </w:r>
      <w:r w:rsidRPr="005E5579">
        <w:t xml:space="preserve">classification </w:t>
      </w:r>
      <w:r>
        <w:t>si l’autorité compétente le juge nécessaire.».</w:t>
      </w:r>
    </w:p>
    <w:p w:rsidR="00EA4D5A" w:rsidRDefault="00795138" w:rsidP="001A37C7">
      <w:pPr>
        <w:pStyle w:val="SingleTxtG"/>
      </w:pPr>
      <w:r>
        <w:t>2.2.1.4</w:t>
      </w:r>
      <w:r>
        <w:tab/>
      </w:r>
      <w:r>
        <w:tab/>
        <w:t>Dans la définition de «PROPULSEURS», après «0281» ajouter «, 0510».</w:t>
      </w:r>
    </w:p>
    <w:p w:rsidR="00115943" w:rsidRDefault="00115943" w:rsidP="00115943">
      <w:pPr>
        <w:pStyle w:val="SingleTxtG"/>
        <w:tabs>
          <w:tab w:val="left" w:pos="2268"/>
        </w:tabs>
      </w:pPr>
      <w:r>
        <w:t>2.2.2.2.1</w:t>
      </w:r>
      <w:r>
        <w:tab/>
        <w:t>Modifier pour lire comme suit:</w:t>
      </w:r>
    </w:p>
    <w:p w:rsidR="00115943" w:rsidRDefault="00115943" w:rsidP="00115943">
      <w:pPr>
        <w:pStyle w:val="SingleTxtG"/>
        <w:tabs>
          <w:tab w:val="left" w:pos="2268"/>
        </w:tabs>
        <w:rPr>
          <w:i/>
          <w:iCs/>
          <w:lang w:val="fr-FR"/>
        </w:rPr>
      </w:pPr>
      <w:r>
        <w:t>«2.2.2.2.1</w:t>
      </w:r>
      <w:r>
        <w:tab/>
      </w:r>
      <w:r w:rsidRPr="00EC5762">
        <w:t xml:space="preserve">Les </w:t>
      </w:r>
      <w:r>
        <w:t>gaz</w:t>
      </w:r>
      <w:r w:rsidRPr="00EC5762">
        <w:t xml:space="preserve"> chimiquement instables de la classe 2 ne sont pas acceptés au transport à moins que les précautions nécessaires aient été prises pour en prévenir </w:t>
      </w:r>
      <w:r>
        <w:t>une éventuelle</w:t>
      </w:r>
      <w:r w:rsidRPr="00EC5762">
        <w:t xml:space="preserve"> décomposition dangereuse ou polymérisation dangereuse dans des conditions normales de transport ou à moins qu’elles soient transportées conformément à </w:t>
      </w:r>
      <w:r>
        <w:t>la disposition spéciale r</w:t>
      </w:r>
      <w:r w:rsidRPr="00EC5762">
        <w:t xml:space="preserve"> de l’instruction d’emballage P200</w:t>
      </w:r>
      <w:r>
        <w:t xml:space="preserve"> (10) du 4.1.4.1</w:t>
      </w:r>
      <w:r w:rsidR="0049374F">
        <w:t xml:space="preserve"> de l'ADR</w:t>
      </w:r>
      <w:r w:rsidRPr="00EC5762">
        <w:t xml:space="preserve">, selon le cas. Pour les précautions à suivre afin d’éviter une polymérisation, voir la disposition </w:t>
      </w:r>
      <w:r w:rsidRPr="0017734B">
        <w:t>spéciale 386 du chapitre 3.3. À</w:t>
      </w:r>
      <w:r w:rsidRPr="00EC5762">
        <w:t xml:space="preserve"> cette fin, on doit en particulier veiller à ce que les récipients et citernes ne contiennent aucune matière susceptible de favoriser ces réactions</w:t>
      </w:r>
      <w:r>
        <w:t>.</w:t>
      </w:r>
      <w:r w:rsidR="00037498">
        <w:t>»</w:t>
      </w:r>
    </w:p>
    <w:p w:rsidR="00115943" w:rsidRDefault="00115943" w:rsidP="00115943">
      <w:pPr>
        <w:pStyle w:val="SingleTxtG"/>
        <w:tabs>
          <w:tab w:val="left" w:pos="2268"/>
        </w:tabs>
        <w:rPr>
          <w:lang w:val="fr-FR"/>
        </w:rPr>
      </w:pPr>
      <w:r>
        <w:rPr>
          <w:lang w:val="fr-FR"/>
        </w:rPr>
        <w:t>2.2.3.1.5</w:t>
      </w:r>
      <w:r>
        <w:rPr>
          <w:lang w:val="fr-FR"/>
        </w:rPr>
        <w:tab/>
      </w:r>
      <w:r>
        <w:rPr>
          <w:lang w:val="fr-FR"/>
        </w:rPr>
        <w:tab/>
        <w:t>Le texte existant devient le paragraphe 2.2.3.1.5.1. Au début de ce texte, remplacer «Les liquides visqueux» par «Sauf dans les cas prévus au 2.2.3.1.5.2, les liquides visqueux».</w:t>
      </w:r>
    </w:p>
    <w:p w:rsidR="00115943" w:rsidRDefault="00115943" w:rsidP="00115943">
      <w:pPr>
        <w:pStyle w:val="SingleTxtG"/>
        <w:rPr>
          <w:lang w:val="fr-FR"/>
        </w:rPr>
      </w:pPr>
      <w:r>
        <w:rPr>
          <w:lang w:val="fr-FR"/>
        </w:rPr>
        <w:t>Avant ce paragraphe, ajouter un nouveau titre 2.2.3.1.5 comme suit:</w:t>
      </w:r>
    </w:p>
    <w:p w:rsidR="00115943" w:rsidRPr="00055EE3" w:rsidRDefault="00115943" w:rsidP="00115943">
      <w:pPr>
        <w:pStyle w:val="SingleTxtG"/>
        <w:tabs>
          <w:tab w:val="left" w:pos="2268"/>
        </w:tabs>
        <w:rPr>
          <w:lang w:val="fr-FR"/>
        </w:rPr>
      </w:pPr>
      <w:r w:rsidRPr="00055EE3">
        <w:rPr>
          <w:lang w:val="fr-FR"/>
        </w:rPr>
        <w:t>«</w:t>
      </w:r>
      <w:r w:rsidRPr="00055EE3">
        <w:rPr>
          <w:bCs/>
          <w:lang w:val="fr-FR"/>
        </w:rPr>
        <w:t>2.2.3.1.5</w:t>
      </w:r>
      <w:r w:rsidRPr="00055EE3">
        <w:rPr>
          <w:bCs/>
          <w:lang w:val="fr-FR"/>
        </w:rPr>
        <w:tab/>
      </w:r>
      <w:r w:rsidRPr="00055EE3">
        <w:rPr>
          <w:bCs/>
          <w:i/>
          <w:iCs/>
          <w:lang w:val="fr-FR"/>
        </w:rPr>
        <w:t>Liquides visqueux</w:t>
      </w:r>
      <w:r w:rsidRPr="00055EE3">
        <w:rPr>
          <w:lang w:val="fr-FR"/>
        </w:rPr>
        <w:t>».</w:t>
      </w:r>
    </w:p>
    <w:p w:rsidR="00115943" w:rsidRDefault="00115943" w:rsidP="00115943">
      <w:pPr>
        <w:pStyle w:val="SingleTxtG"/>
        <w:rPr>
          <w:lang w:val="fr-FR"/>
        </w:rPr>
      </w:pPr>
      <w:r>
        <w:rPr>
          <w:lang w:val="fr-FR"/>
        </w:rPr>
        <w:t>Ajouter un nouveau paragraphe 2.2.3.1.5.2 pour lire comme suit:</w:t>
      </w:r>
    </w:p>
    <w:p w:rsidR="00115943" w:rsidRPr="0018220F" w:rsidRDefault="00115943" w:rsidP="00115943">
      <w:pPr>
        <w:pStyle w:val="SingleTxtG"/>
        <w:tabs>
          <w:tab w:val="left" w:pos="2268"/>
        </w:tabs>
        <w:rPr>
          <w:lang w:val="fr-FR"/>
        </w:rPr>
      </w:pPr>
      <w:r w:rsidRPr="0018220F">
        <w:rPr>
          <w:lang w:val="fr-FR"/>
        </w:rPr>
        <w:t>«</w:t>
      </w:r>
      <w:r>
        <w:rPr>
          <w:lang w:val="fr-FR"/>
        </w:rPr>
        <w:t>2.2.3.1.5.2</w:t>
      </w:r>
      <w:r>
        <w:rPr>
          <w:lang w:val="fr-FR"/>
        </w:rPr>
        <w:tab/>
      </w:r>
      <w:r w:rsidRPr="0018220F">
        <w:rPr>
          <w:lang w:val="fr-FR"/>
        </w:rPr>
        <w:tab/>
      </w:r>
      <w:r w:rsidRPr="0018220F">
        <w:t>Les liquides visqueux</w:t>
      </w:r>
      <w:r w:rsidRPr="0018220F">
        <w:rPr>
          <w:b/>
        </w:rPr>
        <w:t xml:space="preserve"> </w:t>
      </w:r>
      <w:r w:rsidRPr="0018220F">
        <w:t xml:space="preserve">qui sont aussi dangereux pour l’environnement mais qui remplissent tous les autres critères énoncés au </w:t>
      </w:r>
      <w:r>
        <w:t>2.2.3.1.5.1</w:t>
      </w:r>
      <w:r w:rsidRPr="0018220F">
        <w:t xml:space="preserve">, ne sont soumis à aucune autre disposition </w:t>
      </w:r>
      <w:r>
        <w:t>de l’ADN</w:t>
      </w:r>
      <w:r w:rsidRPr="0018220F">
        <w:t xml:space="preserve"> lorsqu’ils sont transportés dans des emballages simples ou combinés contenant une quantité nette par emballage simple ou intérieur inférieure ou égale à 5 l, à condition que ces emballages satisfassent aux dispositions générales des 4.1.1.1, 4.1.1.2 et 4.1.1.4 à 4.1.1.8</w:t>
      </w:r>
      <w:r w:rsidR="0049374F">
        <w:t xml:space="preserve"> de l'ADR</w:t>
      </w:r>
      <w:r w:rsidRPr="0018220F">
        <w:t>.</w:t>
      </w:r>
      <w:r w:rsidRPr="0018220F">
        <w:rPr>
          <w:lang w:val="fr-FR"/>
        </w:rPr>
        <w:t>»</w:t>
      </w:r>
      <w:r>
        <w:rPr>
          <w:lang w:val="fr-FR"/>
        </w:rPr>
        <w:t>.</w:t>
      </w:r>
    </w:p>
    <w:p w:rsidR="00115943" w:rsidRDefault="00115943" w:rsidP="00115943">
      <w:pPr>
        <w:pStyle w:val="SingleTxtG"/>
        <w:tabs>
          <w:tab w:val="left" w:pos="2268"/>
        </w:tabs>
        <w:rPr>
          <w:iCs/>
        </w:rPr>
      </w:pPr>
      <w:r>
        <w:rPr>
          <w:iCs/>
        </w:rPr>
        <w:t>2.2.3.2.2</w:t>
      </w:r>
      <w:r>
        <w:rPr>
          <w:iCs/>
        </w:rPr>
        <w:tab/>
        <w:t>Modifier pour lire comme suit:</w:t>
      </w:r>
    </w:p>
    <w:p w:rsidR="00115943" w:rsidRDefault="00115943" w:rsidP="00115943">
      <w:pPr>
        <w:pStyle w:val="SingleTxtG"/>
        <w:tabs>
          <w:tab w:val="left" w:pos="2268"/>
        </w:tabs>
        <w:rPr>
          <w:iCs/>
        </w:rPr>
      </w:pPr>
      <w:r>
        <w:rPr>
          <w:iCs/>
        </w:rPr>
        <w:t>«2.2.3.2.2</w:t>
      </w:r>
      <w:r>
        <w:rPr>
          <w:iCs/>
        </w:rPr>
        <w:tab/>
      </w:r>
      <w:r w:rsidRPr="00F24A1D">
        <w:rPr>
          <w:iCs/>
        </w:rPr>
        <w:t xml:space="preserve">Les matières chimiquement instables de la classe 3 ne sont pas acceptées au transport à moins que les précautions nécessaires aient été prises pour en prévenir </w:t>
      </w:r>
      <w:r>
        <w:rPr>
          <w:iCs/>
        </w:rPr>
        <w:t>une éventuelle</w:t>
      </w:r>
      <w:r w:rsidRPr="00F24A1D">
        <w:rPr>
          <w:iCs/>
        </w:rPr>
        <w:t xml:space="preserve"> décomposition </w:t>
      </w:r>
      <w:r>
        <w:rPr>
          <w:iCs/>
        </w:rPr>
        <w:t>dangereuse</w:t>
      </w:r>
      <w:r w:rsidRPr="00F24A1D">
        <w:rPr>
          <w:iCs/>
        </w:rPr>
        <w:t xml:space="preserve"> ou polymérisation dangereuse dans des conditions </w:t>
      </w:r>
      <w:r w:rsidR="00406E74">
        <w:rPr>
          <w:iCs/>
        </w:rPr>
        <w:t xml:space="preserve">normales </w:t>
      </w:r>
      <w:r w:rsidRPr="00F24A1D">
        <w:rPr>
          <w:iCs/>
        </w:rPr>
        <w:t xml:space="preserve">de transport. Pour les précautions à suivre afin d’éviter une polymérisation, </w:t>
      </w:r>
      <w:r w:rsidRPr="0017734B">
        <w:rPr>
          <w:iCs/>
        </w:rPr>
        <w:t>voir la disposition spéciale </w:t>
      </w:r>
      <w:r w:rsidRPr="0017734B">
        <w:t>386 du chapitre 3.3</w:t>
      </w:r>
      <w:r w:rsidRPr="0017734B">
        <w:rPr>
          <w:iCs/>
        </w:rPr>
        <w:t>. À cette fin, on doit en particulier veiller à ce que les récipients et citernes ne contiennent aucune matière susceptible de favoriser ces réactions</w:t>
      </w:r>
      <w:r w:rsidRPr="00F24A1D">
        <w:rPr>
          <w:iCs/>
        </w:rPr>
        <w:t>».</w:t>
      </w:r>
    </w:p>
    <w:p w:rsidR="00115943" w:rsidRPr="00F24A1D" w:rsidRDefault="00037498" w:rsidP="00115943">
      <w:pPr>
        <w:pStyle w:val="SingleTxtG"/>
        <w:tabs>
          <w:tab w:val="left" w:pos="2268"/>
        </w:tabs>
        <w:rPr>
          <w:iCs/>
        </w:rPr>
      </w:pPr>
      <w:r>
        <w:rPr>
          <w:iCs/>
        </w:rPr>
        <w:t>2.2.3.3</w:t>
      </w:r>
      <w:r>
        <w:rPr>
          <w:iCs/>
        </w:rPr>
        <w:tab/>
        <w:t xml:space="preserve">Pour «F3 </w:t>
      </w:r>
      <w:r w:rsidR="00115943">
        <w:rPr>
          <w:iCs/>
        </w:rPr>
        <w:t>Objets», à la fin de la désignation pour le No ONU 3269, ajouter «</w:t>
      </w:r>
      <w:r w:rsidR="00115943" w:rsidRPr="00DE419C">
        <w:t>,</w:t>
      </w:r>
      <w:r>
        <w:t> </w:t>
      </w:r>
      <w:r w:rsidR="00115943" w:rsidRPr="00DE419C">
        <w:t>constituant de base liquide</w:t>
      </w:r>
      <w:r w:rsidR="00115943">
        <w:rPr>
          <w:iCs/>
        </w:rPr>
        <w:t>».</w:t>
      </w:r>
    </w:p>
    <w:p w:rsidR="00115943" w:rsidRDefault="00115943" w:rsidP="00115943">
      <w:pPr>
        <w:pStyle w:val="SingleTxtG"/>
        <w:rPr>
          <w:iCs/>
          <w:lang w:val="fr-FR"/>
        </w:rPr>
      </w:pPr>
      <w:r>
        <w:rPr>
          <w:iCs/>
          <w:lang w:val="fr-FR"/>
        </w:rPr>
        <w:t>2.2.41</w:t>
      </w:r>
      <w:r>
        <w:rPr>
          <w:iCs/>
          <w:lang w:val="fr-FR"/>
        </w:rPr>
        <w:tab/>
      </w:r>
      <w:r>
        <w:rPr>
          <w:iCs/>
          <w:lang w:val="fr-FR"/>
        </w:rPr>
        <w:tab/>
        <w:t xml:space="preserve">Dans le titre de la Classe 4.1, après «matières </w:t>
      </w:r>
      <w:proofErr w:type="spellStart"/>
      <w:r>
        <w:rPr>
          <w:iCs/>
          <w:lang w:val="fr-FR"/>
        </w:rPr>
        <w:t>autoréactives</w:t>
      </w:r>
      <w:proofErr w:type="spellEnd"/>
      <w:r>
        <w:rPr>
          <w:iCs/>
          <w:lang w:val="fr-FR"/>
        </w:rPr>
        <w:t>» ajouter «,</w:t>
      </w:r>
      <w:r w:rsidR="00037498">
        <w:rPr>
          <w:iCs/>
          <w:lang w:val="fr-FR"/>
        </w:rPr>
        <w:t> </w:t>
      </w:r>
      <w:r>
        <w:rPr>
          <w:iCs/>
          <w:lang w:val="fr-FR"/>
        </w:rPr>
        <w:t>matières qui polymérisent».</w:t>
      </w:r>
    </w:p>
    <w:p w:rsidR="00115943" w:rsidRDefault="00115943" w:rsidP="00115943">
      <w:pPr>
        <w:pStyle w:val="SingleTxtG"/>
        <w:rPr>
          <w:iCs/>
          <w:lang w:val="fr-FR"/>
        </w:rPr>
      </w:pPr>
      <w:r>
        <w:rPr>
          <w:iCs/>
          <w:lang w:val="fr-FR"/>
        </w:rPr>
        <w:t>2.2.41.1.1</w:t>
      </w:r>
      <w:r>
        <w:rPr>
          <w:iCs/>
          <w:lang w:val="fr-FR"/>
        </w:rPr>
        <w:tab/>
        <w:t xml:space="preserve">Dans le premier paragraphe, remplacer «ainsi que les matières </w:t>
      </w:r>
      <w:proofErr w:type="spellStart"/>
      <w:r>
        <w:rPr>
          <w:iCs/>
          <w:lang w:val="fr-FR"/>
        </w:rPr>
        <w:t>autoréactives</w:t>
      </w:r>
      <w:proofErr w:type="spellEnd"/>
      <w:r>
        <w:rPr>
          <w:iCs/>
          <w:lang w:val="fr-FR"/>
        </w:rPr>
        <w:t xml:space="preserve"> liquides ou solides» par «, les matières </w:t>
      </w:r>
      <w:proofErr w:type="spellStart"/>
      <w:r>
        <w:rPr>
          <w:iCs/>
          <w:lang w:val="fr-FR"/>
        </w:rPr>
        <w:t>autoréactives</w:t>
      </w:r>
      <w:proofErr w:type="spellEnd"/>
      <w:r>
        <w:rPr>
          <w:iCs/>
          <w:lang w:val="fr-FR"/>
        </w:rPr>
        <w:t xml:space="preserve"> liquides ou solides et les matières qui polymérisent». Dans le deuxième paragraphe, ajouter un nouveau tiret à la fin pour lire:</w:t>
      </w:r>
    </w:p>
    <w:p w:rsidR="00115943" w:rsidRDefault="00115943" w:rsidP="00115943">
      <w:pPr>
        <w:pStyle w:val="SingleTxtG"/>
        <w:rPr>
          <w:iCs/>
          <w:lang w:val="fr-FR"/>
        </w:rPr>
      </w:pPr>
      <w:r>
        <w:rPr>
          <w:iCs/>
          <w:lang w:val="fr-FR"/>
        </w:rPr>
        <w:t>«-</w:t>
      </w:r>
      <w:r>
        <w:rPr>
          <w:iCs/>
          <w:lang w:val="fr-FR"/>
        </w:rPr>
        <w:tab/>
        <w:t>les matières qui polymérisent (voi</w:t>
      </w:r>
      <w:r w:rsidR="00037498">
        <w:rPr>
          <w:iCs/>
          <w:lang w:val="fr-FR"/>
        </w:rPr>
        <w:t>r 2.2.41.1.20 et 2.2.41.1.21).»</w:t>
      </w:r>
    </w:p>
    <w:p w:rsidR="00115943" w:rsidRDefault="00115943" w:rsidP="00115943">
      <w:pPr>
        <w:pStyle w:val="SingleTxtG"/>
        <w:rPr>
          <w:iCs/>
          <w:lang w:val="fr-FR"/>
        </w:rPr>
      </w:pPr>
      <w:r>
        <w:rPr>
          <w:iCs/>
          <w:lang w:val="fr-FR"/>
        </w:rPr>
        <w:t>2.2.41.1.2</w:t>
      </w:r>
      <w:r>
        <w:rPr>
          <w:iCs/>
          <w:lang w:val="fr-FR"/>
        </w:rPr>
        <w:tab/>
      </w:r>
      <w:r w:rsidR="00261C6B">
        <w:t>À</w:t>
      </w:r>
      <w:r>
        <w:rPr>
          <w:iCs/>
          <w:lang w:val="fr-FR"/>
        </w:rPr>
        <w:t xml:space="preserve"> la fin, ajouter les nouvelles subdivisions suivantes:</w:t>
      </w:r>
    </w:p>
    <w:p w:rsidR="00115943" w:rsidRDefault="00115943" w:rsidP="00115943">
      <w:pPr>
        <w:pStyle w:val="SingleTxtG"/>
        <w:rPr>
          <w:iCs/>
          <w:lang w:val="fr-FR"/>
        </w:rPr>
      </w:pPr>
      <w:r>
        <w:rPr>
          <w:iCs/>
          <w:lang w:val="fr-FR"/>
        </w:rPr>
        <w:t>«PM</w:t>
      </w:r>
      <w:r>
        <w:rPr>
          <w:iCs/>
          <w:lang w:val="fr-FR"/>
        </w:rPr>
        <w:tab/>
        <w:t>Matières qui polymérisent</w:t>
      </w:r>
    </w:p>
    <w:p w:rsidR="00115943" w:rsidRDefault="00115943" w:rsidP="00115943">
      <w:pPr>
        <w:pStyle w:val="SingleTxtG"/>
      </w:pPr>
      <w:r>
        <w:rPr>
          <w:iCs/>
          <w:lang w:val="fr-FR"/>
        </w:rPr>
        <w:lastRenderedPageBreak/>
        <w:tab/>
        <w:t>PM1</w:t>
      </w:r>
      <w:r>
        <w:rPr>
          <w:iCs/>
          <w:lang w:val="fr-FR"/>
        </w:rPr>
        <w:tab/>
      </w:r>
      <w:r w:rsidR="001F412D">
        <w:t>Ne nécessitant pas une</w:t>
      </w:r>
      <w:r w:rsidRPr="000C748A">
        <w:t xml:space="preserve"> régulation de température</w:t>
      </w:r>
      <w:r>
        <w:t>;</w:t>
      </w:r>
    </w:p>
    <w:p w:rsidR="00115943" w:rsidRDefault="00115943" w:rsidP="001A37C7">
      <w:pPr>
        <w:pStyle w:val="SingleTxtG"/>
        <w:ind w:left="2268" w:hanging="567"/>
        <w:rPr>
          <w:iCs/>
          <w:lang w:val="fr-FR"/>
        </w:rPr>
      </w:pPr>
      <w:r>
        <w:t>PM2</w:t>
      </w:r>
      <w:r>
        <w:tab/>
      </w:r>
      <w:r w:rsidR="001F412D">
        <w:t>Nécessitant une</w:t>
      </w:r>
      <w:r w:rsidRPr="000C748A">
        <w:t xml:space="preserve"> régulation de température</w:t>
      </w:r>
      <w:r>
        <w:t>;</w:t>
      </w:r>
      <w:r>
        <w:rPr>
          <w:iCs/>
          <w:lang w:val="fr-FR"/>
        </w:rPr>
        <w:t>».</w:t>
      </w:r>
    </w:p>
    <w:p w:rsidR="00115943" w:rsidRDefault="00115943" w:rsidP="001A37C7">
      <w:pPr>
        <w:pStyle w:val="SingleTxtG"/>
        <w:rPr>
          <w:iCs/>
          <w:lang w:val="fr-FR"/>
        </w:rPr>
      </w:pPr>
      <w:r>
        <w:rPr>
          <w:iCs/>
          <w:lang w:val="fr-FR"/>
        </w:rPr>
        <w:t>2.2.41.1.2</w:t>
      </w:r>
      <w:r>
        <w:rPr>
          <w:iCs/>
          <w:lang w:val="fr-FR"/>
        </w:rPr>
        <w:tab/>
        <w:t>Après «F3 Inorganiques», ajouter «F4 Objets».</w:t>
      </w:r>
    </w:p>
    <w:p w:rsidR="008D0723" w:rsidRDefault="00115943" w:rsidP="008D0723">
      <w:pPr>
        <w:pStyle w:val="SingleTxtG"/>
        <w:rPr>
          <w:iCs/>
          <w:lang w:val="fr-FR"/>
        </w:rPr>
      </w:pPr>
      <w:r>
        <w:rPr>
          <w:iCs/>
          <w:lang w:val="fr-FR"/>
        </w:rPr>
        <w:t>2.2.41</w:t>
      </w:r>
      <w:r>
        <w:rPr>
          <w:iCs/>
          <w:lang w:val="fr-FR"/>
        </w:rPr>
        <w:tab/>
      </w:r>
      <w:r w:rsidR="006F151C">
        <w:rPr>
          <w:iCs/>
          <w:lang w:val="fr-FR"/>
        </w:rPr>
        <w:tab/>
      </w:r>
      <w:r w:rsidR="008D0723">
        <w:rPr>
          <w:iCs/>
          <w:lang w:val="fr-FR"/>
        </w:rPr>
        <w:t xml:space="preserve">Ajouter </w:t>
      </w:r>
      <w:r>
        <w:rPr>
          <w:iCs/>
          <w:lang w:val="fr-FR"/>
        </w:rPr>
        <w:t>les nouvelles sous-sections 2.2.41.1.20 et 2.2.41.1.21 suivantes</w:t>
      </w:r>
      <w:r w:rsidR="008D0723">
        <w:rPr>
          <w:iCs/>
          <w:lang w:val="fr-FR"/>
        </w:rPr>
        <w:t>:</w:t>
      </w:r>
    </w:p>
    <w:p w:rsidR="008D0723" w:rsidRPr="0017734B" w:rsidRDefault="008D0723" w:rsidP="008D0723">
      <w:pPr>
        <w:pStyle w:val="SingleTxtG"/>
        <w:rPr>
          <w:i/>
          <w:iCs/>
        </w:rPr>
      </w:pPr>
      <w:r>
        <w:rPr>
          <w:iCs/>
          <w:lang w:val="fr-FR"/>
        </w:rPr>
        <w:t>«</w:t>
      </w:r>
      <w:r w:rsidRPr="0017734B">
        <w:rPr>
          <w:b/>
          <w:i/>
          <w:iCs/>
        </w:rPr>
        <w:t xml:space="preserve">Matières </w:t>
      </w:r>
      <w:r w:rsidRPr="0017734B">
        <w:rPr>
          <w:b/>
          <w:i/>
          <w:lang w:val="fr-FR"/>
        </w:rPr>
        <w:t>qui polymérisent</w:t>
      </w:r>
    </w:p>
    <w:p w:rsidR="008D0723" w:rsidRPr="007B3C8B" w:rsidRDefault="008D0723" w:rsidP="008D0723">
      <w:pPr>
        <w:pStyle w:val="SingleTxtG"/>
        <w:rPr>
          <w:i/>
          <w:iCs/>
        </w:rPr>
      </w:pPr>
      <w:r w:rsidRPr="007B3C8B">
        <w:rPr>
          <w:i/>
          <w:iCs/>
        </w:rPr>
        <w:t>Définitions et propriétés</w:t>
      </w:r>
    </w:p>
    <w:p w:rsidR="008D0723" w:rsidRDefault="001F412D" w:rsidP="008D0723">
      <w:pPr>
        <w:pStyle w:val="SingleTxtG"/>
        <w:rPr>
          <w:iCs/>
        </w:rPr>
      </w:pPr>
      <w:r>
        <w:rPr>
          <w:iCs/>
          <w:lang w:val="fr-FR"/>
        </w:rPr>
        <w:t>2.2.41.1.20</w:t>
      </w:r>
      <w:r>
        <w:rPr>
          <w:iCs/>
          <w:lang w:val="fr-FR"/>
        </w:rPr>
        <w:tab/>
      </w:r>
      <w:r w:rsidR="008D0723">
        <w:rPr>
          <w:iCs/>
          <w:lang w:val="fr-FR"/>
        </w:rPr>
        <w:t xml:space="preserve">On entend par </w:t>
      </w:r>
      <w:r w:rsidR="008D0723">
        <w:rPr>
          <w:i/>
          <w:iCs/>
          <w:lang w:val="fr-FR"/>
        </w:rPr>
        <w:t xml:space="preserve">Matières </w:t>
      </w:r>
      <w:r w:rsidR="008D0723" w:rsidRPr="00200BBE">
        <w:rPr>
          <w:i/>
          <w:iCs/>
          <w:lang w:val="fr-FR"/>
        </w:rPr>
        <w:t>qui polymérisent</w:t>
      </w:r>
      <w:r w:rsidR="008D0723">
        <w:rPr>
          <w:iCs/>
        </w:rPr>
        <w:t xml:space="preserve">, les matières qui, sans stabilisation, sont susceptibles de subir une forte réaction exothermique résultant en la formation de </w:t>
      </w:r>
      <w:proofErr w:type="gramStart"/>
      <w:r w:rsidR="008D0723">
        <w:rPr>
          <w:iCs/>
        </w:rPr>
        <w:t>molécules plus grandes ou résultant</w:t>
      </w:r>
      <w:proofErr w:type="gramEnd"/>
      <w:r w:rsidR="008D0723">
        <w:rPr>
          <w:iCs/>
        </w:rPr>
        <w:t xml:space="preserve"> en la formation de polymères dans les conditions normales de transport. De telles matières sont considérées comme des matières</w:t>
      </w:r>
      <w:r w:rsidR="008D0723" w:rsidRPr="00192870">
        <w:rPr>
          <w:iCs/>
          <w:lang w:val="fr-FR"/>
        </w:rPr>
        <w:t xml:space="preserve"> </w:t>
      </w:r>
      <w:r w:rsidR="008D0723" w:rsidRPr="00192870">
        <w:rPr>
          <w:iCs/>
        </w:rPr>
        <w:t>susceptibles de polymériser</w:t>
      </w:r>
      <w:r w:rsidR="008D0723">
        <w:rPr>
          <w:iCs/>
        </w:rPr>
        <w:t xml:space="preserve"> de la </w:t>
      </w:r>
      <w:r>
        <w:rPr>
          <w:iCs/>
        </w:rPr>
        <w:t xml:space="preserve">classe </w:t>
      </w:r>
      <w:r w:rsidR="008D0723">
        <w:rPr>
          <w:iCs/>
        </w:rPr>
        <w:t>4.1:</w:t>
      </w:r>
    </w:p>
    <w:p w:rsidR="008D0723" w:rsidRDefault="008D0723" w:rsidP="008D0723">
      <w:pPr>
        <w:pStyle w:val="SingleTxtG"/>
      </w:pPr>
      <w:r w:rsidRPr="00192870">
        <w:rPr>
          <w:iCs/>
          <w:lang w:val="fr-FR"/>
        </w:rPr>
        <w:t>a)</w:t>
      </w:r>
      <w:r>
        <w:tab/>
        <w:t>L</w:t>
      </w:r>
      <w:r w:rsidRPr="000C748A">
        <w:t xml:space="preserve">orsque leur température de polymérisation auto-accélérée (TPAA) est au maximum de 75 °C dans les conditions (avec ou sans stabilisation chimique dans la forme sous laquelle ils sont </w:t>
      </w:r>
      <w:r w:rsidR="00406E74">
        <w:t>remis</w:t>
      </w:r>
      <w:r w:rsidRPr="000C748A">
        <w:t xml:space="preserve"> au transport) et dans l’emballage, le GRV ou la citerne dans lesquels la matière ou le mélange doivent être transportés;</w:t>
      </w:r>
    </w:p>
    <w:p w:rsidR="008D0723" w:rsidRDefault="008D0723" w:rsidP="008D0723">
      <w:pPr>
        <w:pStyle w:val="SingleTxtG"/>
      </w:pPr>
      <w:r>
        <w:t>b)</w:t>
      </w:r>
      <w:r>
        <w:tab/>
        <w:t>Lorsqu’elles</w:t>
      </w:r>
      <w:r w:rsidRPr="000C748A">
        <w:t xml:space="preserve"> ont une chaleur de réaction supérieure à 300</w:t>
      </w:r>
      <w:r>
        <w:t> </w:t>
      </w:r>
      <w:r w:rsidRPr="000C748A">
        <w:t>J/g; et</w:t>
      </w:r>
    </w:p>
    <w:p w:rsidR="008D0723" w:rsidRDefault="008D0723" w:rsidP="008D0723">
      <w:pPr>
        <w:pStyle w:val="SingleTxtG"/>
      </w:pPr>
      <w:r w:rsidRPr="001046B6">
        <w:t>c)</w:t>
      </w:r>
      <w:r w:rsidRPr="001046B6">
        <w:tab/>
      </w:r>
      <w:r w:rsidRPr="00D44E54">
        <w:t xml:space="preserve">Lorsqu’elles ne satisfont </w:t>
      </w:r>
      <w:r>
        <w:t>à aucun autre des critères d’inclusion dans les</w:t>
      </w:r>
      <w:r w:rsidRPr="00D44E54">
        <w:t xml:space="preserve"> classes 1 à 8.</w:t>
      </w:r>
    </w:p>
    <w:p w:rsidR="008D0723" w:rsidRDefault="008D0723" w:rsidP="008D0723">
      <w:pPr>
        <w:pStyle w:val="SingleTxtG"/>
      </w:pPr>
      <w:r>
        <w:t xml:space="preserve">Un mélange remplissant les critères d’une matière </w:t>
      </w:r>
      <w:r>
        <w:rPr>
          <w:lang w:val="fr-FR"/>
        </w:rPr>
        <w:t>qui polymérise</w:t>
      </w:r>
      <w:r>
        <w:t xml:space="preserve"> doit être classé en tant que matière </w:t>
      </w:r>
      <w:r>
        <w:rPr>
          <w:lang w:val="fr-FR"/>
        </w:rPr>
        <w:t>qui polymérise</w:t>
      </w:r>
      <w:r>
        <w:t xml:space="preserve"> de la </w:t>
      </w:r>
      <w:r w:rsidR="001F412D">
        <w:t xml:space="preserve">classe </w:t>
      </w:r>
      <w:r>
        <w:t>4.1.</w:t>
      </w:r>
    </w:p>
    <w:p w:rsidR="001F412D" w:rsidRDefault="001F412D" w:rsidP="008D0723">
      <w:pPr>
        <w:pStyle w:val="SingleTxtG"/>
      </w:pPr>
      <w:r>
        <w:rPr>
          <w:i/>
          <w:iCs/>
          <w:lang w:val="fr-FR" w:eastAsia="fr-FR"/>
        </w:rPr>
        <w:t>Prescriptions en matière de régulation de la température</w:t>
      </w:r>
    </w:p>
    <w:p w:rsidR="008D0723" w:rsidRDefault="001F412D" w:rsidP="008D0723">
      <w:pPr>
        <w:pStyle w:val="SingleTxtG"/>
      </w:pPr>
      <w:r>
        <w:t>2.2.41.1.21</w:t>
      </w:r>
      <w:r w:rsidR="008D0723">
        <w:tab/>
      </w:r>
      <w:r w:rsidR="008D0723" w:rsidRPr="000C748A">
        <w:t>Les matières qui polymérisent sont soumis</w:t>
      </w:r>
      <w:r w:rsidR="00406E74">
        <w:t>es</w:t>
      </w:r>
      <w:r w:rsidR="008D0723" w:rsidRPr="000C748A">
        <w:t xml:space="preserve"> à régulation de température </w:t>
      </w:r>
      <w:r w:rsidR="008D0723">
        <w:t xml:space="preserve">pendant le transport </w:t>
      </w:r>
      <w:r w:rsidR="008D0723" w:rsidRPr="000C748A">
        <w:t>si</w:t>
      </w:r>
      <w:r w:rsidR="008D0723">
        <w:t xml:space="preserve"> </w:t>
      </w:r>
      <w:r w:rsidR="008D0723" w:rsidRPr="000C748A">
        <w:t xml:space="preserve">leur température de polymérisation auto-accélérée </w:t>
      </w:r>
      <w:r w:rsidR="008D0723">
        <w:t>(TPAA)</w:t>
      </w:r>
      <w:r w:rsidR="008D0723" w:rsidRPr="000C748A">
        <w:t>:</w:t>
      </w:r>
    </w:p>
    <w:p w:rsidR="008D0723" w:rsidRDefault="008D0723" w:rsidP="008D0723">
      <w:pPr>
        <w:pStyle w:val="SingleTxtG"/>
        <w:rPr>
          <w:iCs/>
          <w:lang w:val="fr-FR"/>
        </w:rPr>
      </w:pPr>
      <w:r>
        <w:rPr>
          <w:iCs/>
          <w:lang w:val="fr-FR"/>
        </w:rPr>
        <w:t>a)</w:t>
      </w:r>
      <w:r>
        <w:rPr>
          <w:iCs/>
          <w:lang w:val="fr-FR"/>
        </w:rPr>
        <w:tab/>
        <w:t>ne dépasse pas 50 °C dans l’emballage ou le GRV dans lequel la matière doit être transportée, dans le cas des matières remises au transport en emballage ou GRV;</w:t>
      </w:r>
    </w:p>
    <w:p w:rsidR="008D0723" w:rsidRDefault="008D0723" w:rsidP="008D0723">
      <w:pPr>
        <w:pStyle w:val="SingleTxtG"/>
        <w:rPr>
          <w:iCs/>
          <w:lang w:val="fr-FR"/>
        </w:rPr>
      </w:pPr>
      <w:r>
        <w:rPr>
          <w:iCs/>
          <w:lang w:val="fr-FR"/>
        </w:rPr>
        <w:t>b)</w:t>
      </w:r>
      <w:r>
        <w:rPr>
          <w:iCs/>
          <w:lang w:val="fr-FR"/>
        </w:rPr>
        <w:tab/>
        <w:t>ne dépasse pas 45 °C dans la citerne mobile dans laquelle la matière doit être transportée, dans le cas des matières remises au transport en citerne mobile.</w:t>
      </w:r>
      <w:r w:rsidRPr="0057739E">
        <w:rPr>
          <w:iCs/>
          <w:lang w:val="fr-FR"/>
        </w:rPr>
        <w:t>».</w:t>
      </w:r>
    </w:p>
    <w:p w:rsidR="0081704B" w:rsidRDefault="0081704B" w:rsidP="00261C6B">
      <w:pPr>
        <w:pStyle w:val="SingleTxtG"/>
      </w:pPr>
      <w:r>
        <w:t>2.2.41.3</w:t>
      </w:r>
      <w:r>
        <w:tab/>
      </w:r>
      <w:r w:rsidR="00261C6B">
        <w:t>Sous «Matières solides inflammables – Sans risque subsidiaire» ajouter la nouvelle branche suivante:</w:t>
      </w:r>
    </w:p>
    <w:tbl>
      <w:tblPr>
        <w:tblW w:w="7906"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4678"/>
      </w:tblGrid>
      <w:tr w:rsidR="00261C6B" w:rsidTr="00261C6B">
        <w:tc>
          <w:tcPr>
            <w:tcW w:w="3228" w:type="dxa"/>
            <w:tcBorders>
              <w:top w:val="nil"/>
              <w:left w:val="nil"/>
              <w:bottom w:val="single" w:sz="4" w:space="0" w:color="auto"/>
              <w:right w:val="single" w:sz="4" w:space="0" w:color="auto"/>
            </w:tcBorders>
          </w:tcPr>
          <w:p w:rsidR="00261C6B" w:rsidRPr="00171EA3" w:rsidRDefault="00261C6B">
            <w:pPr>
              <w:rPr>
                <w:b/>
                <w:snapToGrid w:val="0"/>
                <w:szCs w:val="22"/>
              </w:rPr>
            </w:pPr>
          </w:p>
          <w:p w:rsidR="00261C6B" w:rsidRDefault="00261C6B">
            <w:pPr>
              <w:jc w:val="right"/>
              <w:rPr>
                <w:snapToGrid w:val="0"/>
                <w:szCs w:val="22"/>
                <w:lang w:val="en-GB"/>
              </w:rPr>
            </w:pPr>
            <w:r>
              <w:rPr>
                <w:snapToGrid w:val="0"/>
                <w:szCs w:val="22"/>
              </w:rPr>
              <w:t>objets    F4</w:t>
            </w:r>
          </w:p>
        </w:tc>
        <w:tc>
          <w:tcPr>
            <w:tcW w:w="4678" w:type="dxa"/>
            <w:tcBorders>
              <w:top w:val="single" w:sz="4" w:space="0" w:color="auto"/>
              <w:left w:val="single" w:sz="4" w:space="0" w:color="auto"/>
              <w:bottom w:val="single" w:sz="4" w:space="0" w:color="auto"/>
              <w:right w:val="single" w:sz="4" w:space="0" w:color="auto"/>
            </w:tcBorders>
            <w:hideMark/>
          </w:tcPr>
          <w:p w:rsidR="00261C6B" w:rsidRPr="00171EA3" w:rsidRDefault="00261C6B" w:rsidP="00261C6B">
            <w:pPr>
              <w:ind w:left="708" w:hanging="708"/>
              <w:rPr>
                <w:snapToGrid w:val="0"/>
                <w:szCs w:val="22"/>
              </w:rPr>
            </w:pPr>
            <w:r>
              <w:rPr>
                <w:snapToGrid w:val="0"/>
                <w:szCs w:val="22"/>
              </w:rPr>
              <w:t>3527</w:t>
            </w:r>
            <w:r>
              <w:rPr>
                <w:snapToGrid w:val="0"/>
                <w:szCs w:val="22"/>
              </w:rPr>
              <w:tab/>
            </w:r>
            <w:r w:rsidRPr="00446F43">
              <w:rPr>
                <w:sz w:val="18"/>
                <w:szCs w:val="18"/>
              </w:rPr>
              <w:t>TROUSSE DE RÉSINE POLYESTER, constituant de base solide</w:t>
            </w:r>
          </w:p>
        </w:tc>
      </w:tr>
    </w:tbl>
    <w:p w:rsidR="00261C6B" w:rsidRPr="006E19BA" w:rsidRDefault="00261C6B" w:rsidP="00261C6B">
      <w:pPr>
        <w:pStyle w:val="SingleTxtG"/>
        <w:spacing w:before="120"/>
        <w:rPr>
          <w:lang w:val="fr-FR"/>
        </w:rPr>
      </w:pPr>
      <w:r w:rsidRPr="006E19BA">
        <w:rPr>
          <w:lang w:val="fr-FR"/>
        </w:rPr>
        <w:t>À la fin, ajouter les nouvelles branches suivantes:</w:t>
      </w:r>
    </w:p>
    <w:tbl>
      <w:tblPr>
        <w:tblW w:w="8505" w:type="dxa"/>
        <w:tblInd w:w="106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701"/>
        <w:gridCol w:w="1559"/>
        <w:gridCol w:w="567"/>
        <w:gridCol w:w="4678"/>
      </w:tblGrid>
      <w:tr w:rsidR="00261C6B" w:rsidRPr="006E19BA" w:rsidTr="00261C6B">
        <w:tc>
          <w:tcPr>
            <w:tcW w:w="1701" w:type="dxa"/>
            <w:tcBorders>
              <w:top w:val="nil"/>
              <w:left w:val="single" w:sz="6" w:space="0" w:color="auto"/>
              <w:bottom w:val="nil"/>
              <w:right w:val="single" w:sz="4" w:space="0" w:color="auto"/>
            </w:tcBorders>
          </w:tcPr>
          <w:p w:rsidR="00261C6B" w:rsidRPr="006E19BA" w:rsidRDefault="00261C6B">
            <w:pPr>
              <w:pStyle w:val="TabellenformatKlasse2"/>
              <w:ind w:left="0" w:firstLine="0"/>
              <w:rPr>
                <w:rFonts w:ascii="Times New Roman" w:hAnsi="Times New Roman"/>
                <w:color w:val="auto"/>
                <w:sz w:val="20"/>
                <w:lang w:val="fr-FR"/>
              </w:rPr>
            </w:pPr>
          </w:p>
          <w:p w:rsidR="00261C6B" w:rsidRPr="006E19BA" w:rsidRDefault="00261C6B">
            <w:pPr>
              <w:pStyle w:val="TabellenformatKlasse2"/>
              <w:ind w:left="0" w:firstLine="0"/>
              <w:rPr>
                <w:rFonts w:ascii="Times New Roman" w:hAnsi="Times New Roman"/>
                <w:color w:val="auto"/>
                <w:sz w:val="20"/>
                <w:lang w:val="fr-FR"/>
              </w:rPr>
            </w:pPr>
            <w:r w:rsidRPr="006E19BA">
              <w:rPr>
                <w:rFonts w:ascii="Times New Roman" w:hAnsi="Times New Roman"/>
                <w:color w:val="auto"/>
                <w:sz w:val="20"/>
                <w:lang w:val="fr-FR"/>
              </w:rPr>
              <w:t>Matières qui polymérisent</w:t>
            </w:r>
          </w:p>
          <w:p w:rsidR="00261C6B" w:rsidRPr="006E19BA" w:rsidRDefault="00261C6B">
            <w:pPr>
              <w:pStyle w:val="TabellenformatKlasse2"/>
              <w:rPr>
                <w:rFonts w:ascii="Times New Roman" w:hAnsi="Times New Roman"/>
                <w:caps/>
                <w:color w:val="auto"/>
                <w:sz w:val="20"/>
                <w:lang w:val="fr-FR"/>
              </w:rPr>
            </w:pPr>
            <w:r w:rsidRPr="006E19BA">
              <w:rPr>
                <w:rFonts w:ascii="Times New Roman" w:hAnsi="Times New Roman"/>
                <w:color w:val="auto"/>
                <w:sz w:val="20"/>
                <w:lang w:val="fr-FR"/>
              </w:rPr>
              <w:t>PM</w:t>
            </w:r>
          </w:p>
        </w:tc>
        <w:tc>
          <w:tcPr>
            <w:tcW w:w="1559" w:type="dxa"/>
            <w:tcBorders>
              <w:top w:val="single" w:sz="4" w:space="0" w:color="auto"/>
              <w:left w:val="single" w:sz="4" w:space="0" w:color="auto"/>
              <w:bottom w:val="nil"/>
              <w:right w:val="nil"/>
            </w:tcBorders>
            <w:hideMark/>
          </w:tcPr>
          <w:p w:rsidR="00261C6B" w:rsidRPr="006E19BA" w:rsidRDefault="00261C6B">
            <w:pPr>
              <w:pStyle w:val="TabellenformatKlasse2"/>
              <w:ind w:left="0" w:firstLine="0"/>
              <w:rPr>
                <w:rFonts w:ascii="Times New Roman" w:hAnsi="Times New Roman"/>
                <w:color w:val="auto"/>
                <w:sz w:val="20"/>
                <w:lang w:val="fr-FR"/>
              </w:rPr>
            </w:pPr>
            <w:r w:rsidRPr="006E19BA">
              <w:rPr>
                <w:rFonts w:ascii="Times New Roman" w:hAnsi="Times New Roman"/>
                <w:color w:val="auto"/>
                <w:sz w:val="20"/>
                <w:lang w:val="fr-FR"/>
              </w:rPr>
              <w:t>ne nécessitant pas une régulation de température</w:t>
            </w:r>
          </w:p>
        </w:tc>
        <w:tc>
          <w:tcPr>
            <w:tcW w:w="567" w:type="dxa"/>
            <w:tcBorders>
              <w:top w:val="single" w:sz="4" w:space="0" w:color="auto"/>
              <w:left w:val="nil"/>
              <w:bottom w:val="nil"/>
              <w:right w:val="single" w:sz="4" w:space="0" w:color="auto"/>
            </w:tcBorders>
            <w:hideMark/>
          </w:tcPr>
          <w:p w:rsidR="00261C6B" w:rsidRPr="006E19BA" w:rsidRDefault="00261C6B">
            <w:pPr>
              <w:pStyle w:val="TabellenformatKlasse2"/>
              <w:rPr>
                <w:rFonts w:ascii="Times New Roman" w:hAnsi="Times New Roman"/>
                <w:caps/>
                <w:color w:val="auto"/>
                <w:sz w:val="20"/>
                <w:lang w:val="fr-FR"/>
              </w:rPr>
            </w:pPr>
            <w:r w:rsidRPr="006E19BA">
              <w:rPr>
                <w:rFonts w:ascii="Times New Roman" w:hAnsi="Times New Roman"/>
                <w:caps/>
                <w:color w:val="auto"/>
                <w:sz w:val="20"/>
                <w:lang w:val="fr-FR"/>
              </w:rPr>
              <w:t>PM1</w:t>
            </w:r>
          </w:p>
        </w:tc>
        <w:tc>
          <w:tcPr>
            <w:tcW w:w="4678" w:type="dxa"/>
            <w:tcBorders>
              <w:top w:val="single" w:sz="4" w:space="0" w:color="auto"/>
              <w:left w:val="single" w:sz="4" w:space="0" w:color="auto"/>
              <w:bottom w:val="nil"/>
              <w:right w:val="single" w:sz="6" w:space="0" w:color="auto"/>
            </w:tcBorders>
            <w:hideMark/>
          </w:tcPr>
          <w:p w:rsidR="00261C6B" w:rsidRPr="006E19BA" w:rsidRDefault="00261C6B">
            <w:pPr>
              <w:pStyle w:val="TabellenformatKlasse2"/>
              <w:rPr>
                <w:rFonts w:ascii="Times New Roman" w:hAnsi="Times New Roman"/>
                <w:caps/>
                <w:color w:val="auto"/>
                <w:sz w:val="20"/>
                <w:lang w:val="fr-FR"/>
              </w:rPr>
            </w:pPr>
            <w:r w:rsidRPr="006E19BA">
              <w:rPr>
                <w:rFonts w:ascii="Times New Roman" w:hAnsi="Times New Roman"/>
                <w:caps/>
                <w:color w:val="auto"/>
                <w:sz w:val="20"/>
                <w:lang w:val="fr-FR"/>
              </w:rPr>
              <w:t>3531</w:t>
            </w:r>
            <w:r w:rsidRPr="006E19BA">
              <w:rPr>
                <w:rFonts w:ascii="Times New Roman" w:hAnsi="Times New Roman"/>
                <w:caps/>
                <w:color w:val="auto"/>
                <w:sz w:val="20"/>
                <w:lang w:val="fr-FR"/>
              </w:rPr>
              <w:tab/>
              <w:t>MATIÈRE SOLIDE QUI POLYMÉRISE, STABILISÉE, N.S.A.</w:t>
            </w:r>
          </w:p>
          <w:p w:rsidR="00261C6B" w:rsidRPr="006E19BA" w:rsidRDefault="00261C6B">
            <w:pPr>
              <w:pStyle w:val="TabellenformatKlasse2"/>
              <w:rPr>
                <w:rFonts w:ascii="Times New Roman" w:hAnsi="Times New Roman"/>
                <w:caps/>
                <w:color w:val="auto"/>
                <w:sz w:val="20"/>
                <w:lang w:val="fr-FR"/>
              </w:rPr>
            </w:pPr>
            <w:r w:rsidRPr="006E19BA">
              <w:rPr>
                <w:rFonts w:ascii="Times New Roman" w:hAnsi="Times New Roman"/>
                <w:caps/>
                <w:color w:val="auto"/>
                <w:sz w:val="20"/>
                <w:lang w:val="fr-FR"/>
              </w:rPr>
              <w:t>3532</w:t>
            </w:r>
            <w:r w:rsidRPr="006E19BA">
              <w:rPr>
                <w:rFonts w:ascii="Times New Roman" w:hAnsi="Times New Roman"/>
                <w:caps/>
                <w:color w:val="auto"/>
                <w:sz w:val="20"/>
                <w:lang w:val="fr-FR"/>
              </w:rPr>
              <w:tab/>
              <w:t>MATIÈRE LIQUIDE QUI POLYMÉRISE, STABILISÉE, N.S.A.</w:t>
            </w:r>
          </w:p>
        </w:tc>
      </w:tr>
      <w:tr w:rsidR="00261C6B" w:rsidRPr="006E19BA" w:rsidTr="00261C6B">
        <w:tc>
          <w:tcPr>
            <w:tcW w:w="1701" w:type="dxa"/>
            <w:tcBorders>
              <w:top w:val="single" w:sz="4" w:space="0" w:color="auto"/>
              <w:left w:val="nil"/>
              <w:bottom w:val="nil"/>
              <w:right w:val="single" w:sz="4" w:space="0" w:color="auto"/>
            </w:tcBorders>
          </w:tcPr>
          <w:p w:rsidR="00261C6B" w:rsidRPr="006E19BA" w:rsidRDefault="00261C6B">
            <w:pPr>
              <w:pStyle w:val="TabellenformatKlasse2"/>
              <w:rPr>
                <w:rFonts w:ascii="Times New Roman" w:hAnsi="Times New Roman"/>
                <w:color w:val="auto"/>
                <w:sz w:val="20"/>
                <w:lang w:val="fr-FR"/>
              </w:rPr>
            </w:pPr>
          </w:p>
        </w:tc>
        <w:tc>
          <w:tcPr>
            <w:tcW w:w="1559" w:type="dxa"/>
            <w:tcBorders>
              <w:top w:val="nil"/>
              <w:left w:val="single" w:sz="4" w:space="0" w:color="auto"/>
              <w:bottom w:val="nil"/>
              <w:right w:val="nil"/>
            </w:tcBorders>
          </w:tcPr>
          <w:p w:rsidR="00261C6B" w:rsidRPr="006E19BA" w:rsidRDefault="00261C6B">
            <w:pPr>
              <w:pStyle w:val="TabellenformatKlasse2"/>
              <w:rPr>
                <w:rFonts w:ascii="Times New Roman" w:hAnsi="Times New Roman"/>
                <w:color w:val="auto"/>
                <w:sz w:val="20"/>
                <w:u w:val="single"/>
                <w:lang w:val="fr-FR"/>
              </w:rPr>
            </w:pPr>
          </w:p>
        </w:tc>
        <w:tc>
          <w:tcPr>
            <w:tcW w:w="567" w:type="dxa"/>
            <w:tcBorders>
              <w:top w:val="nil"/>
              <w:left w:val="nil"/>
              <w:bottom w:val="nil"/>
              <w:right w:val="nil"/>
            </w:tcBorders>
          </w:tcPr>
          <w:p w:rsidR="00261C6B" w:rsidRPr="006E19BA" w:rsidRDefault="00261C6B">
            <w:pPr>
              <w:pStyle w:val="TabellenformatKlasse2"/>
              <w:rPr>
                <w:rFonts w:ascii="Times New Roman" w:hAnsi="Times New Roman"/>
                <w:color w:val="auto"/>
                <w:sz w:val="20"/>
                <w:u w:val="single"/>
                <w:lang w:val="fr-FR"/>
              </w:rPr>
            </w:pPr>
          </w:p>
        </w:tc>
        <w:tc>
          <w:tcPr>
            <w:tcW w:w="4678" w:type="dxa"/>
            <w:tcBorders>
              <w:top w:val="single" w:sz="6" w:space="0" w:color="auto"/>
              <w:left w:val="nil"/>
              <w:bottom w:val="single" w:sz="6" w:space="0" w:color="auto"/>
              <w:right w:val="nil"/>
            </w:tcBorders>
          </w:tcPr>
          <w:p w:rsidR="00261C6B" w:rsidRPr="006E19BA" w:rsidRDefault="00261C6B">
            <w:pPr>
              <w:pStyle w:val="TabellenformatKlasse2"/>
              <w:rPr>
                <w:rFonts w:ascii="Times New Roman" w:hAnsi="Times New Roman"/>
                <w:caps/>
                <w:color w:val="auto"/>
                <w:sz w:val="20"/>
                <w:lang w:val="fr-FR"/>
              </w:rPr>
            </w:pPr>
          </w:p>
        </w:tc>
      </w:tr>
      <w:tr w:rsidR="00261C6B" w:rsidRPr="006E19BA" w:rsidTr="00261C6B">
        <w:tc>
          <w:tcPr>
            <w:tcW w:w="1701" w:type="dxa"/>
            <w:tcBorders>
              <w:top w:val="nil"/>
              <w:left w:val="nil"/>
              <w:bottom w:val="nil"/>
              <w:right w:val="single" w:sz="4" w:space="0" w:color="auto"/>
            </w:tcBorders>
          </w:tcPr>
          <w:p w:rsidR="00261C6B" w:rsidRPr="006E19BA" w:rsidRDefault="00261C6B">
            <w:pPr>
              <w:pStyle w:val="TabellenformatKlasse2"/>
              <w:rPr>
                <w:rFonts w:ascii="Times New Roman" w:hAnsi="Times New Roman"/>
                <w:color w:val="auto"/>
                <w:sz w:val="20"/>
                <w:lang w:val="fr-FR"/>
              </w:rPr>
            </w:pPr>
          </w:p>
        </w:tc>
        <w:tc>
          <w:tcPr>
            <w:tcW w:w="1559" w:type="dxa"/>
            <w:tcBorders>
              <w:top w:val="nil"/>
              <w:left w:val="single" w:sz="4" w:space="0" w:color="auto"/>
              <w:bottom w:val="single" w:sz="4" w:space="0" w:color="auto"/>
              <w:right w:val="nil"/>
            </w:tcBorders>
          </w:tcPr>
          <w:p w:rsidR="00261C6B" w:rsidRPr="006E19BA" w:rsidRDefault="00261C6B">
            <w:pPr>
              <w:pStyle w:val="TabellenformatKlasse2"/>
              <w:ind w:left="0" w:firstLine="0"/>
              <w:rPr>
                <w:rFonts w:ascii="Times New Roman" w:hAnsi="Times New Roman"/>
                <w:color w:val="auto"/>
                <w:sz w:val="20"/>
                <w:lang w:val="fr-FR"/>
              </w:rPr>
            </w:pPr>
          </w:p>
          <w:p w:rsidR="00261C6B" w:rsidRPr="006E19BA" w:rsidRDefault="00261C6B">
            <w:pPr>
              <w:pStyle w:val="TabellenformatKlasse2"/>
              <w:ind w:left="0" w:firstLine="0"/>
              <w:rPr>
                <w:rFonts w:ascii="Times New Roman" w:hAnsi="Times New Roman"/>
                <w:color w:val="auto"/>
                <w:sz w:val="20"/>
                <w:lang w:val="fr-FR"/>
              </w:rPr>
            </w:pPr>
            <w:r w:rsidRPr="006E19BA">
              <w:rPr>
                <w:rFonts w:ascii="Times New Roman" w:hAnsi="Times New Roman"/>
                <w:color w:val="auto"/>
                <w:sz w:val="20"/>
                <w:lang w:val="fr-FR"/>
              </w:rPr>
              <w:t>nécessitant une régulation de température</w:t>
            </w:r>
          </w:p>
        </w:tc>
        <w:tc>
          <w:tcPr>
            <w:tcW w:w="567" w:type="dxa"/>
            <w:tcBorders>
              <w:top w:val="nil"/>
              <w:left w:val="nil"/>
              <w:bottom w:val="single" w:sz="4" w:space="0" w:color="auto"/>
              <w:right w:val="single" w:sz="4" w:space="0" w:color="auto"/>
            </w:tcBorders>
          </w:tcPr>
          <w:p w:rsidR="00261C6B" w:rsidRPr="006E19BA" w:rsidRDefault="00261C6B">
            <w:pPr>
              <w:pStyle w:val="TabellenformatKlasse2"/>
              <w:rPr>
                <w:rFonts w:ascii="Times New Roman" w:hAnsi="Times New Roman"/>
                <w:color w:val="auto"/>
                <w:sz w:val="20"/>
                <w:lang w:val="fr-FR"/>
              </w:rPr>
            </w:pPr>
          </w:p>
          <w:p w:rsidR="00261C6B" w:rsidRPr="006E19BA" w:rsidRDefault="00261C6B">
            <w:pPr>
              <w:pStyle w:val="TabellenformatKlasse2"/>
              <w:rPr>
                <w:rFonts w:ascii="Times New Roman" w:hAnsi="Times New Roman"/>
                <w:color w:val="auto"/>
                <w:sz w:val="20"/>
                <w:lang w:val="fr-FR"/>
              </w:rPr>
            </w:pPr>
          </w:p>
          <w:p w:rsidR="00261C6B" w:rsidRPr="006E19BA" w:rsidRDefault="00261C6B">
            <w:pPr>
              <w:pStyle w:val="TabellenformatKlasse2"/>
              <w:rPr>
                <w:rFonts w:ascii="Times New Roman" w:hAnsi="Times New Roman"/>
                <w:color w:val="auto"/>
                <w:sz w:val="20"/>
                <w:lang w:val="fr-FR"/>
              </w:rPr>
            </w:pPr>
          </w:p>
          <w:p w:rsidR="00261C6B" w:rsidRPr="006E19BA" w:rsidRDefault="00261C6B">
            <w:pPr>
              <w:pStyle w:val="TabellenformatKlasse2"/>
              <w:rPr>
                <w:rFonts w:ascii="Times New Roman" w:hAnsi="Times New Roman"/>
                <w:color w:val="auto"/>
                <w:sz w:val="20"/>
                <w:lang w:val="fr-FR"/>
              </w:rPr>
            </w:pPr>
            <w:r w:rsidRPr="006E19BA">
              <w:rPr>
                <w:rFonts w:ascii="Times New Roman" w:hAnsi="Times New Roman"/>
                <w:color w:val="auto"/>
                <w:sz w:val="20"/>
                <w:lang w:val="fr-FR"/>
              </w:rPr>
              <w:t>PM2</w:t>
            </w:r>
          </w:p>
        </w:tc>
        <w:tc>
          <w:tcPr>
            <w:tcW w:w="4678" w:type="dxa"/>
            <w:tcBorders>
              <w:top w:val="nil"/>
              <w:left w:val="single" w:sz="4" w:space="0" w:color="auto"/>
              <w:bottom w:val="nil"/>
              <w:right w:val="single" w:sz="6" w:space="0" w:color="auto"/>
            </w:tcBorders>
            <w:hideMark/>
          </w:tcPr>
          <w:p w:rsidR="00261C6B" w:rsidRPr="006E19BA" w:rsidRDefault="00261C6B" w:rsidP="00261C6B">
            <w:pPr>
              <w:pStyle w:val="TabellenformatKlasse2"/>
              <w:rPr>
                <w:rFonts w:ascii="Times New Roman" w:hAnsi="Times New Roman"/>
                <w:i/>
                <w:color w:val="auto"/>
                <w:sz w:val="20"/>
                <w:lang w:val="fr-FR"/>
              </w:rPr>
            </w:pPr>
            <w:r w:rsidRPr="006E19BA">
              <w:rPr>
                <w:rFonts w:ascii="Times New Roman" w:hAnsi="Times New Roman"/>
                <w:caps/>
                <w:color w:val="auto"/>
                <w:sz w:val="20"/>
                <w:lang w:val="fr-FR"/>
              </w:rPr>
              <w:t>3533</w:t>
            </w:r>
            <w:r w:rsidRPr="006E19BA">
              <w:rPr>
                <w:rFonts w:ascii="Times New Roman" w:hAnsi="Times New Roman"/>
                <w:caps/>
                <w:color w:val="auto"/>
                <w:sz w:val="20"/>
                <w:lang w:val="fr-FR"/>
              </w:rPr>
              <w:tab/>
              <w:t xml:space="preserve">MATIÈRE SOLIDE QUI POLYMÉRISE, AVEC RÉGULATION DE TEMPÉRATURE, N.S.A. (RID:) </w:t>
            </w:r>
            <w:r w:rsidR="00E653A2" w:rsidRPr="00E653A2">
              <w:rPr>
                <w:rFonts w:ascii="Times New Roman" w:hAnsi="Times New Roman"/>
                <w:color w:val="auto"/>
                <w:sz w:val="20"/>
                <w:lang w:val="fr-FR"/>
              </w:rPr>
              <w:t>(non admis au transport en trafic ferroviaire,  voir 2.2.41.2.3)</w:t>
            </w:r>
          </w:p>
        </w:tc>
      </w:tr>
      <w:tr w:rsidR="00261C6B" w:rsidRPr="006E19BA" w:rsidTr="00261C6B">
        <w:tc>
          <w:tcPr>
            <w:tcW w:w="1701" w:type="dxa"/>
            <w:tcBorders>
              <w:top w:val="nil"/>
              <w:left w:val="nil"/>
              <w:bottom w:val="nil"/>
              <w:right w:val="nil"/>
            </w:tcBorders>
          </w:tcPr>
          <w:p w:rsidR="00261C6B" w:rsidRPr="006E19BA" w:rsidRDefault="00261C6B">
            <w:pPr>
              <w:pStyle w:val="TabellenformatKlasse2"/>
              <w:rPr>
                <w:rFonts w:ascii="Times New Roman" w:hAnsi="Times New Roman"/>
                <w:color w:val="auto"/>
                <w:sz w:val="20"/>
                <w:lang w:val="fr-FR"/>
              </w:rPr>
            </w:pPr>
          </w:p>
        </w:tc>
        <w:tc>
          <w:tcPr>
            <w:tcW w:w="1559" w:type="dxa"/>
            <w:tcBorders>
              <w:top w:val="single" w:sz="4" w:space="0" w:color="auto"/>
              <w:left w:val="nil"/>
              <w:bottom w:val="nil"/>
              <w:right w:val="nil"/>
            </w:tcBorders>
          </w:tcPr>
          <w:p w:rsidR="00261C6B" w:rsidRPr="006E19BA" w:rsidRDefault="00261C6B">
            <w:pPr>
              <w:pStyle w:val="TabellenformatKlasse2"/>
              <w:rPr>
                <w:rFonts w:ascii="Times New Roman" w:hAnsi="Times New Roman"/>
                <w:color w:val="auto"/>
                <w:sz w:val="20"/>
                <w:u w:val="single"/>
                <w:lang w:val="fr-FR"/>
              </w:rPr>
            </w:pPr>
          </w:p>
        </w:tc>
        <w:tc>
          <w:tcPr>
            <w:tcW w:w="567" w:type="dxa"/>
            <w:tcBorders>
              <w:top w:val="single" w:sz="4" w:space="0" w:color="auto"/>
              <w:left w:val="nil"/>
              <w:bottom w:val="nil"/>
              <w:right w:val="single" w:sz="4" w:space="0" w:color="auto"/>
            </w:tcBorders>
          </w:tcPr>
          <w:p w:rsidR="00261C6B" w:rsidRPr="006E19BA" w:rsidRDefault="00261C6B">
            <w:pPr>
              <w:pStyle w:val="TabellenformatKlasse2"/>
              <w:rPr>
                <w:rFonts w:ascii="Times New Roman" w:hAnsi="Times New Roman"/>
                <w:color w:val="auto"/>
                <w:sz w:val="20"/>
                <w:u w:val="single"/>
                <w:lang w:val="fr-FR"/>
              </w:rPr>
            </w:pPr>
          </w:p>
        </w:tc>
        <w:tc>
          <w:tcPr>
            <w:tcW w:w="4678" w:type="dxa"/>
            <w:tcBorders>
              <w:top w:val="nil"/>
              <w:left w:val="single" w:sz="4" w:space="0" w:color="auto"/>
              <w:bottom w:val="single" w:sz="4" w:space="0" w:color="auto"/>
              <w:right w:val="single" w:sz="6" w:space="0" w:color="auto"/>
            </w:tcBorders>
            <w:hideMark/>
          </w:tcPr>
          <w:p w:rsidR="00261C6B" w:rsidRPr="006E19BA" w:rsidRDefault="00261C6B">
            <w:pPr>
              <w:pStyle w:val="TabellenformatKlasse2"/>
              <w:rPr>
                <w:rFonts w:ascii="Times New Roman" w:hAnsi="Times New Roman"/>
                <w:i/>
                <w:color w:val="auto"/>
                <w:sz w:val="20"/>
                <w:lang w:val="fr-FR"/>
              </w:rPr>
            </w:pPr>
            <w:r w:rsidRPr="006E19BA">
              <w:rPr>
                <w:rFonts w:ascii="Times New Roman" w:hAnsi="Times New Roman"/>
                <w:caps/>
                <w:color w:val="auto"/>
                <w:sz w:val="20"/>
                <w:lang w:val="fr-FR"/>
              </w:rPr>
              <w:t>3534</w:t>
            </w:r>
            <w:r w:rsidRPr="006E19BA">
              <w:rPr>
                <w:rFonts w:ascii="Times New Roman" w:hAnsi="Times New Roman"/>
                <w:caps/>
                <w:color w:val="auto"/>
                <w:sz w:val="20"/>
                <w:lang w:val="fr-FR"/>
              </w:rPr>
              <w:tab/>
              <w:t xml:space="preserve">MATIÈRE LIQUIDE QUI POLYMÉRISE, AVEC RÉGULATION DE TEMPÉRATURE, N.S.A. (RID:) </w:t>
            </w:r>
            <w:r w:rsidR="00E653A2" w:rsidRPr="00E653A2">
              <w:rPr>
                <w:rFonts w:ascii="Times New Roman" w:hAnsi="Times New Roman"/>
                <w:color w:val="auto"/>
                <w:sz w:val="20"/>
                <w:lang w:val="fr-FR"/>
              </w:rPr>
              <w:t>(non admis au transport en trafic ferroviaire,  voir 2.2.41.2.3)</w:t>
            </w:r>
          </w:p>
        </w:tc>
      </w:tr>
    </w:tbl>
    <w:p w:rsidR="008D0723" w:rsidRPr="004B7705" w:rsidRDefault="00E22F40" w:rsidP="008D0723">
      <w:pPr>
        <w:pStyle w:val="SingleTxtG"/>
      </w:pPr>
      <w:r>
        <w:lastRenderedPageBreak/>
        <w:t>2.2.52.4</w:t>
      </w:r>
      <w:r w:rsidR="008D0723" w:rsidRPr="004B7705">
        <w:tab/>
        <w:t>Dans le tableau, modifier les rubriques indiquées ci-dessous comme suit :</w:t>
      </w:r>
    </w:p>
    <w:tbl>
      <w:tblPr>
        <w:tblW w:w="7370" w:type="dxa"/>
        <w:tblInd w:w="1134" w:type="dxa"/>
        <w:tblLayout w:type="fixed"/>
        <w:tblCellMar>
          <w:left w:w="0" w:type="dxa"/>
          <w:right w:w="0" w:type="dxa"/>
        </w:tblCellMar>
        <w:tblLook w:val="01E0" w:firstRow="1" w:lastRow="1" w:firstColumn="1" w:lastColumn="1" w:noHBand="0" w:noVBand="0"/>
      </w:tblPr>
      <w:tblGrid>
        <w:gridCol w:w="2574"/>
        <w:gridCol w:w="1110"/>
        <w:gridCol w:w="1843"/>
        <w:gridCol w:w="1843"/>
      </w:tblGrid>
      <w:tr w:rsidR="008D0723" w:rsidRPr="005A4842" w:rsidTr="00F35A1F">
        <w:trPr>
          <w:cantSplit/>
          <w:tblHeader/>
        </w:trPr>
        <w:tc>
          <w:tcPr>
            <w:tcW w:w="3684" w:type="dxa"/>
            <w:gridSpan w:val="2"/>
            <w:tcBorders>
              <w:top w:val="single" w:sz="4" w:space="0" w:color="auto"/>
              <w:bottom w:val="single" w:sz="12" w:space="0" w:color="auto"/>
            </w:tcBorders>
            <w:shd w:val="clear" w:color="auto" w:fill="auto"/>
            <w:vAlign w:val="bottom"/>
          </w:tcPr>
          <w:p w:rsidR="008D0723" w:rsidRPr="005A4842" w:rsidRDefault="008D0723" w:rsidP="00F35A1F">
            <w:pPr>
              <w:spacing w:before="80" w:after="80" w:line="200" w:lineRule="exact"/>
              <w:ind w:right="113"/>
              <w:rPr>
                <w:i/>
                <w:sz w:val="16"/>
              </w:rPr>
            </w:pPr>
            <w:r w:rsidRPr="005A4842">
              <w:rPr>
                <w:bCs/>
                <w:i/>
                <w:sz w:val="16"/>
              </w:rPr>
              <w:t>Peroxyde organique</w:t>
            </w:r>
          </w:p>
        </w:tc>
        <w:tc>
          <w:tcPr>
            <w:tcW w:w="1843" w:type="dxa"/>
            <w:tcBorders>
              <w:top w:val="single" w:sz="4" w:space="0" w:color="auto"/>
              <w:bottom w:val="single" w:sz="12" w:space="0" w:color="auto"/>
            </w:tcBorders>
            <w:shd w:val="clear" w:color="auto" w:fill="auto"/>
            <w:vAlign w:val="bottom"/>
          </w:tcPr>
          <w:p w:rsidR="008D0723" w:rsidRPr="005A4842" w:rsidRDefault="008D0723" w:rsidP="00F35A1F">
            <w:pPr>
              <w:spacing w:before="80" w:after="80" w:line="200" w:lineRule="exact"/>
              <w:ind w:right="113"/>
              <w:rPr>
                <w:i/>
                <w:sz w:val="16"/>
              </w:rPr>
            </w:pPr>
            <w:r w:rsidRPr="005A4842">
              <w:rPr>
                <w:i/>
                <w:sz w:val="16"/>
              </w:rPr>
              <w:t>Colonne</w:t>
            </w:r>
          </w:p>
        </w:tc>
        <w:tc>
          <w:tcPr>
            <w:tcW w:w="1843" w:type="dxa"/>
            <w:tcBorders>
              <w:top w:val="single" w:sz="4" w:space="0" w:color="auto"/>
              <w:bottom w:val="single" w:sz="12" w:space="0" w:color="auto"/>
            </w:tcBorders>
            <w:shd w:val="clear" w:color="auto" w:fill="auto"/>
            <w:vAlign w:val="bottom"/>
          </w:tcPr>
          <w:p w:rsidR="008D0723" w:rsidRPr="005A4842" w:rsidRDefault="008D0723" w:rsidP="00F35A1F">
            <w:pPr>
              <w:spacing w:before="80" w:after="80" w:line="200" w:lineRule="exact"/>
              <w:ind w:right="113"/>
              <w:rPr>
                <w:i/>
                <w:sz w:val="16"/>
              </w:rPr>
            </w:pPr>
            <w:r w:rsidRPr="005A4842">
              <w:rPr>
                <w:i/>
                <w:sz w:val="16"/>
              </w:rPr>
              <w:t>Modification</w:t>
            </w:r>
          </w:p>
        </w:tc>
      </w:tr>
      <w:tr w:rsidR="008D0723" w:rsidRPr="004B7705" w:rsidTr="00F35A1F">
        <w:tc>
          <w:tcPr>
            <w:tcW w:w="2574" w:type="dxa"/>
            <w:tcBorders>
              <w:top w:val="single" w:sz="12" w:space="0" w:color="auto"/>
            </w:tcBorders>
            <w:shd w:val="clear" w:color="auto" w:fill="auto"/>
          </w:tcPr>
          <w:p w:rsidR="008D0723" w:rsidRPr="005A4842" w:rsidRDefault="008D0723" w:rsidP="00F35A1F">
            <w:pPr>
              <w:spacing w:after="60"/>
              <w:ind w:right="113"/>
              <w:rPr>
                <w:sz w:val="18"/>
                <w:szCs w:val="18"/>
              </w:rPr>
            </w:pPr>
            <w:r w:rsidRPr="005A4842">
              <w:rPr>
                <w:sz w:val="18"/>
                <w:szCs w:val="18"/>
              </w:rPr>
              <w:t>PEROXYDE DE DIBENZOYLE</w:t>
            </w:r>
          </w:p>
        </w:tc>
        <w:tc>
          <w:tcPr>
            <w:tcW w:w="1110" w:type="dxa"/>
            <w:tcBorders>
              <w:top w:val="single" w:sz="12" w:space="0" w:color="auto"/>
            </w:tcBorders>
            <w:shd w:val="clear" w:color="auto" w:fill="auto"/>
          </w:tcPr>
          <w:p w:rsidR="008D0723" w:rsidRPr="005A4842" w:rsidRDefault="008D0723" w:rsidP="00F35A1F">
            <w:pPr>
              <w:spacing w:after="60"/>
              <w:ind w:right="113"/>
              <w:rPr>
                <w:sz w:val="18"/>
                <w:szCs w:val="18"/>
              </w:rPr>
            </w:pPr>
            <w:r w:rsidRPr="005A4842">
              <w:rPr>
                <w:sz w:val="18"/>
                <w:szCs w:val="18"/>
              </w:rPr>
              <w:t>(première ligne)</w:t>
            </w:r>
          </w:p>
        </w:tc>
        <w:tc>
          <w:tcPr>
            <w:tcW w:w="1843" w:type="dxa"/>
            <w:tcBorders>
              <w:top w:val="single" w:sz="12" w:space="0" w:color="auto"/>
            </w:tcBorders>
            <w:shd w:val="clear" w:color="auto" w:fill="auto"/>
          </w:tcPr>
          <w:p w:rsidR="008D0723" w:rsidRPr="005A4842" w:rsidRDefault="008D0723" w:rsidP="00F35A1F">
            <w:pPr>
              <w:spacing w:after="60"/>
              <w:ind w:right="113"/>
              <w:rPr>
                <w:sz w:val="18"/>
                <w:szCs w:val="18"/>
              </w:rPr>
            </w:pPr>
            <w:r w:rsidRPr="005A4842">
              <w:rPr>
                <w:sz w:val="18"/>
                <w:szCs w:val="18"/>
              </w:rPr>
              <w:t>Concentration</w:t>
            </w:r>
          </w:p>
        </w:tc>
        <w:tc>
          <w:tcPr>
            <w:tcW w:w="1843" w:type="dxa"/>
            <w:tcBorders>
              <w:top w:val="single" w:sz="12" w:space="0" w:color="auto"/>
            </w:tcBorders>
            <w:shd w:val="clear" w:color="auto" w:fill="auto"/>
          </w:tcPr>
          <w:p w:rsidR="008D0723" w:rsidRPr="005A4842" w:rsidRDefault="008D0723" w:rsidP="00F35A1F">
            <w:pPr>
              <w:spacing w:after="60"/>
              <w:ind w:right="113"/>
              <w:rPr>
                <w:sz w:val="18"/>
                <w:szCs w:val="18"/>
              </w:rPr>
            </w:pPr>
            <w:r w:rsidRPr="005A4842">
              <w:rPr>
                <w:sz w:val="18"/>
                <w:szCs w:val="18"/>
              </w:rPr>
              <w:t>Remplacer «&gt;51-100» par «&gt;52-100»</w:t>
            </w:r>
          </w:p>
        </w:tc>
      </w:tr>
      <w:tr w:rsidR="008D0723" w:rsidRPr="004B7705" w:rsidTr="00F35A1F">
        <w:tc>
          <w:tcPr>
            <w:tcW w:w="2574" w:type="dxa"/>
            <w:shd w:val="clear" w:color="auto" w:fill="auto"/>
          </w:tcPr>
          <w:p w:rsidR="008D0723" w:rsidRPr="005A4842" w:rsidRDefault="008D0723" w:rsidP="00F35A1F">
            <w:pPr>
              <w:spacing w:after="60"/>
              <w:ind w:right="113"/>
              <w:rPr>
                <w:sz w:val="18"/>
                <w:szCs w:val="18"/>
              </w:rPr>
            </w:pPr>
            <w:r w:rsidRPr="005A4842">
              <w:rPr>
                <w:sz w:val="18"/>
                <w:szCs w:val="18"/>
              </w:rPr>
              <w:t xml:space="preserve">PEROXYDE DE </w:t>
            </w:r>
            <w:proofErr w:type="spellStart"/>
            <w:r w:rsidRPr="005A4842">
              <w:rPr>
                <w:sz w:val="18"/>
                <w:szCs w:val="18"/>
              </w:rPr>
              <w:t>tert</w:t>
            </w:r>
            <w:proofErr w:type="spellEnd"/>
            <w:r w:rsidRPr="005A4842">
              <w:rPr>
                <w:sz w:val="18"/>
                <w:szCs w:val="18"/>
              </w:rPr>
              <w:t>-BUTYLE ET</w:t>
            </w:r>
            <w:r>
              <w:rPr>
                <w:sz w:val="18"/>
                <w:szCs w:val="18"/>
              </w:rPr>
              <w:t xml:space="preserve"> </w:t>
            </w:r>
            <w:r w:rsidRPr="005A4842">
              <w:rPr>
                <w:sz w:val="18"/>
                <w:szCs w:val="18"/>
              </w:rPr>
              <w:t>DE CUMYLE</w:t>
            </w:r>
          </w:p>
        </w:tc>
        <w:tc>
          <w:tcPr>
            <w:tcW w:w="1110" w:type="dxa"/>
            <w:shd w:val="clear" w:color="auto" w:fill="auto"/>
          </w:tcPr>
          <w:p w:rsidR="008D0723" w:rsidRPr="005A4842" w:rsidRDefault="008D0723" w:rsidP="00F35A1F">
            <w:pPr>
              <w:spacing w:after="60"/>
              <w:ind w:right="113"/>
              <w:rPr>
                <w:sz w:val="18"/>
                <w:szCs w:val="18"/>
              </w:rPr>
            </w:pPr>
            <w:r w:rsidRPr="005A4842">
              <w:rPr>
                <w:sz w:val="18"/>
                <w:szCs w:val="18"/>
              </w:rPr>
              <w:t>(première ligne)</w:t>
            </w:r>
          </w:p>
        </w:tc>
        <w:tc>
          <w:tcPr>
            <w:tcW w:w="1843" w:type="dxa"/>
            <w:shd w:val="clear" w:color="auto" w:fill="auto"/>
          </w:tcPr>
          <w:p w:rsidR="008D0723" w:rsidRPr="005A4842" w:rsidRDefault="008D0723" w:rsidP="00F35A1F">
            <w:pPr>
              <w:spacing w:after="60"/>
              <w:ind w:right="113"/>
              <w:rPr>
                <w:sz w:val="18"/>
                <w:szCs w:val="18"/>
              </w:rPr>
            </w:pPr>
            <w:r w:rsidRPr="005A4842">
              <w:rPr>
                <w:sz w:val="18"/>
                <w:szCs w:val="18"/>
              </w:rPr>
              <w:t>No ONU</w:t>
            </w:r>
          </w:p>
        </w:tc>
        <w:tc>
          <w:tcPr>
            <w:tcW w:w="1843" w:type="dxa"/>
            <w:shd w:val="clear" w:color="auto" w:fill="auto"/>
          </w:tcPr>
          <w:p w:rsidR="008D0723" w:rsidRPr="005A4842" w:rsidRDefault="008D0723" w:rsidP="00F35A1F">
            <w:pPr>
              <w:spacing w:after="60"/>
              <w:ind w:right="113"/>
              <w:rPr>
                <w:sz w:val="18"/>
                <w:szCs w:val="18"/>
              </w:rPr>
            </w:pPr>
            <w:r w:rsidRPr="005A4842">
              <w:rPr>
                <w:sz w:val="18"/>
                <w:szCs w:val="18"/>
              </w:rPr>
              <w:t>Remplacer «3107» par «3109»</w:t>
            </w:r>
          </w:p>
        </w:tc>
      </w:tr>
      <w:tr w:rsidR="008D0723" w:rsidRPr="004B7705" w:rsidTr="00F35A1F">
        <w:tc>
          <w:tcPr>
            <w:tcW w:w="2574" w:type="dxa"/>
            <w:shd w:val="clear" w:color="auto" w:fill="auto"/>
          </w:tcPr>
          <w:p w:rsidR="00E22F40" w:rsidRDefault="00E22F40" w:rsidP="00F35A1F">
            <w:pPr>
              <w:spacing w:after="60"/>
              <w:ind w:right="113"/>
              <w:rPr>
                <w:sz w:val="18"/>
                <w:szCs w:val="18"/>
              </w:rPr>
            </w:pPr>
            <w:r>
              <w:rPr>
                <w:sz w:val="18"/>
                <w:szCs w:val="18"/>
              </w:rPr>
              <w:t>(ADR et ADN :)</w:t>
            </w:r>
          </w:p>
          <w:p w:rsidR="008D0723" w:rsidRPr="005A4842" w:rsidRDefault="008D0723" w:rsidP="00F35A1F">
            <w:pPr>
              <w:spacing w:after="60"/>
              <w:ind w:right="113"/>
              <w:rPr>
                <w:sz w:val="18"/>
                <w:szCs w:val="18"/>
              </w:rPr>
            </w:pPr>
            <w:r w:rsidRPr="005A4842">
              <w:rPr>
                <w:sz w:val="18"/>
                <w:szCs w:val="18"/>
              </w:rPr>
              <w:t>PEROXYDICARBONATE</w:t>
            </w:r>
            <w:r w:rsidRPr="005A4842">
              <w:rPr>
                <w:sz w:val="18"/>
                <w:szCs w:val="18"/>
              </w:rPr>
              <w:br/>
              <w:t>DE DICÉTYLE</w:t>
            </w:r>
          </w:p>
        </w:tc>
        <w:tc>
          <w:tcPr>
            <w:tcW w:w="1110" w:type="dxa"/>
            <w:shd w:val="clear" w:color="auto" w:fill="auto"/>
          </w:tcPr>
          <w:p w:rsidR="008D0723" w:rsidRPr="005A4842" w:rsidRDefault="008D0723" w:rsidP="00F35A1F">
            <w:pPr>
              <w:spacing w:after="60"/>
              <w:ind w:right="113"/>
              <w:rPr>
                <w:sz w:val="18"/>
                <w:szCs w:val="18"/>
              </w:rPr>
            </w:pPr>
            <w:r w:rsidRPr="005A4842">
              <w:rPr>
                <w:sz w:val="18"/>
                <w:szCs w:val="18"/>
              </w:rPr>
              <w:t>(première ligne)</w:t>
            </w:r>
          </w:p>
        </w:tc>
        <w:tc>
          <w:tcPr>
            <w:tcW w:w="1843" w:type="dxa"/>
            <w:shd w:val="clear" w:color="auto" w:fill="auto"/>
          </w:tcPr>
          <w:p w:rsidR="008D0723" w:rsidRPr="005A4842" w:rsidRDefault="008D0723" w:rsidP="00F35A1F">
            <w:pPr>
              <w:spacing w:after="60"/>
              <w:ind w:right="113"/>
              <w:rPr>
                <w:sz w:val="18"/>
                <w:szCs w:val="18"/>
              </w:rPr>
            </w:pPr>
            <w:r w:rsidRPr="005A4842">
              <w:rPr>
                <w:sz w:val="18"/>
                <w:szCs w:val="18"/>
              </w:rPr>
              <w:t>Méthode d’emballage</w:t>
            </w:r>
          </w:p>
        </w:tc>
        <w:tc>
          <w:tcPr>
            <w:tcW w:w="1843" w:type="dxa"/>
            <w:shd w:val="clear" w:color="auto" w:fill="auto"/>
          </w:tcPr>
          <w:p w:rsidR="008D0723" w:rsidRPr="005A4842" w:rsidRDefault="008D0723" w:rsidP="00F35A1F">
            <w:pPr>
              <w:spacing w:after="60"/>
              <w:ind w:right="113"/>
              <w:rPr>
                <w:sz w:val="18"/>
                <w:szCs w:val="18"/>
              </w:rPr>
            </w:pPr>
            <w:r w:rsidRPr="005A4842">
              <w:rPr>
                <w:sz w:val="18"/>
                <w:szCs w:val="18"/>
              </w:rPr>
              <w:t>Remplacer «OP7» par «OP8»</w:t>
            </w:r>
          </w:p>
        </w:tc>
      </w:tr>
      <w:tr w:rsidR="008D0723" w:rsidRPr="004B7705" w:rsidTr="00F35A1F">
        <w:tc>
          <w:tcPr>
            <w:tcW w:w="2574" w:type="dxa"/>
            <w:shd w:val="clear" w:color="auto" w:fill="auto"/>
          </w:tcPr>
          <w:p w:rsidR="008D0723" w:rsidRPr="005A4842" w:rsidRDefault="008D0723" w:rsidP="00F35A1F">
            <w:pPr>
              <w:spacing w:after="60"/>
              <w:ind w:right="113"/>
              <w:rPr>
                <w:sz w:val="18"/>
                <w:szCs w:val="18"/>
              </w:rPr>
            </w:pPr>
            <w:r w:rsidRPr="005A4842">
              <w:rPr>
                <w:sz w:val="18"/>
                <w:szCs w:val="18"/>
              </w:rPr>
              <w:t>PEROXYDICARBONATE</w:t>
            </w:r>
            <w:r w:rsidRPr="005A4842">
              <w:rPr>
                <w:sz w:val="18"/>
                <w:szCs w:val="18"/>
              </w:rPr>
              <w:br/>
              <w:t>DE DICÉTYLE</w:t>
            </w:r>
          </w:p>
        </w:tc>
        <w:tc>
          <w:tcPr>
            <w:tcW w:w="1110" w:type="dxa"/>
            <w:shd w:val="clear" w:color="auto" w:fill="auto"/>
          </w:tcPr>
          <w:p w:rsidR="008D0723" w:rsidRPr="005A4842" w:rsidRDefault="008D0723" w:rsidP="00F35A1F">
            <w:pPr>
              <w:spacing w:after="60"/>
              <w:ind w:right="113"/>
              <w:rPr>
                <w:sz w:val="18"/>
                <w:szCs w:val="18"/>
              </w:rPr>
            </w:pPr>
            <w:r w:rsidRPr="005A4842">
              <w:rPr>
                <w:sz w:val="18"/>
                <w:szCs w:val="18"/>
              </w:rPr>
              <w:t>(première ligne)</w:t>
            </w:r>
          </w:p>
        </w:tc>
        <w:tc>
          <w:tcPr>
            <w:tcW w:w="1843" w:type="dxa"/>
            <w:shd w:val="clear" w:color="auto" w:fill="auto"/>
          </w:tcPr>
          <w:p w:rsidR="008D0723" w:rsidRPr="005A4842" w:rsidRDefault="008D0723" w:rsidP="00F35A1F">
            <w:pPr>
              <w:spacing w:after="60"/>
              <w:ind w:right="113"/>
              <w:rPr>
                <w:sz w:val="18"/>
                <w:szCs w:val="18"/>
              </w:rPr>
            </w:pPr>
            <w:r w:rsidRPr="005A4842">
              <w:rPr>
                <w:sz w:val="18"/>
                <w:szCs w:val="18"/>
              </w:rPr>
              <w:t>No ONU</w:t>
            </w:r>
          </w:p>
        </w:tc>
        <w:tc>
          <w:tcPr>
            <w:tcW w:w="1843" w:type="dxa"/>
            <w:shd w:val="clear" w:color="auto" w:fill="auto"/>
          </w:tcPr>
          <w:p w:rsidR="008D0723" w:rsidRPr="005A4842" w:rsidRDefault="008D0723" w:rsidP="00F35A1F">
            <w:pPr>
              <w:spacing w:after="60"/>
              <w:ind w:right="113"/>
              <w:rPr>
                <w:sz w:val="18"/>
                <w:szCs w:val="18"/>
              </w:rPr>
            </w:pPr>
            <w:r w:rsidRPr="005A4842">
              <w:rPr>
                <w:sz w:val="18"/>
                <w:szCs w:val="18"/>
              </w:rPr>
              <w:t>Remplacer «3116» par «3120»</w:t>
            </w:r>
          </w:p>
        </w:tc>
      </w:tr>
      <w:tr w:rsidR="008D0723" w:rsidRPr="004B7705" w:rsidTr="00F35A1F">
        <w:tc>
          <w:tcPr>
            <w:tcW w:w="2574" w:type="dxa"/>
            <w:shd w:val="clear" w:color="auto" w:fill="auto"/>
          </w:tcPr>
          <w:p w:rsidR="008D0723" w:rsidRPr="005A4842" w:rsidRDefault="008D0723" w:rsidP="00F35A1F">
            <w:pPr>
              <w:spacing w:after="60"/>
              <w:ind w:right="113"/>
              <w:rPr>
                <w:sz w:val="18"/>
                <w:szCs w:val="18"/>
              </w:rPr>
            </w:pPr>
            <w:r w:rsidRPr="005A4842">
              <w:rPr>
                <w:sz w:val="18"/>
                <w:szCs w:val="18"/>
              </w:rPr>
              <w:t>TRIMÉTHYL-3</w:t>
            </w:r>
            <w:proofErr w:type="gramStart"/>
            <w:r w:rsidRPr="005A4842">
              <w:rPr>
                <w:sz w:val="18"/>
                <w:szCs w:val="18"/>
              </w:rPr>
              <w:t>,5,5</w:t>
            </w:r>
            <w:proofErr w:type="gramEnd"/>
            <w:r w:rsidRPr="005A4842">
              <w:rPr>
                <w:sz w:val="18"/>
                <w:szCs w:val="18"/>
              </w:rPr>
              <w:t xml:space="preserve"> PEROXYHEXANOATE DE </w:t>
            </w:r>
            <w:proofErr w:type="spellStart"/>
            <w:r w:rsidRPr="005A4842">
              <w:rPr>
                <w:sz w:val="18"/>
                <w:szCs w:val="18"/>
              </w:rPr>
              <w:t>tert</w:t>
            </w:r>
            <w:proofErr w:type="spellEnd"/>
            <w:r w:rsidRPr="005A4842">
              <w:rPr>
                <w:sz w:val="18"/>
                <w:szCs w:val="18"/>
              </w:rPr>
              <w:t>-BUTYLE</w:t>
            </w:r>
          </w:p>
        </w:tc>
        <w:tc>
          <w:tcPr>
            <w:tcW w:w="1110" w:type="dxa"/>
            <w:shd w:val="clear" w:color="auto" w:fill="auto"/>
          </w:tcPr>
          <w:p w:rsidR="008D0723" w:rsidRPr="005A4842" w:rsidRDefault="008D0723" w:rsidP="00F35A1F">
            <w:pPr>
              <w:spacing w:after="60"/>
              <w:ind w:right="113"/>
              <w:rPr>
                <w:sz w:val="18"/>
                <w:szCs w:val="18"/>
              </w:rPr>
            </w:pPr>
            <w:r w:rsidRPr="005A4842">
              <w:rPr>
                <w:sz w:val="18"/>
                <w:szCs w:val="18"/>
              </w:rPr>
              <w:t>(première ligne)</w:t>
            </w:r>
          </w:p>
        </w:tc>
        <w:tc>
          <w:tcPr>
            <w:tcW w:w="1843" w:type="dxa"/>
            <w:shd w:val="clear" w:color="auto" w:fill="auto"/>
          </w:tcPr>
          <w:p w:rsidR="008D0723" w:rsidRPr="005A4842" w:rsidRDefault="008D0723" w:rsidP="00F35A1F">
            <w:pPr>
              <w:spacing w:after="60"/>
              <w:ind w:right="113"/>
              <w:rPr>
                <w:sz w:val="18"/>
                <w:szCs w:val="18"/>
              </w:rPr>
            </w:pPr>
            <w:r w:rsidRPr="005A4842">
              <w:rPr>
                <w:sz w:val="18"/>
                <w:szCs w:val="18"/>
              </w:rPr>
              <w:t>Concentration</w:t>
            </w:r>
          </w:p>
        </w:tc>
        <w:tc>
          <w:tcPr>
            <w:tcW w:w="1843" w:type="dxa"/>
            <w:shd w:val="clear" w:color="auto" w:fill="auto"/>
          </w:tcPr>
          <w:p w:rsidR="008D0723" w:rsidRPr="005A4842" w:rsidRDefault="008D0723" w:rsidP="00F35A1F">
            <w:pPr>
              <w:spacing w:after="60"/>
              <w:ind w:right="113"/>
              <w:rPr>
                <w:sz w:val="18"/>
                <w:szCs w:val="18"/>
              </w:rPr>
            </w:pPr>
            <w:r w:rsidRPr="005A4842">
              <w:rPr>
                <w:sz w:val="18"/>
                <w:szCs w:val="18"/>
              </w:rPr>
              <w:t>Remplacer «&gt;32-100» par «&gt;37-100»</w:t>
            </w:r>
          </w:p>
        </w:tc>
      </w:tr>
      <w:tr w:rsidR="008D0723" w:rsidRPr="004B7705" w:rsidTr="00F35A1F">
        <w:tc>
          <w:tcPr>
            <w:tcW w:w="2574" w:type="dxa"/>
            <w:shd w:val="clear" w:color="auto" w:fill="auto"/>
          </w:tcPr>
          <w:p w:rsidR="008D0723" w:rsidRPr="005A4842" w:rsidRDefault="008D0723" w:rsidP="00F35A1F">
            <w:pPr>
              <w:spacing w:after="60"/>
              <w:ind w:right="113"/>
              <w:rPr>
                <w:sz w:val="18"/>
                <w:szCs w:val="18"/>
              </w:rPr>
            </w:pPr>
            <w:r w:rsidRPr="005A4842">
              <w:rPr>
                <w:sz w:val="18"/>
                <w:szCs w:val="18"/>
              </w:rPr>
              <w:t>TRIMÉTHYL-3</w:t>
            </w:r>
            <w:proofErr w:type="gramStart"/>
            <w:r w:rsidRPr="005A4842">
              <w:rPr>
                <w:sz w:val="18"/>
                <w:szCs w:val="18"/>
              </w:rPr>
              <w:t>,5,5</w:t>
            </w:r>
            <w:proofErr w:type="gramEnd"/>
            <w:r w:rsidRPr="005A4842">
              <w:rPr>
                <w:sz w:val="18"/>
                <w:szCs w:val="18"/>
              </w:rPr>
              <w:t xml:space="preserve"> PEROXYHEXANOATE DE </w:t>
            </w:r>
            <w:proofErr w:type="spellStart"/>
            <w:r w:rsidRPr="005A4842">
              <w:rPr>
                <w:sz w:val="18"/>
                <w:szCs w:val="18"/>
              </w:rPr>
              <w:t>tert</w:t>
            </w:r>
            <w:proofErr w:type="spellEnd"/>
            <w:r w:rsidRPr="005A4842">
              <w:rPr>
                <w:sz w:val="18"/>
                <w:szCs w:val="18"/>
              </w:rPr>
              <w:t>-BUTYLE</w:t>
            </w:r>
          </w:p>
        </w:tc>
        <w:tc>
          <w:tcPr>
            <w:tcW w:w="1110" w:type="dxa"/>
            <w:shd w:val="clear" w:color="auto" w:fill="auto"/>
          </w:tcPr>
          <w:p w:rsidR="008D0723" w:rsidRPr="005A4842" w:rsidRDefault="008D0723" w:rsidP="00F35A1F">
            <w:pPr>
              <w:spacing w:after="60"/>
              <w:ind w:right="113"/>
              <w:rPr>
                <w:sz w:val="18"/>
                <w:szCs w:val="18"/>
              </w:rPr>
            </w:pPr>
            <w:r w:rsidRPr="005A4842">
              <w:rPr>
                <w:sz w:val="18"/>
                <w:szCs w:val="18"/>
              </w:rPr>
              <w:t>(troisième ligne)</w:t>
            </w:r>
          </w:p>
        </w:tc>
        <w:tc>
          <w:tcPr>
            <w:tcW w:w="1843" w:type="dxa"/>
            <w:shd w:val="clear" w:color="auto" w:fill="auto"/>
          </w:tcPr>
          <w:p w:rsidR="008D0723" w:rsidRPr="005A4842" w:rsidRDefault="008D0723" w:rsidP="00F35A1F">
            <w:pPr>
              <w:spacing w:after="60"/>
              <w:ind w:right="113"/>
              <w:rPr>
                <w:sz w:val="18"/>
                <w:szCs w:val="18"/>
              </w:rPr>
            </w:pPr>
            <w:r w:rsidRPr="005A4842">
              <w:rPr>
                <w:sz w:val="18"/>
                <w:szCs w:val="18"/>
              </w:rPr>
              <w:t>Concentration</w:t>
            </w:r>
          </w:p>
        </w:tc>
        <w:tc>
          <w:tcPr>
            <w:tcW w:w="1843" w:type="dxa"/>
            <w:shd w:val="clear" w:color="auto" w:fill="auto"/>
          </w:tcPr>
          <w:p w:rsidR="008D0723" w:rsidRPr="005A4842" w:rsidRDefault="008D0723" w:rsidP="00F35A1F">
            <w:pPr>
              <w:spacing w:after="60"/>
              <w:ind w:right="113"/>
              <w:rPr>
                <w:sz w:val="18"/>
                <w:szCs w:val="18"/>
              </w:rPr>
            </w:pPr>
            <w:r w:rsidRPr="005A4842">
              <w:rPr>
                <w:sz w:val="18"/>
                <w:szCs w:val="18"/>
              </w:rPr>
              <w:t>Remplacer «≤ 32» par «≤ 37»</w:t>
            </w:r>
          </w:p>
        </w:tc>
      </w:tr>
      <w:tr w:rsidR="008D0723" w:rsidRPr="004B7705" w:rsidTr="00F35A1F">
        <w:trPr>
          <w:trHeight w:val="20"/>
        </w:trPr>
        <w:tc>
          <w:tcPr>
            <w:tcW w:w="2574" w:type="dxa"/>
            <w:tcBorders>
              <w:bottom w:val="single" w:sz="12" w:space="0" w:color="auto"/>
            </w:tcBorders>
            <w:shd w:val="clear" w:color="auto" w:fill="auto"/>
          </w:tcPr>
          <w:p w:rsidR="008D0723" w:rsidRPr="005A4842" w:rsidRDefault="008D0723" w:rsidP="00F35A1F">
            <w:pPr>
              <w:ind w:right="115"/>
              <w:rPr>
                <w:sz w:val="18"/>
                <w:szCs w:val="18"/>
              </w:rPr>
            </w:pPr>
            <w:r w:rsidRPr="005A4842">
              <w:rPr>
                <w:sz w:val="18"/>
                <w:szCs w:val="18"/>
              </w:rPr>
              <w:t>TRIMÉTHYL-3</w:t>
            </w:r>
            <w:proofErr w:type="gramStart"/>
            <w:r w:rsidRPr="005A4842">
              <w:rPr>
                <w:sz w:val="18"/>
                <w:szCs w:val="18"/>
              </w:rPr>
              <w:t>,5,5</w:t>
            </w:r>
            <w:proofErr w:type="gramEnd"/>
            <w:r w:rsidRPr="005A4842">
              <w:rPr>
                <w:sz w:val="18"/>
                <w:szCs w:val="18"/>
              </w:rPr>
              <w:t xml:space="preserve"> PEROXYHEXANOATE DE </w:t>
            </w:r>
            <w:proofErr w:type="spellStart"/>
            <w:r w:rsidRPr="005A4842">
              <w:rPr>
                <w:sz w:val="18"/>
                <w:szCs w:val="18"/>
              </w:rPr>
              <w:t>tert</w:t>
            </w:r>
            <w:proofErr w:type="spellEnd"/>
            <w:r w:rsidRPr="005A4842">
              <w:rPr>
                <w:sz w:val="18"/>
                <w:szCs w:val="18"/>
              </w:rPr>
              <w:t>-BUTYLE</w:t>
            </w:r>
          </w:p>
        </w:tc>
        <w:tc>
          <w:tcPr>
            <w:tcW w:w="1110" w:type="dxa"/>
            <w:tcBorders>
              <w:bottom w:val="single" w:sz="12" w:space="0" w:color="auto"/>
            </w:tcBorders>
            <w:shd w:val="clear" w:color="auto" w:fill="auto"/>
          </w:tcPr>
          <w:p w:rsidR="008D0723" w:rsidRPr="005A4842" w:rsidRDefault="008D0723" w:rsidP="00F35A1F">
            <w:pPr>
              <w:ind w:right="115"/>
              <w:rPr>
                <w:sz w:val="18"/>
                <w:szCs w:val="18"/>
              </w:rPr>
            </w:pPr>
            <w:r w:rsidRPr="005A4842">
              <w:rPr>
                <w:sz w:val="18"/>
                <w:szCs w:val="18"/>
              </w:rPr>
              <w:t>(troisième ligne)</w:t>
            </w:r>
          </w:p>
        </w:tc>
        <w:tc>
          <w:tcPr>
            <w:tcW w:w="1843" w:type="dxa"/>
            <w:tcBorders>
              <w:bottom w:val="single" w:sz="12" w:space="0" w:color="auto"/>
            </w:tcBorders>
            <w:shd w:val="clear" w:color="auto" w:fill="auto"/>
          </w:tcPr>
          <w:p w:rsidR="008D0723" w:rsidRPr="005A4842" w:rsidRDefault="008D0723" w:rsidP="00F35A1F">
            <w:pPr>
              <w:ind w:right="115"/>
              <w:rPr>
                <w:sz w:val="18"/>
                <w:szCs w:val="18"/>
              </w:rPr>
            </w:pPr>
            <w:r w:rsidRPr="005A4842">
              <w:rPr>
                <w:sz w:val="18"/>
                <w:szCs w:val="18"/>
              </w:rPr>
              <w:t>Diluant type B</w:t>
            </w:r>
          </w:p>
        </w:tc>
        <w:tc>
          <w:tcPr>
            <w:tcW w:w="1843" w:type="dxa"/>
            <w:tcBorders>
              <w:bottom w:val="single" w:sz="12" w:space="0" w:color="auto"/>
            </w:tcBorders>
            <w:shd w:val="clear" w:color="auto" w:fill="auto"/>
          </w:tcPr>
          <w:p w:rsidR="008D0723" w:rsidRPr="005A4842" w:rsidRDefault="008D0723" w:rsidP="00F35A1F">
            <w:pPr>
              <w:ind w:right="115"/>
              <w:rPr>
                <w:sz w:val="18"/>
                <w:szCs w:val="18"/>
              </w:rPr>
            </w:pPr>
            <w:r w:rsidRPr="005A4842">
              <w:rPr>
                <w:sz w:val="18"/>
                <w:szCs w:val="18"/>
              </w:rPr>
              <w:t>Remplacer «≥ 68» par «≥ 63»</w:t>
            </w:r>
          </w:p>
        </w:tc>
      </w:tr>
    </w:tbl>
    <w:p w:rsidR="00790B50" w:rsidRDefault="00E22F40" w:rsidP="00790B50">
      <w:pPr>
        <w:pStyle w:val="SingleTxtG"/>
        <w:spacing w:before="120"/>
        <w:rPr>
          <w:iCs/>
          <w:lang w:val="fr-FR"/>
        </w:rPr>
      </w:pPr>
      <w:r>
        <w:rPr>
          <w:iCs/>
          <w:lang w:val="fr-FR"/>
        </w:rPr>
        <w:t>2.2.61.2.1</w:t>
      </w:r>
      <w:r>
        <w:rPr>
          <w:iCs/>
          <w:lang w:val="fr-FR"/>
        </w:rPr>
        <w:tab/>
        <w:t>Modifier pour lire comme suit:</w:t>
      </w:r>
    </w:p>
    <w:p w:rsidR="008D0723" w:rsidRPr="00260D97" w:rsidRDefault="008D0723" w:rsidP="00790B50">
      <w:pPr>
        <w:pStyle w:val="SingleTxtG"/>
        <w:spacing w:before="120"/>
        <w:rPr>
          <w:iCs/>
        </w:rPr>
      </w:pPr>
      <w:r>
        <w:rPr>
          <w:iCs/>
          <w:lang w:val="fr-FR"/>
        </w:rPr>
        <w:t>«</w:t>
      </w:r>
      <w:r w:rsidR="00E22F40">
        <w:rPr>
          <w:iCs/>
        </w:rPr>
        <w:t>2.2.61.2.1</w:t>
      </w:r>
      <w:r w:rsidR="00E22F40">
        <w:rPr>
          <w:iCs/>
        </w:rPr>
        <w:tab/>
      </w:r>
      <w:r w:rsidRPr="00260D97">
        <w:rPr>
          <w:iCs/>
        </w:rPr>
        <w:t xml:space="preserve">Les matières chimiquement instables de la </w:t>
      </w:r>
      <w:r w:rsidR="00E22F40">
        <w:rPr>
          <w:iCs/>
        </w:rPr>
        <w:t>classe</w:t>
      </w:r>
      <w:r w:rsidR="00E22F40" w:rsidRPr="00260D97">
        <w:rPr>
          <w:iCs/>
        </w:rPr>
        <w:t> </w:t>
      </w:r>
      <w:r w:rsidRPr="00260D97">
        <w:rPr>
          <w:iCs/>
        </w:rPr>
        <w:t xml:space="preserve">6.1 ne sont pas acceptées au transport à moins que les précautions nécessaires aient été prises pour en prévenir </w:t>
      </w:r>
      <w:r>
        <w:rPr>
          <w:iCs/>
        </w:rPr>
        <w:t>une éventuelle</w:t>
      </w:r>
      <w:r w:rsidRPr="00260D97">
        <w:rPr>
          <w:iCs/>
        </w:rPr>
        <w:t xml:space="preserve"> décomposition </w:t>
      </w:r>
      <w:r>
        <w:rPr>
          <w:iCs/>
        </w:rPr>
        <w:t>dangereuse</w:t>
      </w:r>
      <w:r w:rsidRPr="00260D97">
        <w:rPr>
          <w:iCs/>
        </w:rPr>
        <w:t xml:space="preserve"> ou polymérisation dangereuse dans des conditions </w:t>
      </w:r>
      <w:r w:rsidR="00406E74">
        <w:rPr>
          <w:iCs/>
        </w:rPr>
        <w:t xml:space="preserve">normales </w:t>
      </w:r>
      <w:r w:rsidRPr="00260D97">
        <w:rPr>
          <w:iCs/>
        </w:rPr>
        <w:t xml:space="preserve">de transport. Pour les précautions à suivre afin d’éviter </w:t>
      </w:r>
      <w:r w:rsidRPr="0017734B">
        <w:rPr>
          <w:iCs/>
        </w:rPr>
        <w:t>une polymérisation, voir la disposition spéciale </w:t>
      </w:r>
      <w:r w:rsidRPr="0017734B">
        <w:t>386 du chapitre 3.3</w:t>
      </w:r>
      <w:r w:rsidRPr="0017734B">
        <w:rPr>
          <w:iCs/>
        </w:rPr>
        <w:t>. À cette fin, on doit e</w:t>
      </w:r>
      <w:r w:rsidRPr="00260D97">
        <w:rPr>
          <w:iCs/>
        </w:rPr>
        <w:t>n particulier veiller à ce que les récipients et citernes ne contiennent aucune matière susceptible de favoriser ces réactions</w:t>
      </w:r>
      <w:r>
        <w:rPr>
          <w:iCs/>
        </w:rPr>
        <w:t>.</w:t>
      </w:r>
      <w:r w:rsidRPr="00260D97">
        <w:rPr>
          <w:iCs/>
        </w:rPr>
        <w:t>».</w:t>
      </w:r>
    </w:p>
    <w:p w:rsidR="008D0723" w:rsidRPr="00260D97" w:rsidRDefault="00B3753A" w:rsidP="008D0723">
      <w:pPr>
        <w:pStyle w:val="SingleTxtG"/>
        <w:tabs>
          <w:tab w:val="left" w:pos="2410"/>
        </w:tabs>
        <w:rPr>
          <w:iCs/>
        </w:rPr>
      </w:pPr>
      <w:r w:rsidRPr="004357DE">
        <w:rPr>
          <w:iCs/>
        </w:rPr>
        <w:t>2.2.7.2.4.1.3</w:t>
      </w:r>
      <w:r w:rsidR="008D0723">
        <w:rPr>
          <w:iCs/>
        </w:rPr>
        <w:tab/>
        <w:t xml:space="preserve">Remplacer «le marquage </w:t>
      </w:r>
      <w:r w:rsidR="00D932E6">
        <w:rPr>
          <w:iCs/>
        </w:rPr>
        <w:t>«</w:t>
      </w:r>
      <w:r w:rsidR="008D0723">
        <w:rPr>
          <w:iCs/>
        </w:rPr>
        <w:t>RADIOACTIVE</w:t>
      </w:r>
      <w:r w:rsidR="00D932E6">
        <w:rPr>
          <w:iCs/>
        </w:rPr>
        <w:t>»</w:t>
      </w:r>
      <w:r w:rsidR="008D0723">
        <w:rPr>
          <w:iCs/>
        </w:rPr>
        <w:t xml:space="preserve">» par «la marque </w:t>
      </w:r>
      <w:r w:rsidR="00D932E6">
        <w:rPr>
          <w:iCs/>
        </w:rPr>
        <w:t>«</w:t>
      </w:r>
      <w:r w:rsidR="008D0723">
        <w:rPr>
          <w:iCs/>
        </w:rPr>
        <w:t>RADIOACTIVE</w:t>
      </w:r>
      <w:r w:rsidR="00D932E6">
        <w:rPr>
          <w:iCs/>
        </w:rPr>
        <w:t>»</w:t>
      </w:r>
      <w:r w:rsidR="008D0723">
        <w:rPr>
          <w:iCs/>
        </w:rPr>
        <w:t>», quatre fois.</w:t>
      </w:r>
    </w:p>
    <w:p w:rsidR="008D0723" w:rsidRPr="00260D97" w:rsidRDefault="00B3753A" w:rsidP="008D0723">
      <w:pPr>
        <w:pStyle w:val="SingleTxtG"/>
        <w:tabs>
          <w:tab w:val="left" w:pos="2410"/>
        </w:tabs>
        <w:rPr>
          <w:iCs/>
        </w:rPr>
      </w:pPr>
      <w:r>
        <w:rPr>
          <w:iCs/>
        </w:rPr>
        <w:t>2.2.7.2.4.1.4</w:t>
      </w:r>
      <w:r w:rsidR="008D0723">
        <w:rPr>
          <w:iCs/>
        </w:rPr>
        <w:t xml:space="preserve"> b)</w:t>
      </w:r>
      <w:r w:rsidR="008D0723">
        <w:rPr>
          <w:iCs/>
        </w:rPr>
        <w:tab/>
        <w:t xml:space="preserve">Remplacer «le marquage </w:t>
      </w:r>
      <w:r w:rsidR="00D932E6">
        <w:rPr>
          <w:iCs/>
        </w:rPr>
        <w:t>«</w:t>
      </w:r>
      <w:r w:rsidR="008D0723">
        <w:rPr>
          <w:iCs/>
        </w:rPr>
        <w:t>RADIOACTIVE</w:t>
      </w:r>
      <w:r w:rsidR="00D932E6">
        <w:rPr>
          <w:iCs/>
        </w:rPr>
        <w:t>»</w:t>
      </w:r>
      <w:r w:rsidR="008D0723">
        <w:rPr>
          <w:iCs/>
        </w:rPr>
        <w:t xml:space="preserve">» par «la marque </w:t>
      </w:r>
      <w:r w:rsidR="00D932E6">
        <w:rPr>
          <w:iCs/>
        </w:rPr>
        <w:t>«</w:t>
      </w:r>
      <w:r w:rsidR="008D0723">
        <w:rPr>
          <w:iCs/>
        </w:rPr>
        <w:t>RADIOACTIVE</w:t>
      </w:r>
      <w:r w:rsidR="00D932E6">
        <w:rPr>
          <w:iCs/>
        </w:rPr>
        <w:t>»</w:t>
      </w:r>
      <w:r w:rsidR="008D0723">
        <w:rPr>
          <w:iCs/>
        </w:rPr>
        <w:t>».</w:t>
      </w:r>
    </w:p>
    <w:p w:rsidR="00E846EA" w:rsidRDefault="00104ADE" w:rsidP="00104ADE">
      <w:pPr>
        <w:pStyle w:val="SingleTxtG"/>
        <w:tabs>
          <w:tab w:val="left" w:pos="2268"/>
        </w:tabs>
        <w:rPr>
          <w:iCs/>
        </w:rPr>
      </w:pPr>
      <w:r>
        <w:rPr>
          <w:iCs/>
          <w:lang w:val="fr-FR"/>
        </w:rPr>
        <w:t>2.2.8.2.1</w:t>
      </w:r>
      <w:r>
        <w:rPr>
          <w:iCs/>
          <w:lang w:val="fr-FR"/>
        </w:rPr>
        <w:tab/>
        <w:t>Modifier pour lire comme suit:</w:t>
      </w:r>
      <w:r w:rsidRPr="00260D97" w:rsidDel="00104ADE">
        <w:rPr>
          <w:iCs/>
        </w:rPr>
        <w:t xml:space="preserve"> </w:t>
      </w:r>
    </w:p>
    <w:p w:rsidR="008D0723" w:rsidRPr="00260D97" w:rsidRDefault="008D0723" w:rsidP="00104ADE">
      <w:pPr>
        <w:pStyle w:val="SingleTxtG"/>
        <w:tabs>
          <w:tab w:val="left" w:pos="2268"/>
        </w:tabs>
        <w:rPr>
          <w:iCs/>
        </w:rPr>
      </w:pPr>
      <w:r w:rsidRPr="00260D97">
        <w:rPr>
          <w:iCs/>
        </w:rPr>
        <w:t>«</w:t>
      </w:r>
      <w:r w:rsidR="00104ADE">
        <w:rPr>
          <w:iCs/>
          <w:lang w:val="fr-FR"/>
        </w:rPr>
        <w:t>2.2.8.2.1</w:t>
      </w:r>
      <w:r w:rsidR="00104ADE">
        <w:rPr>
          <w:iCs/>
          <w:lang w:val="fr-FR"/>
        </w:rPr>
        <w:tab/>
      </w:r>
      <w:r w:rsidRPr="00260D97">
        <w:rPr>
          <w:iCs/>
        </w:rPr>
        <w:t xml:space="preserve">Les matières chimiquement instables de la classe 8 ne sont pas acceptées au transport à moins que les précautions nécessaires aient été prises pour en prévenir </w:t>
      </w:r>
      <w:r>
        <w:rPr>
          <w:iCs/>
        </w:rPr>
        <w:t>une éventuelle</w:t>
      </w:r>
      <w:r w:rsidRPr="00260D97">
        <w:rPr>
          <w:iCs/>
        </w:rPr>
        <w:t xml:space="preserve"> décomposition </w:t>
      </w:r>
      <w:r>
        <w:rPr>
          <w:iCs/>
        </w:rPr>
        <w:t>dangereuse</w:t>
      </w:r>
      <w:r w:rsidRPr="00260D97">
        <w:rPr>
          <w:iCs/>
        </w:rPr>
        <w:t xml:space="preserve"> ou polymérisation dangereuse dans </w:t>
      </w:r>
      <w:r w:rsidRPr="0017734B">
        <w:rPr>
          <w:iCs/>
        </w:rPr>
        <w:t xml:space="preserve">des conditions </w:t>
      </w:r>
      <w:r w:rsidR="00406E74">
        <w:rPr>
          <w:iCs/>
        </w:rPr>
        <w:t xml:space="preserve">normales </w:t>
      </w:r>
      <w:r w:rsidRPr="0017734B">
        <w:rPr>
          <w:iCs/>
        </w:rPr>
        <w:t>de transport. Pour les précautions à suivre afin d’éviter une polymérisation, voir la disposition spéciale </w:t>
      </w:r>
      <w:r w:rsidRPr="0017734B">
        <w:t>386 du chapitre 3.3</w:t>
      </w:r>
      <w:r w:rsidRPr="0017734B">
        <w:rPr>
          <w:iCs/>
        </w:rPr>
        <w:t>. À cette fin, on doit en pa</w:t>
      </w:r>
      <w:r w:rsidRPr="00260D97">
        <w:rPr>
          <w:iCs/>
        </w:rPr>
        <w:t>rticulier veiller à ce que les récipients et citernes ne contiennent aucune matière susceptible de favoriser ces réactions</w:t>
      </w:r>
      <w:r>
        <w:rPr>
          <w:iCs/>
        </w:rPr>
        <w:t>.</w:t>
      </w:r>
      <w:r w:rsidR="00E846EA">
        <w:rPr>
          <w:iCs/>
        </w:rPr>
        <w:t>»</w:t>
      </w:r>
    </w:p>
    <w:p w:rsidR="003C5C5B" w:rsidRDefault="003C5C5B" w:rsidP="008D0723">
      <w:pPr>
        <w:pStyle w:val="SingleTxtG"/>
        <w:tabs>
          <w:tab w:val="left" w:pos="2268"/>
        </w:tabs>
        <w:rPr>
          <w:lang w:val="fr-FR"/>
        </w:rPr>
      </w:pPr>
      <w:r>
        <w:rPr>
          <w:lang w:val="fr-FR"/>
        </w:rPr>
        <w:t>2.2.9.1.7</w:t>
      </w:r>
      <w:r>
        <w:rPr>
          <w:lang w:val="fr-FR"/>
        </w:rPr>
        <w:tab/>
        <w:t>Ajouter le nouveau premier paragraphe suivant:</w:t>
      </w:r>
    </w:p>
    <w:p w:rsidR="003C5C5B" w:rsidRDefault="003C5C5B" w:rsidP="003C5C5B">
      <w:pPr>
        <w:pStyle w:val="SingleTxtG"/>
        <w:rPr>
          <w:lang w:val="fr-FR"/>
        </w:rPr>
      </w:pPr>
      <w:r w:rsidRPr="00EE52AA">
        <w:rPr>
          <w:lang w:val="fr-FR"/>
        </w:rPr>
        <w:t xml:space="preserve">«À moins qu’il n’en soit prévu autrement dans </w:t>
      </w:r>
      <w:r>
        <w:rPr>
          <w:lang w:val="fr-FR"/>
        </w:rPr>
        <w:t>l’ADN</w:t>
      </w:r>
      <w:r w:rsidRPr="00EE52AA">
        <w:rPr>
          <w:lang w:val="fr-FR"/>
        </w:rPr>
        <w:t xml:space="preserve"> (par exemple pour les prototypes et les petites productions de </w:t>
      </w:r>
      <w:r w:rsidR="00644670">
        <w:rPr>
          <w:lang w:val="fr-FR"/>
        </w:rPr>
        <w:t>piles</w:t>
      </w:r>
      <w:r w:rsidRPr="00EE52AA">
        <w:rPr>
          <w:lang w:val="fr-FR"/>
        </w:rPr>
        <w:t xml:space="preserve"> suivant la disposition spéciale 310 ou pour les </w:t>
      </w:r>
      <w:r w:rsidR="00644670">
        <w:rPr>
          <w:lang w:val="fr-FR"/>
        </w:rPr>
        <w:t>piles</w:t>
      </w:r>
      <w:r w:rsidRPr="00EE52AA">
        <w:rPr>
          <w:lang w:val="fr-FR"/>
        </w:rPr>
        <w:t xml:space="preserve"> endommagées suivant la disposition spéciale 376), les </w:t>
      </w:r>
      <w:r w:rsidR="00644670">
        <w:rPr>
          <w:lang w:val="fr-FR"/>
        </w:rPr>
        <w:t>piles</w:t>
      </w:r>
      <w:r w:rsidRPr="00EE52AA">
        <w:rPr>
          <w:lang w:val="fr-FR"/>
        </w:rPr>
        <w:t xml:space="preserve"> au lithium doivent satisfaire aux prescriptions </w:t>
      </w:r>
      <w:r>
        <w:rPr>
          <w:lang w:val="fr-FR"/>
        </w:rPr>
        <w:t>suivantes</w:t>
      </w:r>
      <w:r w:rsidR="00E846EA">
        <w:rPr>
          <w:lang w:val="fr-FR"/>
        </w:rPr>
        <w:t>.»</w:t>
      </w:r>
    </w:p>
    <w:p w:rsidR="007F1D96" w:rsidRPr="00644670" w:rsidRDefault="007F1D96" w:rsidP="007F1D96">
      <w:pPr>
        <w:spacing w:after="120"/>
        <w:ind w:left="1134" w:right="1134"/>
        <w:jc w:val="both"/>
      </w:pPr>
      <w:r w:rsidRPr="00644670">
        <w:t>2.2.9.1.7</w:t>
      </w:r>
      <w:r w:rsidRPr="00644670">
        <w:tab/>
        <w:t>Supprimer le dernier Nota.</w:t>
      </w:r>
    </w:p>
    <w:p w:rsidR="008E0B16" w:rsidRDefault="008E0B16" w:rsidP="008E0B16">
      <w:pPr>
        <w:pStyle w:val="SingleTxtG"/>
        <w:tabs>
          <w:tab w:val="left" w:pos="2268"/>
        </w:tabs>
        <w:rPr>
          <w:iCs/>
          <w:lang w:val="fr-FR"/>
        </w:rPr>
      </w:pPr>
      <w:r>
        <w:rPr>
          <w:iCs/>
          <w:lang w:val="fr-FR"/>
        </w:rPr>
        <w:lastRenderedPageBreak/>
        <w:t>2.2.9.1.10.2.5</w:t>
      </w:r>
      <w:r w:rsidR="00644670">
        <w:rPr>
          <w:iCs/>
          <w:lang w:val="fr-FR"/>
        </w:rPr>
        <w:tab/>
      </w:r>
      <w:r w:rsidR="007F1D96">
        <w:rPr>
          <w:iCs/>
          <w:lang w:val="fr-FR"/>
        </w:rPr>
        <w:tab/>
      </w:r>
      <w:r>
        <w:rPr>
          <w:iCs/>
          <w:lang w:val="fr-FR"/>
        </w:rPr>
        <w:tab/>
        <w:t>Dans le deuxième paragraphe, dans la première phrase, remplacer «</w:t>
      </w:r>
      <w:r w:rsidRPr="006D0745">
        <w:rPr>
          <w:iCs/>
          <w:lang w:val="fr-FR"/>
        </w:rPr>
        <w:t>Lignes directrices 107</w:t>
      </w:r>
      <w:r>
        <w:rPr>
          <w:iCs/>
          <w:lang w:val="fr-FR"/>
        </w:rPr>
        <w:t xml:space="preserve"> </w:t>
      </w:r>
      <w:r w:rsidRPr="006D0745">
        <w:rPr>
          <w:iCs/>
          <w:lang w:val="fr-FR"/>
        </w:rPr>
        <w:t>ou 117</w:t>
      </w:r>
      <w:r>
        <w:rPr>
          <w:iCs/>
          <w:lang w:val="fr-FR"/>
        </w:rPr>
        <w:t>» par «</w:t>
      </w:r>
      <w:r w:rsidRPr="006D0745">
        <w:rPr>
          <w:iCs/>
          <w:lang w:val="fr-FR"/>
        </w:rPr>
        <w:t>Lignes directrices 107</w:t>
      </w:r>
      <w:r>
        <w:rPr>
          <w:iCs/>
          <w:lang w:val="fr-FR"/>
        </w:rPr>
        <w:t>, </w:t>
      </w:r>
      <w:r w:rsidRPr="006D0745">
        <w:rPr>
          <w:iCs/>
          <w:lang w:val="fr-FR"/>
        </w:rPr>
        <w:t>117 ou</w:t>
      </w:r>
      <w:r>
        <w:rPr>
          <w:iCs/>
          <w:lang w:val="fr-FR"/>
        </w:rPr>
        <w:t xml:space="preserve"> 123».</w:t>
      </w:r>
    </w:p>
    <w:p w:rsidR="00E96338" w:rsidRDefault="00E96338" w:rsidP="00E96338">
      <w:pPr>
        <w:pStyle w:val="SingleTxtG"/>
        <w:tabs>
          <w:tab w:val="left" w:pos="2268"/>
        </w:tabs>
        <w:rPr>
          <w:lang w:val="fr-FR"/>
        </w:rPr>
      </w:pPr>
      <w:r>
        <w:rPr>
          <w:lang w:val="fr-FR"/>
        </w:rPr>
        <w:t>2.2.9.1.14</w:t>
      </w:r>
      <w:r>
        <w:rPr>
          <w:lang w:val="fr-FR"/>
        </w:rPr>
        <w:tab/>
        <w:t>Dans les matières énumérées avant le Nota, après «</w:t>
      </w:r>
      <w:r w:rsidRPr="006E3B48">
        <w:rPr>
          <w:lang w:val="fr-FR"/>
        </w:rPr>
        <w:t>Condensateurs électriques à double couche (avec une capacité de stockage d'énergie supérieure à</w:t>
      </w:r>
      <w:r>
        <w:rPr>
          <w:lang w:val="fr-FR"/>
        </w:rPr>
        <w:t xml:space="preserve"> </w:t>
      </w:r>
      <w:r w:rsidRPr="006E3B48">
        <w:rPr>
          <w:lang w:val="fr-FR"/>
        </w:rPr>
        <w:t>0,3 Wh)</w:t>
      </w:r>
      <w:r>
        <w:rPr>
          <w:lang w:val="fr-FR"/>
        </w:rPr>
        <w:t>» ajouter une nouvelle ligne pour lire:</w:t>
      </w:r>
    </w:p>
    <w:p w:rsidR="00E96338" w:rsidRDefault="00E96338" w:rsidP="00E96338">
      <w:pPr>
        <w:pStyle w:val="SingleTxtG"/>
        <w:tabs>
          <w:tab w:val="left" w:pos="2268"/>
        </w:tabs>
        <w:rPr>
          <w:lang w:val="fr-FR"/>
        </w:rPr>
      </w:pPr>
      <w:r>
        <w:rPr>
          <w:lang w:val="fr-FR"/>
        </w:rPr>
        <w:t>«Moteurs et machines à combustion interne».</w:t>
      </w:r>
    </w:p>
    <w:p w:rsidR="007673E8" w:rsidRDefault="007673E8" w:rsidP="002D3B2E">
      <w:pPr>
        <w:pStyle w:val="SingleTxtG"/>
        <w:tabs>
          <w:tab w:val="left" w:pos="2268"/>
        </w:tabs>
        <w:rPr>
          <w:lang w:val="fr-FR"/>
        </w:rPr>
      </w:pPr>
      <w:r w:rsidRPr="002D3B2E">
        <w:rPr>
          <w:lang w:val="fr-FR"/>
        </w:rPr>
        <w:t>2</w:t>
      </w:r>
      <w:r w:rsidR="00644670" w:rsidRPr="002D3B2E">
        <w:t>2.2.9.1.14</w:t>
      </w:r>
      <w:r w:rsidR="00644670" w:rsidRPr="002D3B2E">
        <w:tab/>
        <w:t>Dans le Nota, biffer les rubriques pour les Nos. ONU 3166 et 3171.</w:t>
      </w:r>
      <w:r w:rsidR="00644670" w:rsidRPr="002D3B2E">
        <w:rPr>
          <w:lang w:val="fr-FR"/>
        </w:rPr>
        <w:t xml:space="preserve"> </w:t>
      </w:r>
    </w:p>
    <w:p w:rsidR="008D0723" w:rsidRDefault="002041A8" w:rsidP="008D0723">
      <w:pPr>
        <w:pStyle w:val="SingleTxtG"/>
        <w:tabs>
          <w:tab w:val="left" w:pos="2268"/>
        </w:tabs>
        <w:rPr>
          <w:b/>
          <w:bCs/>
          <w:i/>
          <w:iCs/>
          <w:lang w:val="fr-FR"/>
        </w:rPr>
      </w:pPr>
      <w:r>
        <w:rPr>
          <w:lang w:val="fr-FR"/>
        </w:rPr>
        <w:t>2.2.9.3</w:t>
      </w:r>
      <w:r w:rsidR="008D0723">
        <w:rPr>
          <w:lang w:val="fr-FR"/>
        </w:rPr>
        <w:tab/>
      </w:r>
      <w:r>
        <w:rPr>
          <w:lang w:val="fr-FR"/>
        </w:rPr>
        <w:t xml:space="preserve">Pour M2 </w:t>
      </w:r>
      <w:r w:rsidR="008D0723" w:rsidRPr="005870B0">
        <w:rPr>
          <w:b/>
          <w:bCs/>
          <w:i/>
          <w:iCs/>
          <w:lang w:val="fr-FR"/>
        </w:rPr>
        <w:t>Matières et objets qui, en cas d’incendie, peuvent former des dioxines</w:t>
      </w:r>
      <w:r w:rsidR="008D0723" w:rsidRPr="00BF3BE2">
        <w:rPr>
          <w:b/>
          <w:bCs/>
          <w:iCs/>
          <w:lang w:val="fr-FR"/>
        </w:rPr>
        <w:t>:</w:t>
      </w:r>
    </w:p>
    <w:p w:rsidR="008D0723" w:rsidRDefault="008D0723" w:rsidP="008D0723">
      <w:pPr>
        <w:pStyle w:val="SingleTxtG"/>
        <w:tabs>
          <w:tab w:val="left" w:pos="2268"/>
        </w:tabs>
        <w:rPr>
          <w:lang w:val="fr-FR"/>
        </w:rPr>
      </w:pPr>
      <w:r>
        <w:rPr>
          <w:lang w:val="fr-FR"/>
        </w:rPr>
        <w:t>Après «</w:t>
      </w:r>
      <w:r w:rsidRPr="005870B0">
        <w:rPr>
          <w:lang w:val="fr-FR"/>
        </w:rPr>
        <w:t>3151 DIPHÉNYL</w:t>
      </w:r>
      <w:r>
        <w:rPr>
          <w:lang w:val="fr-FR"/>
        </w:rPr>
        <w:t>E</w:t>
      </w:r>
      <w:r w:rsidRPr="005870B0">
        <w:rPr>
          <w:lang w:val="fr-FR"/>
        </w:rPr>
        <w:t>S POLYHALOGÉNÉS LIQUIDES ou</w:t>
      </w:r>
      <w:r>
        <w:rPr>
          <w:lang w:val="fr-FR"/>
        </w:rPr>
        <w:t>» ajouter une nouvelle ligne pour lire:</w:t>
      </w:r>
    </w:p>
    <w:p w:rsidR="008D0723" w:rsidRDefault="008D0723" w:rsidP="008D0723">
      <w:pPr>
        <w:pStyle w:val="SingleTxtG"/>
        <w:tabs>
          <w:tab w:val="left" w:pos="2268"/>
        </w:tabs>
        <w:rPr>
          <w:lang w:val="fr-FR"/>
        </w:rPr>
      </w:pPr>
      <w:r>
        <w:rPr>
          <w:lang w:val="fr-FR"/>
        </w:rPr>
        <w:t>«3151</w:t>
      </w:r>
      <w:r>
        <w:rPr>
          <w:lang w:val="fr-FR"/>
        </w:rPr>
        <w:tab/>
      </w:r>
      <w:r w:rsidRPr="005870B0">
        <w:t>MONOMÉTHYLD</w:t>
      </w:r>
      <w:r>
        <w:t>I</w:t>
      </w:r>
      <w:r w:rsidRPr="005870B0">
        <w:t xml:space="preserve">PHÉNYLMÉTHANES HALOGÉNÉS </w:t>
      </w:r>
      <w:r w:rsidRPr="005870B0">
        <w:rPr>
          <w:lang w:val="fr-FR"/>
        </w:rPr>
        <w:t>LIQUIDES</w:t>
      </w:r>
      <w:r>
        <w:rPr>
          <w:lang w:val="fr-FR"/>
        </w:rPr>
        <w:t xml:space="preserve"> </w:t>
      </w:r>
      <w:r w:rsidRPr="005870B0">
        <w:rPr>
          <w:lang w:val="fr-FR"/>
        </w:rPr>
        <w:t>ou</w:t>
      </w:r>
      <w:r>
        <w:rPr>
          <w:lang w:val="fr-FR"/>
        </w:rPr>
        <w:t>».</w:t>
      </w:r>
    </w:p>
    <w:p w:rsidR="008D0723" w:rsidRDefault="008D0723" w:rsidP="008D0723">
      <w:pPr>
        <w:pStyle w:val="SingleTxtG"/>
        <w:tabs>
          <w:tab w:val="left" w:pos="2268"/>
        </w:tabs>
        <w:rPr>
          <w:lang w:val="fr-FR"/>
        </w:rPr>
      </w:pPr>
      <w:r>
        <w:rPr>
          <w:lang w:val="fr-FR"/>
        </w:rPr>
        <w:t>Après «</w:t>
      </w:r>
      <w:r w:rsidRPr="005870B0">
        <w:rPr>
          <w:lang w:val="fr-FR"/>
        </w:rPr>
        <w:t>315</w:t>
      </w:r>
      <w:r>
        <w:rPr>
          <w:lang w:val="fr-FR"/>
        </w:rPr>
        <w:t>2</w:t>
      </w:r>
      <w:r w:rsidRPr="005870B0">
        <w:rPr>
          <w:lang w:val="fr-FR"/>
        </w:rPr>
        <w:t xml:space="preserve"> DIPHÉNYLS POLYHALOGÉNÉS SOLIDES ou</w:t>
      </w:r>
      <w:r>
        <w:rPr>
          <w:lang w:val="fr-FR"/>
        </w:rPr>
        <w:t>» ajouter une nouvelle ligne pour lire:</w:t>
      </w:r>
    </w:p>
    <w:p w:rsidR="008D0723" w:rsidRDefault="008D0723" w:rsidP="008D0723">
      <w:pPr>
        <w:pStyle w:val="SingleTxtG"/>
        <w:tabs>
          <w:tab w:val="left" w:pos="2268"/>
        </w:tabs>
        <w:rPr>
          <w:lang w:val="fr-FR"/>
        </w:rPr>
      </w:pPr>
      <w:r>
        <w:rPr>
          <w:lang w:val="fr-FR"/>
        </w:rPr>
        <w:t>«3152</w:t>
      </w:r>
      <w:r>
        <w:rPr>
          <w:lang w:val="fr-FR"/>
        </w:rPr>
        <w:tab/>
      </w:r>
      <w:r w:rsidRPr="005870B0">
        <w:t>MONOMÉTHYLD</w:t>
      </w:r>
      <w:r>
        <w:t>I</w:t>
      </w:r>
      <w:r w:rsidRPr="005870B0">
        <w:t xml:space="preserve">PHÉNYLMÉTHANES HALOGÉNÉS </w:t>
      </w:r>
      <w:r w:rsidRPr="005870B0">
        <w:rPr>
          <w:lang w:val="fr-FR"/>
        </w:rPr>
        <w:t>SOLIDES ou</w:t>
      </w:r>
      <w:r>
        <w:rPr>
          <w:lang w:val="fr-FR"/>
        </w:rPr>
        <w:t>».</w:t>
      </w:r>
    </w:p>
    <w:p w:rsidR="002041A8" w:rsidRDefault="002041A8" w:rsidP="008D0723">
      <w:pPr>
        <w:pStyle w:val="SingleTxtG"/>
        <w:tabs>
          <w:tab w:val="left" w:pos="2268"/>
        </w:tabs>
        <w:rPr>
          <w:i/>
          <w:lang w:val="fr-FR"/>
        </w:rPr>
      </w:pPr>
      <w:r>
        <w:rPr>
          <w:i/>
          <w:lang w:val="fr-FR"/>
        </w:rPr>
        <w:t>Amendements de conséquence:</w:t>
      </w:r>
    </w:p>
    <w:p w:rsidR="00E96338" w:rsidRDefault="00E96338" w:rsidP="00BA0ABA">
      <w:pPr>
        <w:pStyle w:val="SingleTxtG"/>
        <w:tabs>
          <w:tab w:val="left" w:pos="2268"/>
        </w:tabs>
        <w:ind w:left="1701"/>
        <w:rPr>
          <w:lang w:val="fr-FR"/>
        </w:rPr>
      </w:pPr>
      <w:r w:rsidRPr="00485288">
        <w:t>2.2.9.3</w:t>
      </w:r>
      <w:r>
        <w:tab/>
      </w:r>
      <w:r>
        <w:tab/>
      </w:r>
      <w:r w:rsidRPr="00485288">
        <w:tab/>
      </w:r>
      <w:r>
        <w:t>Dans le titre de la branche M2, r</w:t>
      </w:r>
      <w:proofErr w:type="spellStart"/>
      <w:r w:rsidRPr="00485288">
        <w:rPr>
          <w:lang w:val="fr-FR"/>
        </w:rPr>
        <w:t>emplacer</w:t>
      </w:r>
      <w:proofErr w:type="spellEnd"/>
      <w:r w:rsidRPr="00485288">
        <w:rPr>
          <w:lang w:val="fr-FR"/>
        </w:rPr>
        <w:t xml:space="preserve"> «</w:t>
      </w:r>
      <w:r w:rsidRPr="00485288">
        <w:rPr>
          <w:bCs/>
          <w:iCs/>
          <w:lang w:val="fr-FR"/>
        </w:rPr>
        <w:t>appareil</w:t>
      </w:r>
      <w:r w:rsidRPr="00485288">
        <w:rPr>
          <w:lang w:val="fr-FR"/>
        </w:rPr>
        <w:t>» par «</w:t>
      </w:r>
      <w:r w:rsidRPr="00485288">
        <w:rPr>
          <w:bCs/>
          <w:iCs/>
          <w:lang w:val="fr-FR"/>
        </w:rPr>
        <w:t>objets</w:t>
      </w:r>
      <w:r w:rsidRPr="00485288">
        <w:rPr>
          <w:lang w:val="fr-FR"/>
        </w:rPr>
        <w:t>».</w:t>
      </w:r>
    </w:p>
    <w:p w:rsidR="002041A8" w:rsidRDefault="002041A8" w:rsidP="00BA0ABA">
      <w:pPr>
        <w:pStyle w:val="SingleTxtG"/>
        <w:tabs>
          <w:tab w:val="left" w:pos="2268"/>
        </w:tabs>
        <w:ind w:left="1701"/>
        <w:rPr>
          <w:lang w:val="fr-FR"/>
        </w:rPr>
      </w:pPr>
      <w:r w:rsidRPr="004357DE">
        <w:rPr>
          <w:lang w:val="fr-FR"/>
        </w:rPr>
        <w:t>2.1.3.4.2</w:t>
      </w:r>
      <w:r>
        <w:rPr>
          <w:lang w:val="fr-FR"/>
        </w:rPr>
        <w:tab/>
        <w:t xml:space="preserve">Après «No ONU </w:t>
      </w:r>
      <w:r w:rsidRPr="005870B0">
        <w:rPr>
          <w:lang w:val="fr-FR"/>
        </w:rPr>
        <w:t>3151 DIPHÉNYL</w:t>
      </w:r>
      <w:r>
        <w:rPr>
          <w:lang w:val="fr-FR"/>
        </w:rPr>
        <w:t>E</w:t>
      </w:r>
      <w:r w:rsidRPr="005870B0">
        <w:rPr>
          <w:lang w:val="fr-FR"/>
        </w:rPr>
        <w:t>S POLYHALOGÉNÉS</w:t>
      </w:r>
      <w:r>
        <w:rPr>
          <w:lang w:val="fr-FR"/>
        </w:rPr>
        <w:t xml:space="preserve"> </w:t>
      </w:r>
      <w:r w:rsidRPr="005870B0">
        <w:rPr>
          <w:lang w:val="fr-FR"/>
        </w:rPr>
        <w:t>LIQUIDES</w:t>
      </w:r>
      <w:r>
        <w:rPr>
          <w:lang w:val="fr-FR"/>
        </w:rPr>
        <w:t>;» ajouter une nouvelle ligne pour lire:</w:t>
      </w:r>
    </w:p>
    <w:p w:rsidR="002041A8" w:rsidRDefault="002041A8" w:rsidP="00BA0ABA">
      <w:pPr>
        <w:pStyle w:val="SingleTxtG"/>
        <w:tabs>
          <w:tab w:val="left" w:pos="2268"/>
        </w:tabs>
        <w:ind w:left="1701"/>
        <w:rPr>
          <w:lang w:val="fr-FR"/>
        </w:rPr>
      </w:pPr>
      <w:r>
        <w:rPr>
          <w:lang w:val="fr-FR"/>
        </w:rPr>
        <w:t>«</w:t>
      </w:r>
      <w:proofErr w:type="spellStart"/>
      <w:r>
        <w:rPr>
          <w:lang w:val="fr-FR"/>
        </w:rPr>
        <w:t>No</w:t>
      </w:r>
      <w:proofErr w:type="spellEnd"/>
      <w:r>
        <w:rPr>
          <w:lang w:val="fr-FR"/>
        </w:rPr>
        <w:t xml:space="preserve"> ONU 3151</w:t>
      </w:r>
      <w:r>
        <w:rPr>
          <w:lang w:val="fr-FR"/>
        </w:rPr>
        <w:tab/>
      </w:r>
      <w:r w:rsidRPr="005870B0">
        <w:t>MONOMÉTHYLD</w:t>
      </w:r>
      <w:r>
        <w:t>I</w:t>
      </w:r>
      <w:r w:rsidRPr="005870B0">
        <w:t xml:space="preserve">PHÉNYLMÉTHANES HALOGÉNÉS </w:t>
      </w:r>
      <w:r w:rsidRPr="005870B0">
        <w:rPr>
          <w:lang w:val="fr-FR"/>
        </w:rPr>
        <w:t>LIQUIDES</w:t>
      </w:r>
      <w:r>
        <w:rPr>
          <w:lang w:val="fr-FR"/>
        </w:rPr>
        <w:t>;».</w:t>
      </w:r>
    </w:p>
    <w:p w:rsidR="002041A8" w:rsidRDefault="002041A8" w:rsidP="00BA0ABA">
      <w:pPr>
        <w:pStyle w:val="SingleTxtG"/>
        <w:tabs>
          <w:tab w:val="left" w:pos="2268"/>
        </w:tabs>
        <w:ind w:left="1701"/>
        <w:rPr>
          <w:lang w:val="fr-FR"/>
        </w:rPr>
      </w:pPr>
      <w:r>
        <w:rPr>
          <w:lang w:val="fr-FR"/>
        </w:rPr>
        <w:t xml:space="preserve">Après «No ONU </w:t>
      </w:r>
      <w:r w:rsidRPr="005870B0">
        <w:rPr>
          <w:lang w:val="fr-FR"/>
        </w:rPr>
        <w:t>315</w:t>
      </w:r>
      <w:r>
        <w:rPr>
          <w:lang w:val="fr-FR"/>
        </w:rPr>
        <w:t>2</w:t>
      </w:r>
      <w:r w:rsidRPr="005870B0">
        <w:rPr>
          <w:lang w:val="fr-FR"/>
        </w:rPr>
        <w:t xml:space="preserve"> DIPHÉNYLS POLYHALOGÉNÉS SOLIDES</w:t>
      </w:r>
      <w:r>
        <w:rPr>
          <w:lang w:val="fr-FR"/>
        </w:rPr>
        <w:t>;» ajouter une nouvelle ligne pour lire:</w:t>
      </w:r>
    </w:p>
    <w:p w:rsidR="002041A8" w:rsidRDefault="002041A8" w:rsidP="00BA0ABA">
      <w:pPr>
        <w:pStyle w:val="SingleTxtG"/>
        <w:tabs>
          <w:tab w:val="left" w:pos="2268"/>
        </w:tabs>
        <w:ind w:left="1701"/>
        <w:rPr>
          <w:lang w:val="fr-FR"/>
        </w:rPr>
      </w:pPr>
      <w:r>
        <w:rPr>
          <w:lang w:val="fr-FR"/>
        </w:rPr>
        <w:t>«</w:t>
      </w:r>
      <w:proofErr w:type="spellStart"/>
      <w:r>
        <w:rPr>
          <w:lang w:val="fr-FR"/>
        </w:rPr>
        <w:t>No</w:t>
      </w:r>
      <w:proofErr w:type="spellEnd"/>
      <w:r>
        <w:rPr>
          <w:lang w:val="fr-FR"/>
        </w:rPr>
        <w:t xml:space="preserve"> ONU 3152</w:t>
      </w:r>
      <w:r>
        <w:rPr>
          <w:lang w:val="fr-FR"/>
        </w:rPr>
        <w:tab/>
      </w:r>
      <w:r w:rsidRPr="005870B0">
        <w:t>MONOMÉTHYLD</w:t>
      </w:r>
      <w:r>
        <w:t>I</w:t>
      </w:r>
      <w:r w:rsidRPr="005870B0">
        <w:t xml:space="preserve">PHÉNYLMÉTHANES HALOGÉNÉS </w:t>
      </w:r>
      <w:r w:rsidRPr="005870B0">
        <w:rPr>
          <w:lang w:val="fr-FR"/>
        </w:rPr>
        <w:t>SOLIDES</w:t>
      </w:r>
      <w:r w:rsidR="00871051">
        <w:rPr>
          <w:lang w:val="fr-FR"/>
        </w:rPr>
        <w:t>;</w:t>
      </w:r>
      <w:r>
        <w:rPr>
          <w:lang w:val="fr-FR"/>
        </w:rPr>
        <w:t>».</w:t>
      </w:r>
    </w:p>
    <w:p w:rsidR="002041A8" w:rsidRPr="002041A8" w:rsidRDefault="00BA0ABA" w:rsidP="00BA0ABA">
      <w:pPr>
        <w:pStyle w:val="SingleTxtG"/>
        <w:tabs>
          <w:tab w:val="left" w:pos="2268"/>
        </w:tabs>
        <w:ind w:left="1701"/>
        <w:rPr>
          <w:lang w:val="fr-FR"/>
        </w:rPr>
      </w:pPr>
      <w:r>
        <w:rPr>
          <w:lang w:val="fr-FR"/>
        </w:rPr>
        <w:t>Chapitre 3.3, disposition spéciale 663</w:t>
      </w:r>
      <w:r>
        <w:rPr>
          <w:lang w:val="fr-FR"/>
        </w:rPr>
        <w:tab/>
        <w:t xml:space="preserve">Sous «Domaine d’application», dans le dernier tiret, après «de </w:t>
      </w:r>
      <w:r>
        <w:rPr>
          <w:rFonts w:ascii="TimesNewRomanPSMT" w:hAnsi="TimesNewRomanPSMT" w:cs="TimesNewRomanPSMT"/>
          <w:lang w:val="fr-FR" w:eastAsia="fr-FR"/>
        </w:rPr>
        <w:t xml:space="preserve">diphényles </w:t>
      </w:r>
      <w:proofErr w:type="spellStart"/>
      <w:r>
        <w:rPr>
          <w:rFonts w:ascii="TimesNewRomanPSMT" w:hAnsi="TimesNewRomanPSMT" w:cs="TimesNewRomanPSMT"/>
          <w:lang w:val="fr-FR" w:eastAsia="fr-FR"/>
        </w:rPr>
        <w:t>polyhalogénés</w:t>
      </w:r>
      <w:proofErr w:type="spellEnd"/>
      <w:r>
        <w:rPr>
          <w:rFonts w:ascii="TimesNewRomanPSMT" w:hAnsi="TimesNewRomanPSMT" w:cs="TimesNewRomanPSMT"/>
          <w:lang w:val="fr-FR" w:eastAsia="fr-FR"/>
        </w:rPr>
        <w:t>» ajouter «</w:t>
      </w:r>
      <w:r w:rsidR="00700CF9">
        <w:rPr>
          <w:rFonts w:ascii="TimesNewRomanPSMT" w:hAnsi="TimesNewRomanPSMT" w:cs="TimesNewRomanPSMT"/>
          <w:lang w:val="fr-FR" w:eastAsia="fr-FR"/>
        </w:rPr>
        <w:t xml:space="preserve">, </w:t>
      </w:r>
      <w:r>
        <w:rPr>
          <w:rFonts w:ascii="TimesNewRomanPSMT" w:hAnsi="TimesNewRomanPSMT" w:cs="TimesNewRomanPSMT"/>
          <w:lang w:val="fr-FR" w:eastAsia="fr-FR"/>
        </w:rPr>
        <w:t xml:space="preserve">de </w:t>
      </w:r>
      <w:proofErr w:type="spellStart"/>
      <w:r w:rsidRPr="005870B0">
        <w:t>monométhyld</w:t>
      </w:r>
      <w:r>
        <w:t>i</w:t>
      </w:r>
      <w:r w:rsidRPr="005870B0">
        <w:t>phénylméthanes</w:t>
      </w:r>
      <w:proofErr w:type="spellEnd"/>
      <w:r w:rsidRPr="005870B0">
        <w:t xml:space="preserve"> halogénés</w:t>
      </w:r>
      <w:r>
        <w:rPr>
          <w:rFonts w:ascii="TimesNewRomanPSMT" w:hAnsi="TimesNewRomanPSMT" w:cs="TimesNewRomanPSMT"/>
          <w:lang w:val="fr-FR" w:eastAsia="fr-FR"/>
        </w:rPr>
        <w:t>»</w:t>
      </w:r>
      <w:r w:rsidR="00700CF9">
        <w:rPr>
          <w:rFonts w:ascii="TimesNewRomanPSMT" w:hAnsi="TimesNewRomanPSMT" w:cs="TimesNewRomanPSMT"/>
          <w:lang w:val="fr-FR" w:eastAsia="fr-FR"/>
        </w:rPr>
        <w:t>.</w:t>
      </w:r>
    </w:p>
    <w:p w:rsidR="00D428F9" w:rsidRPr="00E16DCF" w:rsidRDefault="00D428F9" w:rsidP="00D428F9">
      <w:pPr>
        <w:pStyle w:val="H1G"/>
        <w:rPr>
          <w:lang w:val="fr-FR"/>
        </w:rPr>
      </w:pPr>
      <w:r w:rsidRPr="00E16DCF">
        <w:rPr>
          <w:lang w:val="fr-FR"/>
        </w:rPr>
        <w:tab/>
      </w:r>
      <w:r w:rsidRPr="00E16DCF">
        <w:rPr>
          <w:lang w:val="fr-FR"/>
        </w:rPr>
        <w:tab/>
        <w:t xml:space="preserve">Chapitre </w:t>
      </w:r>
      <w:r>
        <w:rPr>
          <w:lang w:val="fr-FR"/>
        </w:rPr>
        <w:t>3.1</w:t>
      </w:r>
    </w:p>
    <w:p w:rsidR="00D428F9" w:rsidRDefault="00D428F9" w:rsidP="00D428F9">
      <w:pPr>
        <w:pStyle w:val="SingleTxtG"/>
        <w:rPr>
          <w:iCs/>
          <w:lang w:val="fr-FR"/>
        </w:rPr>
      </w:pPr>
      <w:r>
        <w:rPr>
          <w:iCs/>
          <w:lang w:val="fr-FR"/>
        </w:rPr>
        <w:t>3.1.2.2 et 3.1.2.3</w:t>
      </w:r>
      <w:r>
        <w:rPr>
          <w:iCs/>
          <w:lang w:val="fr-FR"/>
        </w:rPr>
        <w:tab/>
      </w:r>
      <w:r w:rsidR="001F3CC1">
        <w:rPr>
          <w:lang w:val="fr-FR"/>
        </w:rPr>
        <w:t xml:space="preserve">L’amendement </w:t>
      </w:r>
      <w:r w:rsidR="001F3CC1">
        <w:t>ne s’applique pas au texte français.</w:t>
      </w:r>
    </w:p>
    <w:p w:rsidR="00D428F9" w:rsidRDefault="00D428F9" w:rsidP="00D428F9">
      <w:pPr>
        <w:pStyle w:val="SingleTxtG"/>
        <w:tabs>
          <w:tab w:val="left" w:pos="2268"/>
        </w:tabs>
        <w:rPr>
          <w:iCs/>
          <w:lang w:val="fr-FR"/>
        </w:rPr>
      </w:pPr>
      <w:r>
        <w:rPr>
          <w:iCs/>
          <w:lang w:val="fr-FR"/>
        </w:rPr>
        <w:t>3.1.2.6</w:t>
      </w:r>
      <w:r>
        <w:rPr>
          <w:iCs/>
          <w:lang w:val="fr-FR"/>
        </w:rPr>
        <w:tab/>
      </w:r>
      <w:r>
        <w:rPr>
          <w:iCs/>
          <w:lang w:val="fr-FR"/>
        </w:rPr>
        <w:tab/>
        <w:t>Dans la dernière phrase, avant les alinéas, après «</w:t>
      </w:r>
      <w:r w:rsidRPr="006B1B97">
        <w:rPr>
          <w:iCs/>
          <w:lang w:val="fr-FR"/>
        </w:rPr>
        <w:t>de toute surpression dangereuse</w:t>
      </w:r>
      <w:r>
        <w:rPr>
          <w:iCs/>
          <w:lang w:val="fr-FR"/>
        </w:rPr>
        <w:t xml:space="preserve">» ajouter «ou l’évolution d’une température excessive, ou lorsque </w:t>
      </w:r>
      <w:r w:rsidRPr="006B1B97">
        <w:rPr>
          <w:iCs/>
          <w:lang w:val="fr-FR"/>
        </w:rPr>
        <w:t>l'on a recours</w:t>
      </w:r>
      <w:r>
        <w:rPr>
          <w:iCs/>
          <w:lang w:val="fr-FR"/>
        </w:rPr>
        <w:t xml:space="preserve"> à la stabilisation chimique en combinaison avec la </w:t>
      </w:r>
      <w:r w:rsidRPr="006B1B97">
        <w:rPr>
          <w:iCs/>
          <w:lang w:val="fr-FR"/>
        </w:rPr>
        <w:t>régulation de température</w:t>
      </w:r>
      <w:r>
        <w:rPr>
          <w:iCs/>
          <w:lang w:val="fr-FR"/>
        </w:rPr>
        <w:t xml:space="preserve">». </w:t>
      </w:r>
    </w:p>
    <w:p w:rsidR="005367EB" w:rsidRDefault="005367EB" w:rsidP="005367EB">
      <w:pPr>
        <w:pStyle w:val="SingleTxtG"/>
        <w:tabs>
          <w:tab w:val="left" w:pos="2268"/>
        </w:tabs>
        <w:rPr>
          <w:iCs/>
          <w:lang w:val="fr-FR"/>
        </w:rPr>
      </w:pPr>
      <w:r>
        <w:rPr>
          <w:iCs/>
          <w:lang w:val="fr-FR"/>
        </w:rPr>
        <w:t xml:space="preserve">3.1.2.6 a) </w:t>
      </w:r>
      <w:r>
        <w:rPr>
          <w:iCs/>
          <w:lang w:val="fr-FR"/>
        </w:rPr>
        <w:tab/>
        <w:t>Modifier pour lire comme suit:</w:t>
      </w:r>
    </w:p>
    <w:p w:rsidR="005367EB" w:rsidRDefault="005367EB" w:rsidP="003F20D4">
      <w:pPr>
        <w:pStyle w:val="SingleTxtG"/>
        <w:rPr>
          <w:iCs/>
          <w:lang w:val="fr-FR"/>
        </w:rPr>
      </w:pPr>
      <w:r>
        <w:rPr>
          <w:iCs/>
          <w:lang w:val="fr-FR"/>
        </w:rPr>
        <w:t>«</w:t>
      </w:r>
      <w:r w:rsidRPr="006B1B97">
        <w:rPr>
          <w:iCs/>
          <w:lang w:val="fr-FR"/>
        </w:rPr>
        <w:t>a)</w:t>
      </w:r>
      <w:r w:rsidR="003540B3">
        <w:rPr>
          <w:iCs/>
          <w:lang w:val="fr-FR"/>
        </w:rPr>
        <w:tab/>
      </w:r>
      <w:r w:rsidRPr="006B1B97">
        <w:rPr>
          <w:iCs/>
          <w:lang w:val="fr-FR"/>
        </w:rPr>
        <w:t>Pour les liquides</w:t>
      </w:r>
      <w:r>
        <w:rPr>
          <w:iCs/>
          <w:lang w:val="fr-FR"/>
        </w:rPr>
        <w:t xml:space="preserve"> et les solides lorsque la TPAA</w:t>
      </w:r>
      <w:r w:rsidR="00970F62">
        <w:rPr>
          <w:iCs/>
          <w:vertAlign w:val="superscript"/>
        </w:rPr>
        <w:t>1</w:t>
      </w:r>
      <w:r>
        <w:rPr>
          <w:iCs/>
          <w:lang w:val="fr-FR"/>
        </w:rPr>
        <w:t xml:space="preserve"> (mesurée avec ou sans inhibiteur, lorsque la </w:t>
      </w:r>
      <w:r w:rsidRPr="0017734B">
        <w:rPr>
          <w:iCs/>
          <w:lang w:val="fr-FR"/>
        </w:rPr>
        <w:t xml:space="preserve">stabilisation chimique est appliquée) est inférieure ou égale à celle prescrite au </w:t>
      </w:r>
      <w:r w:rsidR="00970F62">
        <w:rPr>
          <w:iCs/>
          <w:lang w:val="fr-FR"/>
        </w:rPr>
        <w:t>2.2.41.1.21</w:t>
      </w:r>
      <w:r w:rsidRPr="0017734B">
        <w:rPr>
          <w:iCs/>
          <w:lang w:val="fr-FR"/>
        </w:rPr>
        <w:t xml:space="preserve">, </w:t>
      </w:r>
      <w:r w:rsidR="00970F62">
        <w:rPr>
          <w:iCs/>
          <w:lang w:val="fr-FR"/>
        </w:rPr>
        <w:t xml:space="preserve">les </w:t>
      </w:r>
      <w:r w:rsidR="00970F62" w:rsidRPr="004357DE">
        <w:t>dispositions</w:t>
      </w:r>
      <w:r w:rsidR="00970F62">
        <w:rPr>
          <w:iCs/>
          <w:lang w:val="fr-FR"/>
        </w:rPr>
        <w:t xml:space="preserve"> du </w:t>
      </w:r>
      <w:r w:rsidR="00970F62">
        <w:t>2.2.41.1.17, la disposition spéciale 386 du chapitre 3.3, la disposition spéciale V8 du chapitre 7.2, la disposition spéciale S4 du chapitre 8.5 et les prescriptions du chapitre 9.6 s’appliquent sauf</w:t>
      </w:r>
      <w:r w:rsidR="00970F62" w:rsidRPr="000C748A">
        <w:t xml:space="preserve"> que l’emploi du terme TDAA, </w:t>
      </w:r>
      <w:r w:rsidR="00970F62">
        <w:t>dans</w:t>
      </w:r>
      <w:r w:rsidR="00970F62" w:rsidRPr="000C748A">
        <w:t xml:space="preserve"> ces paragraphes, englobe aussi la</w:t>
      </w:r>
      <w:r w:rsidR="00970F62">
        <w:t> </w:t>
      </w:r>
      <w:r w:rsidR="00970F62" w:rsidRPr="000C748A">
        <w:t>TPAA lorsque la matière en cause</w:t>
      </w:r>
      <w:r w:rsidR="00970F62">
        <w:t xml:space="preserve"> est susceptible de polymériser</w:t>
      </w:r>
      <w:r w:rsidRPr="0017734B">
        <w:rPr>
          <w:iCs/>
          <w:lang w:val="fr-FR"/>
        </w:rPr>
        <w:t>;».</w:t>
      </w:r>
    </w:p>
    <w:p w:rsidR="00B3131C" w:rsidRDefault="00970F62" w:rsidP="00B3131C">
      <w:pPr>
        <w:pStyle w:val="SingleTxtG"/>
        <w:tabs>
          <w:tab w:val="left" w:pos="2268"/>
        </w:tabs>
        <w:rPr>
          <w:iCs/>
        </w:rPr>
      </w:pPr>
      <w:r>
        <w:rPr>
          <w:iCs/>
        </w:rPr>
        <w:lastRenderedPageBreak/>
        <w:t>La n</w:t>
      </w:r>
      <w:r w:rsidRPr="00E671CC">
        <w:rPr>
          <w:iCs/>
        </w:rPr>
        <w:t>ote de bas de page</w:t>
      </w:r>
      <w:r>
        <w:rPr>
          <w:iCs/>
        </w:rPr>
        <w:t xml:space="preserve"> </w:t>
      </w:r>
      <w:r>
        <w:rPr>
          <w:iCs/>
          <w:vertAlign w:val="superscript"/>
        </w:rPr>
        <w:t>1</w:t>
      </w:r>
      <w:r>
        <w:rPr>
          <w:iCs/>
        </w:rPr>
        <w:t xml:space="preserve"> se lit comme suit</w:t>
      </w:r>
      <w:r w:rsidRPr="00E671CC">
        <w:rPr>
          <w:iCs/>
        </w:rPr>
        <w:t>:</w:t>
      </w:r>
      <w:r w:rsidR="00D52A86">
        <w:rPr>
          <w:iCs/>
        </w:rPr>
        <w:t xml:space="preserve"> «</w:t>
      </w:r>
      <w:r w:rsidR="00D52A86">
        <w:rPr>
          <w:iCs/>
          <w:vertAlign w:val="superscript"/>
        </w:rPr>
        <w:t xml:space="preserve">1 </w:t>
      </w:r>
      <w:r w:rsidR="00D52A86" w:rsidRPr="00B3131C">
        <w:rPr>
          <w:i/>
          <w:iCs/>
        </w:rPr>
        <w:t>Pour la définition de Température de polymérisation auto-accélérée (TPAA), voir 1.2.1.</w:t>
      </w:r>
      <w:r w:rsidR="00D52A86">
        <w:rPr>
          <w:iCs/>
        </w:rPr>
        <w:t>».</w:t>
      </w:r>
    </w:p>
    <w:p w:rsidR="008F60FF" w:rsidRPr="00B3131C" w:rsidRDefault="008F60FF" w:rsidP="008F60FF">
      <w:pPr>
        <w:pStyle w:val="SingleTxtG"/>
        <w:tabs>
          <w:tab w:val="left" w:pos="2268"/>
        </w:tabs>
        <w:rPr>
          <w:i/>
          <w:iCs/>
        </w:rPr>
      </w:pPr>
      <w:r w:rsidRPr="00B3131C">
        <w:rPr>
          <w:i/>
          <w:iCs/>
        </w:rPr>
        <w:t>Amendements de conséquence:</w:t>
      </w:r>
    </w:p>
    <w:p w:rsidR="008F60FF" w:rsidRDefault="008F60FF" w:rsidP="008F60FF">
      <w:pPr>
        <w:pStyle w:val="SingleTxtG"/>
        <w:tabs>
          <w:tab w:val="left" w:pos="2268"/>
        </w:tabs>
        <w:ind w:left="1701"/>
        <w:rPr>
          <w:iCs/>
        </w:rPr>
      </w:pPr>
      <w:r>
        <w:rPr>
          <w:iCs/>
        </w:rPr>
        <w:t xml:space="preserve">5.4.1.2.3 </w:t>
      </w:r>
      <w:r>
        <w:rPr>
          <w:iCs/>
        </w:rPr>
        <w:tab/>
        <w:t>Dans le titre, après «</w:t>
      </w:r>
      <w:r w:rsidRPr="00545F2F">
        <w:rPr>
          <w:iCs/>
        </w:rPr>
        <w:t xml:space="preserve">aux matières </w:t>
      </w:r>
      <w:proofErr w:type="spellStart"/>
      <w:r w:rsidRPr="00545F2F">
        <w:rPr>
          <w:iCs/>
        </w:rPr>
        <w:t>autoréactives</w:t>
      </w:r>
      <w:proofErr w:type="spellEnd"/>
      <w:r>
        <w:rPr>
          <w:iCs/>
        </w:rPr>
        <w:t>» ajouter «et aux matières qui polymérisent».</w:t>
      </w:r>
    </w:p>
    <w:p w:rsidR="008F60FF" w:rsidRDefault="008F60FF" w:rsidP="008F60FF">
      <w:pPr>
        <w:pStyle w:val="SingleTxtG"/>
        <w:tabs>
          <w:tab w:val="left" w:pos="2268"/>
        </w:tabs>
        <w:ind w:left="1701"/>
        <w:rPr>
          <w:lang w:val="fr-FR" w:eastAsia="fr-FR"/>
        </w:rPr>
      </w:pPr>
      <w:r>
        <w:rPr>
          <w:iCs/>
        </w:rPr>
        <w:t>5.4.1.2.3.1</w:t>
      </w:r>
      <w:r>
        <w:rPr>
          <w:iCs/>
        </w:rPr>
        <w:tab/>
        <w:t>Au début, après «</w:t>
      </w:r>
      <w:r>
        <w:rPr>
          <w:lang w:val="fr-FR" w:eastAsia="fr-FR"/>
        </w:rPr>
        <w:t xml:space="preserve">Pour les matières </w:t>
      </w:r>
      <w:proofErr w:type="spellStart"/>
      <w:r>
        <w:rPr>
          <w:lang w:val="fr-FR" w:eastAsia="fr-FR"/>
        </w:rPr>
        <w:t>autoréactives</w:t>
      </w:r>
      <w:proofErr w:type="spellEnd"/>
      <w:r>
        <w:rPr>
          <w:lang w:val="fr-FR" w:eastAsia="fr-FR"/>
        </w:rPr>
        <w:t>» ajouter «</w:t>
      </w:r>
      <w:r>
        <w:rPr>
          <w:iCs/>
        </w:rPr>
        <w:t>et les matières qui polymérisent</w:t>
      </w:r>
      <w:r>
        <w:rPr>
          <w:lang w:val="fr-FR" w:eastAsia="fr-FR"/>
        </w:rPr>
        <w:t>». Dans le texte entre parenthèses, après «2.2.41.1.17;» ajouter «</w:t>
      </w:r>
      <w:r>
        <w:rPr>
          <w:iCs/>
        </w:rPr>
        <w:t>pour les matières qui polymérisent, voir 2.2.41.1.21;</w:t>
      </w:r>
      <w:r>
        <w:rPr>
          <w:lang w:val="fr-FR" w:eastAsia="fr-FR"/>
        </w:rPr>
        <w:t>».</w:t>
      </w:r>
    </w:p>
    <w:p w:rsidR="00372345" w:rsidRDefault="00372345" w:rsidP="00372345">
      <w:pPr>
        <w:pStyle w:val="H1G"/>
        <w:rPr>
          <w:lang w:val="fr-FR"/>
        </w:rPr>
      </w:pPr>
      <w:r>
        <w:rPr>
          <w:lang w:val="fr-FR"/>
        </w:rPr>
        <w:tab/>
      </w:r>
      <w:r>
        <w:rPr>
          <w:lang w:val="fr-FR"/>
        </w:rPr>
        <w:tab/>
        <w:t xml:space="preserve">Chapitre 3.2, </w:t>
      </w:r>
      <w:r w:rsidR="0022098E">
        <w:rPr>
          <w:lang w:val="fr-FR"/>
        </w:rPr>
        <w:t>tableau A</w:t>
      </w:r>
    </w:p>
    <w:p w:rsidR="00780EAE" w:rsidRPr="00FB737F" w:rsidRDefault="00780EAE" w:rsidP="00780EAE">
      <w:pPr>
        <w:pStyle w:val="SingleTxtG"/>
        <w:rPr>
          <w:lang w:eastAsia="fr-FR"/>
        </w:rPr>
      </w:pPr>
      <w:r w:rsidRPr="00855A13">
        <w:t xml:space="preserve">Pour le No ONU </w:t>
      </w:r>
      <w:r w:rsidRPr="00FB737F">
        <w:t>0015</w:t>
      </w:r>
      <w:r>
        <w:t>, ajouter une nouvelle ligne avec les mêmes informations que celles figurant pour les autres rubriques du No ONU</w:t>
      </w:r>
      <w:r w:rsidRPr="00FB737F">
        <w:t xml:space="preserve"> 0015 </w:t>
      </w:r>
      <w:r>
        <w:t>sauf la désignation en colonne</w:t>
      </w:r>
      <w:r w:rsidRPr="00FB737F">
        <w:t xml:space="preserve"> (2) </w:t>
      </w:r>
      <w:r>
        <w:t>qui se lit «</w:t>
      </w:r>
      <w:r w:rsidRPr="00780EAE">
        <w:t>MUNITIONS FUMIGÈNES avec ou sans charge de dispersion, charge d'expulsion ou charge propulsive</w:t>
      </w:r>
      <w:r>
        <w:t>, contenant des matières toxiques par inhalation»</w:t>
      </w:r>
      <w:r w:rsidRPr="00FB737F">
        <w:t xml:space="preserve"> </w:t>
      </w:r>
      <w:r>
        <w:t xml:space="preserve">et les codes pour les étiquettes en colonne </w:t>
      </w:r>
      <w:r w:rsidRPr="00FB737F">
        <w:rPr>
          <w:lang w:eastAsia="fr-FR"/>
        </w:rPr>
        <w:t xml:space="preserve">(5) </w:t>
      </w:r>
      <w:r>
        <w:rPr>
          <w:lang w:eastAsia="fr-FR"/>
        </w:rPr>
        <w:t>qui se lisent «</w:t>
      </w:r>
      <w:r w:rsidRPr="00FB737F">
        <w:rPr>
          <w:lang w:eastAsia="fr-FR"/>
        </w:rPr>
        <w:t>1 +6.1</w:t>
      </w:r>
      <w:r>
        <w:rPr>
          <w:lang w:eastAsia="fr-FR"/>
        </w:rPr>
        <w:t>»</w:t>
      </w:r>
      <w:r w:rsidRPr="00FB737F">
        <w:rPr>
          <w:lang w:eastAsia="fr-FR"/>
        </w:rPr>
        <w:t>.</w:t>
      </w:r>
    </w:p>
    <w:p w:rsidR="00780EAE" w:rsidRPr="00FB737F" w:rsidRDefault="00780EAE" w:rsidP="00780EAE">
      <w:pPr>
        <w:pStyle w:val="SingleTxtG"/>
        <w:rPr>
          <w:lang w:eastAsia="fr-FR"/>
        </w:rPr>
      </w:pPr>
      <w:r w:rsidRPr="00855A13">
        <w:t xml:space="preserve">Pour le No ONU </w:t>
      </w:r>
      <w:r w:rsidRPr="00FB737F">
        <w:t>0016</w:t>
      </w:r>
      <w:r>
        <w:t xml:space="preserve">, </w:t>
      </w:r>
      <w:r w:rsidR="001C4BBB">
        <w:t>ajouter une nouvelle ligne avec les mêmes informations que celles figurant pour les autres rubriques du No ONU</w:t>
      </w:r>
      <w:r w:rsidRPr="00FB737F">
        <w:t xml:space="preserve"> 0016 </w:t>
      </w:r>
      <w:r w:rsidR="001C4BBB">
        <w:t>sauf la désignation en colonne</w:t>
      </w:r>
      <w:r w:rsidR="001C4BBB" w:rsidRPr="00FB737F">
        <w:t xml:space="preserve"> (2) </w:t>
      </w:r>
      <w:r w:rsidR="001C4BBB">
        <w:t>qui se lit</w:t>
      </w:r>
      <w:r w:rsidR="001C4BBB" w:rsidRPr="00FB737F">
        <w:t xml:space="preserve"> </w:t>
      </w:r>
      <w:r w:rsidR="001C4BBB">
        <w:t>«M</w:t>
      </w:r>
      <w:r w:rsidR="001C4BBB" w:rsidRPr="001C4BBB">
        <w:t>UNITIONS FUMIGÈNES avec ou sans charge de dispersion, charge d'expulsion ou charge propulsive</w:t>
      </w:r>
      <w:r w:rsidR="001C4BBB">
        <w:t xml:space="preserve">, contenant des matières toxiques par inhalation» et les codes pour les étiquettes en colonne </w:t>
      </w:r>
      <w:r w:rsidR="001C4BBB" w:rsidRPr="00FB737F">
        <w:rPr>
          <w:lang w:eastAsia="fr-FR"/>
        </w:rPr>
        <w:t xml:space="preserve">(5) </w:t>
      </w:r>
      <w:r w:rsidR="001C4BBB">
        <w:rPr>
          <w:lang w:eastAsia="fr-FR"/>
        </w:rPr>
        <w:t>qui se lisent «</w:t>
      </w:r>
      <w:r w:rsidR="001C4BBB" w:rsidRPr="00FB737F">
        <w:rPr>
          <w:lang w:eastAsia="fr-FR"/>
        </w:rPr>
        <w:t>1 +6.1</w:t>
      </w:r>
      <w:r w:rsidR="001C4BBB">
        <w:rPr>
          <w:lang w:eastAsia="fr-FR"/>
        </w:rPr>
        <w:t>»</w:t>
      </w:r>
      <w:r w:rsidR="001C4BBB" w:rsidRPr="00FB737F">
        <w:rPr>
          <w:lang w:eastAsia="fr-FR"/>
        </w:rPr>
        <w:t>.</w:t>
      </w:r>
    </w:p>
    <w:p w:rsidR="00780EAE" w:rsidRPr="00FB737F" w:rsidRDefault="00780EAE" w:rsidP="00780EAE">
      <w:pPr>
        <w:pStyle w:val="SingleTxtG"/>
      </w:pPr>
      <w:r w:rsidRPr="00855A13">
        <w:t xml:space="preserve">Pour le No ONU </w:t>
      </w:r>
      <w:r w:rsidRPr="00FB737F">
        <w:t>0303</w:t>
      </w:r>
      <w:r>
        <w:t>,</w:t>
      </w:r>
      <w:r w:rsidRPr="00FB737F">
        <w:t xml:space="preserve"> </w:t>
      </w:r>
      <w:r w:rsidR="001C4BBB">
        <w:t>ajouter une nouvelle ligne avec les mêmes informations que celles figurant pour les autres rubriques du No ONU</w:t>
      </w:r>
      <w:r w:rsidRPr="00FB737F">
        <w:t xml:space="preserve"> 0303 </w:t>
      </w:r>
      <w:r w:rsidR="001C4BBB">
        <w:t>sauf la désignation en colonne</w:t>
      </w:r>
      <w:r w:rsidR="001C4BBB" w:rsidRPr="00FB737F">
        <w:t xml:space="preserve"> (2) </w:t>
      </w:r>
      <w:r w:rsidR="001C4BBB">
        <w:t>qui se lit «</w:t>
      </w:r>
      <w:r w:rsidR="001C4BBB" w:rsidRPr="00780EAE">
        <w:t>MUNITIONS FUMIGÈNES avec ou sans charge de dispersion, charge d'expulsion ou charge propulsive</w:t>
      </w:r>
      <w:r w:rsidR="001C4BBB">
        <w:t>, contenant des matières toxiques par inhalation»</w:t>
      </w:r>
      <w:r w:rsidR="001C4BBB" w:rsidRPr="00FB737F">
        <w:t xml:space="preserve"> </w:t>
      </w:r>
      <w:r w:rsidR="001C4BBB">
        <w:t xml:space="preserve">et les codes pour les étiquettes en colonne </w:t>
      </w:r>
      <w:r w:rsidR="001C4BBB" w:rsidRPr="00FB737F">
        <w:rPr>
          <w:lang w:eastAsia="fr-FR"/>
        </w:rPr>
        <w:t xml:space="preserve">(5) </w:t>
      </w:r>
      <w:r w:rsidR="001C4BBB">
        <w:rPr>
          <w:lang w:eastAsia="fr-FR"/>
        </w:rPr>
        <w:t>qui se lisent «</w:t>
      </w:r>
      <w:r w:rsidRPr="00FB737F">
        <w:rPr>
          <w:lang w:eastAsia="fr-FR"/>
        </w:rPr>
        <w:t>1.4</w:t>
      </w:r>
      <w:r w:rsidR="001C4BBB">
        <w:rPr>
          <w:lang w:eastAsia="fr-FR"/>
        </w:rPr>
        <w:t xml:space="preserve"> +6.1»</w:t>
      </w:r>
      <w:r w:rsidRPr="00FB737F">
        <w:rPr>
          <w:lang w:eastAsia="fr-FR"/>
        </w:rPr>
        <w:t>.</w:t>
      </w:r>
    </w:p>
    <w:p w:rsidR="00372345" w:rsidRPr="00810CA8" w:rsidRDefault="00372345" w:rsidP="00372345">
      <w:pPr>
        <w:pStyle w:val="SingleTxtG"/>
        <w:rPr>
          <w:lang w:val="fr-FR"/>
        </w:rPr>
      </w:pPr>
      <w:r>
        <w:rPr>
          <w:lang w:val="fr-FR"/>
        </w:rPr>
        <w:t>Pour les Nos ONU 1005 et 3516</w:t>
      </w:r>
      <w:r>
        <w:rPr>
          <w:lang w:val="fr-FR"/>
        </w:rPr>
        <w:tab/>
        <w:t>Ajouter «379» en colonne (6).</w:t>
      </w:r>
    </w:p>
    <w:p w:rsidR="00372345" w:rsidRPr="00B24042" w:rsidRDefault="00372345" w:rsidP="00372345">
      <w:pPr>
        <w:pStyle w:val="SingleTxtG"/>
      </w:pPr>
      <w:r>
        <w:rPr>
          <w:lang w:val="fr-FR"/>
        </w:rPr>
        <w:t xml:space="preserve">Pour les </w:t>
      </w:r>
      <w:r w:rsidRPr="00B24042">
        <w:t>Nos ONU 1006, 1013, 1046, 1056, 1065, 1066, 1956, 2036</w:t>
      </w:r>
      <w:r w:rsidR="003F20D4">
        <w:t>, a</w:t>
      </w:r>
      <w:r>
        <w:t>jouter «378» en colonne (6).</w:t>
      </w:r>
    </w:p>
    <w:p w:rsidR="00372345" w:rsidRDefault="00372345" w:rsidP="00372345">
      <w:pPr>
        <w:pStyle w:val="SingleTxtG"/>
        <w:rPr>
          <w:iCs/>
          <w:lang w:val="fr-FR"/>
        </w:rPr>
      </w:pPr>
      <w:r w:rsidRPr="00BA480C">
        <w:rPr>
          <w:iCs/>
          <w:lang w:val="fr-FR"/>
        </w:rPr>
        <w:t xml:space="preserve">Pour les </w:t>
      </w:r>
      <w:r>
        <w:rPr>
          <w:iCs/>
          <w:lang w:val="fr-FR"/>
        </w:rPr>
        <w:t>Nos</w:t>
      </w:r>
      <w:r w:rsidRPr="00BA480C">
        <w:rPr>
          <w:iCs/>
          <w:lang w:val="fr-FR"/>
        </w:rPr>
        <w:t xml:space="preserve"> ONU</w:t>
      </w:r>
      <w:r>
        <w:rPr>
          <w:iCs/>
          <w:lang w:val="fr-FR"/>
        </w:rPr>
        <w:t xml:space="preserve"> </w:t>
      </w:r>
      <w:r w:rsidRPr="00C111E3">
        <w:rPr>
          <w:lang w:val="fr-FR"/>
        </w:rPr>
        <w:t xml:space="preserve">1010, 1051, 1060, 1081, 1082, 1085, 1086, 1087, 1092, 1093, 1143, </w:t>
      </w:r>
      <w:r>
        <w:rPr>
          <w:lang w:val="fr-FR"/>
        </w:rPr>
        <w:t xml:space="preserve">1167, </w:t>
      </w:r>
      <w:r w:rsidRPr="00C111E3">
        <w:rPr>
          <w:lang w:val="fr-FR"/>
        </w:rPr>
        <w:t xml:space="preserve">1185, 1218, 1246, 1247, 1251, 1301, 1302, 1303, 1304, 1545, 1589, 1614, 1724, 1829, 1860, 1917, 1919, 1921, 1991, 2055, 2200, 2218, 2227, 2251, 2277, 2283, 2383, 2348, 2352, 2396, 2452, 2521, 2527, 2531, 2607, 2618, 2838, 3022, 3073 </w:t>
      </w:r>
      <w:r>
        <w:rPr>
          <w:lang w:val="fr-FR"/>
        </w:rPr>
        <w:t>et</w:t>
      </w:r>
      <w:r w:rsidRPr="00C111E3">
        <w:rPr>
          <w:lang w:val="fr-FR"/>
        </w:rPr>
        <w:t xml:space="preserve"> 3079</w:t>
      </w:r>
      <w:r w:rsidRPr="00BA480C">
        <w:rPr>
          <w:iCs/>
          <w:lang w:val="fr-FR"/>
        </w:rPr>
        <w:t xml:space="preserve">, en </w:t>
      </w:r>
      <w:r w:rsidRPr="0000754C">
        <w:rPr>
          <w:iCs/>
          <w:lang w:val="fr-FR"/>
        </w:rPr>
        <w:t>colonne (6), ajouter «386».</w:t>
      </w:r>
      <w:r w:rsidR="0022098E" w:rsidRPr="0000754C">
        <w:rPr>
          <w:iCs/>
          <w:lang w:val="fr-FR"/>
        </w:rPr>
        <w:t xml:space="preserve"> </w:t>
      </w:r>
    </w:p>
    <w:p w:rsidR="00372345" w:rsidRDefault="00372345" w:rsidP="00372345">
      <w:pPr>
        <w:pStyle w:val="SingleTxtG"/>
        <w:rPr>
          <w:iCs/>
          <w:lang w:val="fr-FR"/>
        </w:rPr>
      </w:pPr>
      <w:r w:rsidRPr="00BA480C">
        <w:rPr>
          <w:iCs/>
          <w:lang w:val="fr-FR"/>
        </w:rPr>
        <w:t xml:space="preserve">Pour les </w:t>
      </w:r>
      <w:r>
        <w:rPr>
          <w:iCs/>
          <w:lang w:val="fr-FR"/>
        </w:rPr>
        <w:t>Nos</w:t>
      </w:r>
      <w:r w:rsidRPr="00BA480C">
        <w:rPr>
          <w:iCs/>
          <w:lang w:val="fr-FR"/>
        </w:rPr>
        <w:t xml:space="preserve"> ONU</w:t>
      </w:r>
      <w:r>
        <w:rPr>
          <w:iCs/>
          <w:lang w:val="fr-FR"/>
        </w:rPr>
        <w:t xml:space="preserve"> </w:t>
      </w:r>
      <w:r w:rsidRPr="00E16DCF">
        <w:rPr>
          <w:iCs/>
          <w:lang w:val="fr-FR"/>
        </w:rPr>
        <w:t xml:space="preserve">1202, </w:t>
      </w:r>
      <w:r>
        <w:rPr>
          <w:iCs/>
          <w:lang w:val="fr-FR"/>
        </w:rPr>
        <w:t>1203, 1223, 1268, 1863</w:t>
      </w:r>
      <w:r w:rsidRPr="00E16DCF">
        <w:rPr>
          <w:iCs/>
          <w:lang w:val="fr-FR"/>
        </w:rPr>
        <w:t xml:space="preserve"> </w:t>
      </w:r>
      <w:r>
        <w:rPr>
          <w:iCs/>
          <w:lang w:val="fr-FR"/>
        </w:rPr>
        <w:t>et</w:t>
      </w:r>
      <w:r w:rsidRPr="00E16DCF">
        <w:rPr>
          <w:iCs/>
          <w:lang w:val="fr-FR"/>
        </w:rPr>
        <w:t xml:space="preserve"> 3475</w:t>
      </w:r>
      <w:r w:rsidRPr="00BA480C">
        <w:rPr>
          <w:iCs/>
          <w:lang w:val="fr-FR"/>
        </w:rPr>
        <w:t>, en colonne (</w:t>
      </w:r>
      <w:r>
        <w:rPr>
          <w:iCs/>
          <w:lang w:val="fr-FR"/>
        </w:rPr>
        <w:t>6</w:t>
      </w:r>
      <w:r w:rsidRPr="00BA480C">
        <w:rPr>
          <w:iCs/>
          <w:lang w:val="fr-FR"/>
        </w:rPr>
        <w:t xml:space="preserve">), </w:t>
      </w:r>
      <w:r>
        <w:rPr>
          <w:iCs/>
          <w:lang w:val="fr-FR"/>
        </w:rPr>
        <w:t xml:space="preserve">supprimer </w:t>
      </w:r>
      <w:r w:rsidRPr="00BA480C">
        <w:rPr>
          <w:iCs/>
          <w:lang w:val="fr-FR"/>
        </w:rPr>
        <w:t>«</w:t>
      </w:r>
      <w:r>
        <w:rPr>
          <w:iCs/>
          <w:lang w:val="fr-FR"/>
        </w:rPr>
        <w:t>363</w:t>
      </w:r>
      <w:r w:rsidRPr="00BA480C">
        <w:rPr>
          <w:iCs/>
          <w:lang w:val="fr-FR"/>
        </w:rPr>
        <w:t>».</w:t>
      </w:r>
    </w:p>
    <w:p w:rsidR="00372345" w:rsidRDefault="00372345" w:rsidP="00372345">
      <w:pPr>
        <w:suppressAutoHyphens w:val="0"/>
        <w:autoSpaceDE w:val="0"/>
        <w:autoSpaceDN w:val="0"/>
        <w:adjustRightInd w:val="0"/>
        <w:spacing w:after="120" w:line="240" w:lineRule="auto"/>
        <w:ind w:left="1134"/>
        <w:jc w:val="both"/>
      </w:pPr>
      <w:r>
        <w:t>Pour le No ONU 2000</w:t>
      </w:r>
      <w:r>
        <w:tab/>
        <w:t xml:space="preserve">Ajouter «383» en colonne (6). </w:t>
      </w:r>
    </w:p>
    <w:p w:rsidR="00372345" w:rsidRPr="008B40FC" w:rsidRDefault="00372345" w:rsidP="00372345">
      <w:pPr>
        <w:pStyle w:val="SingleTxtG"/>
        <w:rPr>
          <w:iCs/>
          <w:lang w:val="fr-FR"/>
        </w:rPr>
      </w:pPr>
      <w:r w:rsidRPr="0083455F">
        <w:rPr>
          <w:iCs/>
          <w:lang w:val="fr-FR"/>
        </w:rPr>
        <w:t>Pour le No ONU 2211</w:t>
      </w:r>
      <w:r>
        <w:rPr>
          <w:iCs/>
          <w:lang w:val="fr-FR"/>
        </w:rPr>
        <w:tab/>
        <w:t>D</w:t>
      </w:r>
      <w:r w:rsidRPr="0083455F">
        <w:rPr>
          <w:iCs/>
          <w:lang w:val="fr-FR"/>
        </w:rPr>
        <w:t>ans la colonne (6), remplacer «207» par «382».</w:t>
      </w:r>
    </w:p>
    <w:p w:rsidR="00372345" w:rsidRDefault="00372345" w:rsidP="00372345">
      <w:pPr>
        <w:pStyle w:val="SingleTxtG"/>
        <w:rPr>
          <w:iCs/>
          <w:lang w:val="fr-FR"/>
        </w:rPr>
      </w:pPr>
      <w:r>
        <w:rPr>
          <w:iCs/>
          <w:lang w:val="fr-FR"/>
        </w:rPr>
        <w:t>Pour le No</w:t>
      </w:r>
      <w:r w:rsidRPr="00BA480C">
        <w:rPr>
          <w:iCs/>
          <w:lang w:val="fr-FR"/>
        </w:rPr>
        <w:t xml:space="preserve"> ONU</w:t>
      </w:r>
      <w:r w:rsidRPr="00A1622E">
        <w:t xml:space="preserve"> </w:t>
      </w:r>
      <w:r>
        <w:rPr>
          <w:lang w:val="fr-FR"/>
        </w:rPr>
        <w:t>2815</w:t>
      </w:r>
      <w:r>
        <w:rPr>
          <w:iCs/>
          <w:lang w:val="fr-FR"/>
        </w:rPr>
        <w:tab/>
        <w:t>E</w:t>
      </w:r>
      <w:r w:rsidRPr="00BA480C">
        <w:rPr>
          <w:iCs/>
          <w:lang w:val="fr-FR"/>
        </w:rPr>
        <w:t>n colonne (</w:t>
      </w:r>
      <w:r w:rsidR="00AE5E87">
        <w:rPr>
          <w:iCs/>
          <w:lang w:val="fr-FR"/>
        </w:rPr>
        <w:t>5</w:t>
      </w:r>
      <w:r w:rsidRPr="00BA480C">
        <w:rPr>
          <w:iCs/>
          <w:lang w:val="fr-FR"/>
        </w:rPr>
        <w:t xml:space="preserve">), </w:t>
      </w:r>
      <w:r>
        <w:rPr>
          <w:iCs/>
          <w:lang w:val="fr-FR"/>
        </w:rPr>
        <w:t xml:space="preserve">ajouter </w:t>
      </w:r>
      <w:r w:rsidRPr="00BA480C">
        <w:rPr>
          <w:iCs/>
          <w:lang w:val="fr-FR"/>
        </w:rPr>
        <w:t>«</w:t>
      </w:r>
      <w:r w:rsidR="00AE5E87">
        <w:rPr>
          <w:iCs/>
          <w:lang w:val="fr-FR"/>
        </w:rPr>
        <w:t>+</w:t>
      </w:r>
      <w:r>
        <w:rPr>
          <w:iCs/>
          <w:lang w:val="fr-FR"/>
        </w:rPr>
        <w:t>6.1</w:t>
      </w:r>
      <w:r w:rsidRPr="00BA480C">
        <w:rPr>
          <w:iCs/>
          <w:lang w:val="fr-FR"/>
        </w:rPr>
        <w:t>».</w:t>
      </w:r>
      <w:r w:rsidR="00AE5E87">
        <w:rPr>
          <w:iCs/>
          <w:lang w:val="fr-FR"/>
        </w:rPr>
        <w:t xml:space="preserve"> En colonne (3b) remplacer «C7» par «CT1». </w:t>
      </w:r>
    </w:p>
    <w:p w:rsidR="00AE5E87" w:rsidRDefault="00AE5E87" w:rsidP="00AE5E87">
      <w:pPr>
        <w:pStyle w:val="SingleTxtG"/>
        <w:rPr>
          <w:iCs/>
          <w:lang w:val="fr-FR"/>
        </w:rPr>
      </w:pPr>
      <w:r>
        <w:rPr>
          <w:iCs/>
          <w:lang w:val="fr-FR"/>
        </w:rPr>
        <w:t>Pour les Nos</w:t>
      </w:r>
      <w:r w:rsidRPr="00BA480C">
        <w:rPr>
          <w:iCs/>
          <w:lang w:val="fr-FR"/>
        </w:rPr>
        <w:t xml:space="preserve"> ONU</w:t>
      </w:r>
      <w:r w:rsidRPr="00A1622E">
        <w:t xml:space="preserve"> 297</w:t>
      </w:r>
      <w:r>
        <w:t xml:space="preserve">7 et </w:t>
      </w:r>
      <w:r w:rsidRPr="00A1622E">
        <w:t>297</w:t>
      </w:r>
      <w:r>
        <w:t>8</w:t>
      </w:r>
      <w:r>
        <w:rPr>
          <w:iCs/>
          <w:lang w:val="fr-FR"/>
        </w:rPr>
        <w:tab/>
        <w:t>E</w:t>
      </w:r>
      <w:r w:rsidRPr="00BA480C">
        <w:rPr>
          <w:iCs/>
          <w:lang w:val="fr-FR"/>
        </w:rPr>
        <w:t>n colonne (</w:t>
      </w:r>
      <w:r>
        <w:rPr>
          <w:iCs/>
          <w:lang w:val="fr-FR"/>
        </w:rPr>
        <w:t>5</w:t>
      </w:r>
      <w:r w:rsidRPr="00BA480C">
        <w:rPr>
          <w:iCs/>
          <w:lang w:val="fr-FR"/>
        </w:rPr>
        <w:t xml:space="preserve">), </w:t>
      </w:r>
      <w:r>
        <w:rPr>
          <w:iCs/>
          <w:lang w:val="fr-FR"/>
        </w:rPr>
        <w:t xml:space="preserve">ajouter </w:t>
      </w:r>
      <w:r w:rsidRPr="00BA480C">
        <w:rPr>
          <w:iCs/>
          <w:lang w:val="fr-FR"/>
        </w:rPr>
        <w:t>«</w:t>
      </w:r>
      <w:r>
        <w:rPr>
          <w:iCs/>
          <w:lang w:val="fr-FR"/>
        </w:rPr>
        <w:t>+6.1</w:t>
      </w:r>
      <w:r w:rsidRPr="00BA480C">
        <w:rPr>
          <w:iCs/>
          <w:lang w:val="fr-FR"/>
        </w:rPr>
        <w:t>»</w:t>
      </w:r>
      <w:r>
        <w:rPr>
          <w:iCs/>
          <w:lang w:val="fr-FR"/>
        </w:rPr>
        <w:t xml:space="preserve"> avant «+8»</w:t>
      </w:r>
      <w:r w:rsidRPr="00BA480C">
        <w:rPr>
          <w:iCs/>
          <w:lang w:val="fr-FR"/>
        </w:rPr>
        <w:t>.</w:t>
      </w:r>
    </w:p>
    <w:p w:rsidR="00AE5E87" w:rsidRPr="00AD3F23" w:rsidRDefault="00AE5E87" w:rsidP="00AE5E87">
      <w:pPr>
        <w:pStyle w:val="SingleTxtG"/>
        <w:rPr>
          <w:i/>
          <w:iCs/>
          <w:lang w:val="fr-FR"/>
        </w:rPr>
      </w:pPr>
      <w:r w:rsidRPr="00AD3F23">
        <w:rPr>
          <w:i/>
          <w:iCs/>
          <w:lang w:val="fr-FR"/>
        </w:rPr>
        <w:t>Amendement de conséquence:</w:t>
      </w:r>
    </w:p>
    <w:p w:rsidR="00AE5E87" w:rsidRDefault="00AE5E87" w:rsidP="00AE5E87">
      <w:pPr>
        <w:pStyle w:val="SingleTxtG"/>
        <w:ind w:left="1701"/>
        <w:rPr>
          <w:iCs/>
          <w:lang w:val="fr-FR"/>
        </w:rPr>
      </w:pPr>
      <w:r>
        <w:rPr>
          <w:iCs/>
          <w:lang w:val="fr-FR"/>
        </w:rPr>
        <w:t>5.3.2.3.2</w:t>
      </w:r>
      <w:r>
        <w:rPr>
          <w:iCs/>
          <w:lang w:val="fr-FR"/>
        </w:rPr>
        <w:tab/>
        <w:t>Après «70 matière radioactive» ajouter une nouvelle ligne pour lire:</w:t>
      </w:r>
      <w:r w:rsidR="00AD3F23">
        <w:rPr>
          <w:iCs/>
          <w:lang w:val="fr-FR"/>
        </w:rPr>
        <w:br/>
      </w:r>
      <w:r>
        <w:rPr>
          <w:iCs/>
          <w:lang w:val="fr-FR"/>
        </w:rPr>
        <w:t>«768</w:t>
      </w:r>
      <w:r>
        <w:rPr>
          <w:iCs/>
          <w:lang w:val="fr-FR"/>
        </w:rPr>
        <w:tab/>
        <w:t>matière radioactive, toxique et corrosive».</w:t>
      </w:r>
    </w:p>
    <w:p w:rsidR="00372345" w:rsidRPr="009E34E5" w:rsidRDefault="00372345" w:rsidP="00372345">
      <w:pPr>
        <w:pStyle w:val="SingleTxtG"/>
        <w:rPr>
          <w:lang w:val="fr-FR"/>
        </w:rPr>
      </w:pPr>
      <w:r w:rsidRPr="009E34E5">
        <w:rPr>
          <w:lang w:val="fr-FR"/>
        </w:rPr>
        <w:t xml:space="preserve">Pour les </w:t>
      </w:r>
      <w:r>
        <w:rPr>
          <w:lang w:val="fr-FR"/>
        </w:rPr>
        <w:t>Nos</w:t>
      </w:r>
      <w:r w:rsidRPr="009E34E5">
        <w:rPr>
          <w:lang w:val="fr-FR"/>
        </w:rPr>
        <w:t xml:space="preserve"> ONU 3090, 3091, 3480 et 3481</w:t>
      </w:r>
      <w:r>
        <w:rPr>
          <w:lang w:val="fr-FR"/>
        </w:rPr>
        <w:tab/>
        <w:t>E</w:t>
      </w:r>
      <w:r w:rsidRPr="00BA480C">
        <w:rPr>
          <w:iCs/>
          <w:lang w:val="fr-FR"/>
        </w:rPr>
        <w:t xml:space="preserve">n colonne </w:t>
      </w:r>
      <w:r w:rsidR="00A44CBA">
        <w:rPr>
          <w:iCs/>
          <w:lang w:val="fr-FR"/>
        </w:rPr>
        <w:t>(5), remplacer «9» par «9A»</w:t>
      </w:r>
      <w:r w:rsidRPr="009E34E5">
        <w:rPr>
          <w:lang w:val="fr-FR"/>
        </w:rPr>
        <w:t>.</w:t>
      </w:r>
    </w:p>
    <w:p w:rsidR="00372345" w:rsidRPr="008A500A" w:rsidRDefault="00372345" w:rsidP="00372345">
      <w:pPr>
        <w:pStyle w:val="SingleTxtG"/>
      </w:pPr>
      <w:r>
        <w:lastRenderedPageBreak/>
        <w:t>Pour les Nos ONU 3091 et 3481</w:t>
      </w:r>
      <w:r>
        <w:tab/>
        <w:t>Ajouter «310» en colonne (6).</w:t>
      </w:r>
    </w:p>
    <w:p w:rsidR="00372345" w:rsidRDefault="00372345" w:rsidP="00372345">
      <w:pPr>
        <w:pStyle w:val="SingleTxtG"/>
        <w:rPr>
          <w:lang w:val="fr-FR"/>
        </w:rPr>
      </w:pPr>
      <w:r>
        <w:rPr>
          <w:lang w:val="fr-FR"/>
        </w:rPr>
        <w:t>Pour le No ONU 3151</w:t>
      </w:r>
      <w:r>
        <w:rPr>
          <w:lang w:val="fr-FR"/>
        </w:rPr>
        <w:tab/>
        <w:t>Modifier la désignation en colonne (2) pour lire comme suit:</w:t>
      </w:r>
    </w:p>
    <w:p w:rsidR="00372345" w:rsidRPr="00FD0E6D" w:rsidRDefault="00372345" w:rsidP="00372345">
      <w:pPr>
        <w:pStyle w:val="SingleTxtG"/>
        <w:rPr>
          <w:lang w:val="fr-FR"/>
        </w:rPr>
      </w:pPr>
      <w:r w:rsidRPr="00FD0E6D">
        <w:rPr>
          <w:lang w:val="fr-FR"/>
        </w:rPr>
        <w:t xml:space="preserve">«DIPHÉNYLES POLYHALOGÉNÉS LIQUIDES ou </w:t>
      </w:r>
      <w:r w:rsidRPr="00FD0E6D">
        <w:t>MONOMÉTHYLD</w:t>
      </w:r>
      <w:r>
        <w:t>I</w:t>
      </w:r>
      <w:r w:rsidRPr="00FD0E6D">
        <w:t xml:space="preserve">PHÉNYLMÉTHANES HALOGÉNÉS </w:t>
      </w:r>
      <w:r w:rsidRPr="00FD0E6D">
        <w:rPr>
          <w:lang w:val="fr-FR"/>
        </w:rPr>
        <w:t>LIQUIDES ou TERPHÉNYLES POLYHALOGÉNÉS LIQUIDES».</w:t>
      </w:r>
    </w:p>
    <w:p w:rsidR="00372345" w:rsidRPr="00FD0E6D" w:rsidRDefault="00372345" w:rsidP="00372345">
      <w:pPr>
        <w:pStyle w:val="SingleTxtG"/>
        <w:rPr>
          <w:lang w:val="fr-FR"/>
        </w:rPr>
      </w:pPr>
      <w:r w:rsidRPr="00FD0E6D">
        <w:rPr>
          <w:lang w:val="fr-FR"/>
        </w:rPr>
        <w:t>Pour le No ONU 3152</w:t>
      </w:r>
      <w:r w:rsidRPr="00FD0E6D">
        <w:rPr>
          <w:lang w:val="fr-FR"/>
        </w:rPr>
        <w:tab/>
        <w:t>Modifier la désignation en colonne (2) pour lire comme suit:</w:t>
      </w:r>
    </w:p>
    <w:p w:rsidR="00372345" w:rsidRPr="00FD0E6D" w:rsidRDefault="00372345" w:rsidP="00372345">
      <w:pPr>
        <w:pStyle w:val="SingleTxtG"/>
        <w:rPr>
          <w:lang w:val="fr-FR"/>
        </w:rPr>
      </w:pPr>
      <w:r w:rsidRPr="00FD0E6D">
        <w:rPr>
          <w:lang w:val="fr-FR"/>
        </w:rPr>
        <w:t xml:space="preserve">«DIPHÉNYLES POLYHALOGÉNÉS SOLIDES ou </w:t>
      </w:r>
      <w:r w:rsidRPr="00FD0E6D">
        <w:t>MONOMÉTHYLD</w:t>
      </w:r>
      <w:r>
        <w:t>I</w:t>
      </w:r>
      <w:r w:rsidRPr="00FD0E6D">
        <w:t xml:space="preserve">PHÉNYLMÉTHANES HALOGÉNÉS </w:t>
      </w:r>
      <w:r w:rsidRPr="00FD0E6D">
        <w:rPr>
          <w:lang w:val="fr-FR"/>
        </w:rPr>
        <w:t>SOLIDES ou TERPHÉNYLES POLYHALOGÉNÉS SOLIDES».</w:t>
      </w:r>
    </w:p>
    <w:p w:rsidR="00372345" w:rsidRDefault="00372345" w:rsidP="00372345">
      <w:pPr>
        <w:pStyle w:val="SingleTxtG"/>
      </w:pPr>
      <w:r>
        <w:t>Pour le No ONU 3269,</w:t>
      </w:r>
      <w:r w:rsidR="008D7FC7">
        <w:t xml:space="preserve"> groupes d’emballage II et III d</w:t>
      </w:r>
      <w:r>
        <w:t xml:space="preserve">ans la colonne (2), à la fin de la </w:t>
      </w:r>
      <w:r w:rsidRPr="00DE419C">
        <w:t>désignation, ajouter «, constituant de base liquide».</w:t>
      </w:r>
    </w:p>
    <w:p w:rsidR="00372345" w:rsidRDefault="00372345" w:rsidP="00372345">
      <w:pPr>
        <w:pStyle w:val="SingleTxtG"/>
      </w:pPr>
      <w:r w:rsidRPr="00A1622E">
        <w:t>Pour le No ONU 3507, remplacer «8» par «6.1» en colonn</w:t>
      </w:r>
      <w:r>
        <w:t>e (3) et</w:t>
      </w:r>
      <w:r w:rsidR="00A44CBA">
        <w:t xml:space="preserve"> en colonne (5), </w:t>
      </w:r>
      <w:proofErr w:type="gramStart"/>
      <w:r w:rsidR="00A44CBA">
        <w:t>remplacer</w:t>
      </w:r>
      <w:proofErr w:type="gramEnd"/>
      <w:r w:rsidR="00A44CBA">
        <w:t xml:space="preserve"> «8» par «6.1 +8»</w:t>
      </w:r>
      <w:r w:rsidR="008D7FC7">
        <w:t>.</w:t>
      </w:r>
    </w:p>
    <w:p w:rsidR="00162E33" w:rsidRPr="009C38EA" w:rsidRDefault="00162E33" w:rsidP="00162E33">
      <w:pPr>
        <w:pStyle w:val="SingleTxtG"/>
        <w:rPr>
          <w:i/>
        </w:rPr>
      </w:pPr>
      <w:r w:rsidRPr="009C38EA">
        <w:rPr>
          <w:i/>
        </w:rPr>
        <w:t>Amendement de conséquence:</w:t>
      </w:r>
    </w:p>
    <w:p w:rsidR="009C38EA" w:rsidRDefault="009C38EA" w:rsidP="009C38EA">
      <w:pPr>
        <w:pStyle w:val="SingleTxtG"/>
        <w:ind w:left="1701"/>
      </w:pPr>
      <w:r w:rsidRPr="00AD3F23">
        <w:t>5.3.2.3.2</w:t>
      </w:r>
      <w:r w:rsidR="00162E33" w:rsidRPr="00AD3F23">
        <w:tab/>
        <w:t>Après «</w:t>
      </w:r>
      <w:r w:rsidRPr="00AD3F23">
        <w:t xml:space="preserve">68 </w:t>
      </w:r>
      <w:r w:rsidR="00162E33" w:rsidRPr="00AD3F23">
        <w:t>matière toxique et corrosive» ajouter une nouvelle ligne pour lire «687 matière toxique, corrosive et radioactive».</w:t>
      </w:r>
    </w:p>
    <w:p w:rsidR="00F14D09" w:rsidRPr="00AD3F23" w:rsidRDefault="00F14D09" w:rsidP="00F14D09">
      <w:pPr>
        <w:pStyle w:val="SingleTxtG"/>
      </w:pPr>
      <w:r>
        <w:t>Ajouter les nouvelles rubriques suivantes:</w:t>
      </w:r>
    </w:p>
    <w:p w:rsidR="00372345" w:rsidRDefault="00372345" w:rsidP="00372345">
      <w:pPr>
        <w:pStyle w:val="SingleTxtG"/>
      </w:pPr>
    </w:p>
    <w:p w:rsidR="0029776B" w:rsidRDefault="0029776B" w:rsidP="00E60E30">
      <w:pPr>
        <w:pStyle w:val="SingleTxtG"/>
        <w:sectPr w:rsidR="0029776B" w:rsidSect="00C4302B">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pPr>
    </w:p>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70"/>
        <w:gridCol w:w="5296"/>
        <w:gridCol w:w="375"/>
        <w:gridCol w:w="564"/>
        <w:gridCol w:w="425"/>
        <w:gridCol w:w="425"/>
        <w:gridCol w:w="567"/>
        <w:gridCol w:w="426"/>
        <w:gridCol w:w="425"/>
        <w:gridCol w:w="425"/>
        <w:gridCol w:w="567"/>
        <w:gridCol w:w="425"/>
        <w:gridCol w:w="426"/>
        <w:gridCol w:w="425"/>
        <w:gridCol w:w="567"/>
        <w:gridCol w:w="451"/>
      </w:tblGrid>
      <w:tr w:rsidR="008D7FC7" w:rsidRPr="008D7FC7" w:rsidTr="00B21563">
        <w:trPr>
          <w:cantSplit/>
          <w:tblHeader/>
        </w:trPr>
        <w:tc>
          <w:tcPr>
            <w:tcW w:w="570" w:type="dxa"/>
            <w:tcBorders>
              <w:top w:val="single" w:sz="4" w:space="0" w:color="auto"/>
              <w:bottom w:val="single" w:sz="12" w:space="0" w:color="auto"/>
            </w:tcBorders>
            <w:shd w:val="clear" w:color="auto" w:fill="auto"/>
            <w:vAlign w:val="bottom"/>
          </w:tcPr>
          <w:p w:rsidR="00F227C9" w:rsidRPr="008D7FC7" w:rsidRDefault="00F227C9" w:rsidP="008D7FC7">
            <w:pPr>
              <w:suppressAutoHyphens w:val="0"/>
              <w:spacing w:before="80" w:after="80" w:line="200" w:lineRule="exact"/>
              <w:ind w:right="113"/>
              <w:rPr>
                <w:bCs/>
                <w:i/>
                <w:sz w:val="16"/>
                <w:szCs w:val="18"/>
              </w:rPr>
            </w:pPr>
            <w:r w:rsidRPr="008D7FC7">
              <w:rPr>
                <w:bCs/>
                <w:i/>
                <w:sz w:val="16"/>
                <w:szCs w:val="18"/>
              </w:rPr>
              <w:lastRenderedPageBreak/>
              <w:t>(1)</w:t>
            </w:r>
          </w:p>
        </w:tc>
        <w:tc>
          <w:tcPr>
            <w:tcW w:w="5296" w:type="dxa"/>
            <w:tcBorders>
              <w:top w:val="single" w:sz="4" w:space="0" w:color="auto"/>
              <w:bottom w:val="single" w:sz="12" w:space="0" w:color="auto"/>
            </w:tcBorders>
            <w:shd w:val="clear" w:color="auto" w:fill="auto"/>
            <w:vAlign w:val="bottom"/>
          </w:tcPr>
          <w:p w:rsidR="00F227C9" w:rsidRPr="008D7FC7" w:rsidRDefault="00F227C9" w:rsidP="008D7FC7">
            <w:pPr>
              <w:suppressAutoHyphens w:val="0"/>
              <w:spacing w:before="80" w:after="80" w:line="200" w:lineRule="exact"/>
              <w:ind w:right="113"/>
              <w:rPr>
                <w:bCs/>
                <w:i/>
                <w:sz w:val="16"/>
                <w:szCs w:val="18"/>
              </w:rPr>
            </w:pPr>
            <w:r w:rsidRPr="008D7FC7">
              <w:rPr>
                <w:bCs/>
                <w:i/>
                <w:sz w:val="16"/>
                <w:szCs w:val="18"/>
              </w:rPr>
              <w:t>(2)</w:t>
            </w:r>
          </w:p>
        </w:tc>
        <w:tc>
          <w:tcPr>
            <w:tcW w:w="375" w:type="dxa"/>
            <w:tcBorders>
              <w:top w:val="single" w:sz="4" w:space="0" w:color="auto"/>
              <w:bottom w:val="single" w:sz="12" w:space="0" w:color="auto"/>
            </w:tcBorders>
            <w:shd w:val="clear" w:color="auto" w:fill="auto"/>
            <w:vAlign w:val="bottom"/>
          </w:tcPr>
          <w:p w:rsidR="00F227C9" w:rsidRPr="008D7FC7" w:rsidRDefault="00F227C9" w:rsidP="008D7FC7">
            <w:pPr>
              <w:suppressAutoHyphens w:val="0"/>
              <w:spacing w:before="80" w:after="80" w:line="200" w:lineRule="exact"/>
              <w:ind w:right="113"/>
              <w:rPr>
                <w:bCs/>
                <w:i/>
                <w:spacing w:val="-2"/>
                <w:sz w:val="16"/>
                <w:szCs w:val="18"/>
              </w:rPr>
            </w:pPr>
            <w:r w:rsidRPr="008D7FC7">
              <w:rPr>
                <w:bCs/>
                <w:i/>
                <w:spacing w:val="-2"/>
                <w:sz w:val="16"/>
                <w:szCs w:val="18"/>
              </w:rPr>
              <w:t>(3a)</w:t>
            </w:r>
          </w:p>
        </w:tc>
        <w:tc>
          <w:tcPr>
            <w:tcW w:w="564" w:type="dxa"/>
            <w:tcBorders>
              <w:top w:val="single" w:sz="4" w:space="0" w:color="auto"/>
              <w:bottom w:val="single" w:sz="12" w:space="0" w:color="auto"/>
            </w:tcBorders>
            <w:shd w:val="clear" w:color="auto" w:fill="auto"/>
            <w:vAlign w:val="bottom"/>
          </w:tcPr>
          <w:p w:rsidR="00F227C9" w:rsidRPr="008D7FC7" w:rsidRDefault="00F227C9" w:rsidP="008D7FC7">
            <w:pPr>
              <w:suppressAutoHyphens w:val="0"/>
              <w:spacing w:before="80" w:after="80" w:line="200" w:lineRule="exact"/>
              <w:ind w:right="113"/>
              <w:rPr>
                <w:bCs/>
                <w:i/>
                <w:sz w:val="16"/>
                <w:szCs w:val="18"/>
              </w:rPr>
            </w:pPr>
            <w:r w:rsidRPr="008D7FC7">
              <w:rPr>
                <w:bCs/>
                <w:i/>
                <w:sz w:val="16"/>
                <w:szCs w:val="18"/>
              </w:rPr>
              <w:t>(3b)</w:t>
            </w:r>
          </w:p>
        </w:tc>
        <w:tc>
          <w:tcPr>
            <w:tcW w:w="425" w:type="dxa"/>
            <w:tcBorders>
              <w:top w:val="single" w:sz="4" w:space="0" w:color="auto"/>
              <w:bottom w:val="single" w:sz="12" w:space="0" w:color="auto"/>
            </w:tcBorders>
            <w:shd w:val="clear" w:color="auto" w:fill="auto"/>
            <w:vAlign w:val="bottom"/>
          </w:tcPr>
          <w:p w:rsidR="00F227C9" w:rsidRPr="008D7FC7" w:rsidRDefault="00F227C9" w:rsidP="008D7FC7">
            <w:pPr>
              <w:suppressAutoHyphens w:val="0"/>
              <w:spacing w:before="80" w:after="80" w:line="200" w:lineRule="exact"/>
              <w:ind w:right="113"/>
              <w:rPr>
                <w:bCs/>
                <w:i/>
                <w:sz w:val="16"/>
                <w:szCs w:val="18"/>
              </w:rPr>
            </w:pPr>
            <w:r w:rsidRPr="008D7FC7">
              <w:rPr>
                <w:bCs/>
                <w:i/>
                <w:sz w:val="16"/>
                <w:szCs w:val="18"/>
              </w:rPr>
              <w:t>(4)</w:t>
            </w:r>
          </w:p>
        </w:tc>
        <w:tc>
          <w:tcPr>
            <w:tcW w:w="425" w:type="dxa"/>
            <w:tcBorders>
              <w:top w:val="single" w:sz="4" w:space="0" w:color="auto"/>
              <w:bottom w:val="single" w:sz="12" w:space="0" w:color="auto"/>
            </w:tcBorders>
            <w:shd w:val="clear" w:color="auto" w:fill="auto"/>
            <w:vAlign w:val="bottom"/>
          </w:tcPr>
          <w:p w:rsidR="00F227C9" w:rsidRPr="008D7FC7" w:rsidRDefault="00F227C9" w:rsidP="008D7FC7">
            <w:pPr>
              <w:suppressAutoHyphens w:val="0"/>
              <w:spacing w:before="80" w:after="80" w:line="200" w:lineRule="exact"/>
              <w:ind w:right="113"/>
              <w:rPr>
                <w:bCs/>
                <w:i/>
                <w:sz w:val="16"/>
                <w:szCs w:val="18"/>
              </w:rPr>
            </w:pPr>
            <w:r w:rsidRPr="008D7FC7">
              <w:rPr>
                <w:bCs/>
                <w:i/>
                <w:sz w:val="16"/>
                <w:szCs w:val="18"/>
              </w:rPr>
              <w:t>(5)</w:t>
            </w:r>
          </w:p>
        </w:tc>
        <w:tc>
          <w:tcPr>
            <w:tcW w:w="567" w:type="dxa"/>
            <w:tcBorders>
              <w:top w:val="single" w:sz="4" w:space="0" w:color="auto"/>
              <w:bottom w:val="single" w:sz="12" w:space="0" w:color="auto"/>
            </w:tcBorders>
            <w:shd w:val="clear" w:color="auto" w:fill="auto"/>
            <w:vAlign w:val="bottom"/>
          </w:tcPr>
          <w:p w:rsidR="00F227C9" w:rsidRPr="008D7FC7" w:rsidRDefault="00F227C9" w:rsidP="008D7FC7">
            <w:pPr>
              <w:suppressAutoHyphens w:val="0"/>
              <w:spacing w:before="80" w:after="80" w:line="200" w:lineRule="exact"/>
              <w:ind w:right="113"/>
              <w:rPr>
                <w:bCs/>
                <w:i/>
                <w:sz w:val="16"/>
                <w:szCs w:val="18"/>
              </w:rPr>
            </w:pPr>
            <w:r w:rsidRPr="008D7FC7">
              <w:rPr>
                <w:bCs/>
                <w:i/>
                <w:sz w:val="16"/>
                <w:szCs w:val="18"/>
              </w:rPr>
              <w:t>(6)</w:t>
            </w:r>
          </w:p>
        </w:tc>
        <w:tc>
          <w:tcPr>
            <w:tcW w:w="426" w:type="dxa"/>
            <w:tcBorders>
              <w:top w:val="single" w:sz="4" w:space="0" w:color="auto"/>
              <w:bottom w:val="single" w:sz="12" w:space="0" w:color="auto"/>
            </w:tcBorders>
            <w:shd w:val="clear" w:color="auto" w:fill="auto"/>
            <w:vAlign w:val="bottom"/>
          </w:tcPr>
          <w:p w:rsidR="00F227C9" w:rsidRPr="008D7FC7" w:rsidRDefault="00F227C9" w:rsidP="008D7FC7">
            <w:pPr>
              <w:suppressAutoHyphens w:val="0"/>
              <w:spacing w:before="80" w:after="80" w:line="200" w:lineRule="exact"/>
              <w:ind w:right="113"/>
              <w:rPr>
                <w:bCs/>
                <w:i/>
                <w:sz w:val="16"/>
                <w:szCs w:val="18"/>
              </w:rPr>
            </w:pPr>
            <w:r w:rsidRPr="008D7FC7">
              <w:rPr>
                <w:bCs/>
                <w:i/>
                <w:sz w:val="16"/>
                <w:szCs w:val="18"/>
              </w:rPr>
              <w:t>(7a)</w:t>
            </w:r>
          </w:p>
        </w:tc>
        <w:tc>
          <w:tcPr>
            <w:tcW w:w="425" w:type="dxa"/>
            <w:tcBorders>
              <w:top w:val="single" w:sz="4" w:space="0" w:color="auto"/>
              <w:bottom w:val="single" w:sz="12" w:space="0" w:color="auto"/>
            </w:tcBorders>
            <w:shd w:val="clear" w:color="auto" w:fill="auto"/>
            <w:vAlign w:val="bottom"/>
          </w:tcPr>
          <w:p w:rsidR="00F227C9" w:rsidRPr="008D7FC7" w:rsidRDefault="00F227C9" w:rsidP="008D7FC7">
            <w:pPr>
              <w:suppressAutoHyphens w:val="0"/>
              <w:spacing w:before="80" w:after="80" w:line="200" w:lineRule="exact"/>
              <w:ind w:right="113"/>
              <w:rPr>
                <w:bCs/>
                <w:i/>
                <w:sz w:val="16"/>
                <w:szCs w:val="18"/>
              </w:rPr>
            </w:pPr>
            <w:r w:rsidRPr="008D7FC7">
              <w:rPr>
                <w:bCs/>
                <w:i/>
                <w:sz w:val="16"/>
                <w:szCs w:val="18"/>
              </w:rPr>
              <w:t>(7b)</w:t>
            </w:r>
          </w:p>
        </w:tc>
        <w:tc>
          <w:tcPr>
            <w:tcW w:w="425" w:type="dxa"/>
            <w:tcBorders>
              <w:top w:val="single" w:sz="4" w:space="0" w:color="auto"/>
              <w:bottom w:val="single" w:sz="12" w:space="0" w:color="auto"/>
            </w:tcBorders>
            <w:shd w:val="clear" w:color="auto" w:fill="auto"/>
            <w:vAlign w:val="bottom"/>
          </w:tcPr>
          <w:p w:rsidR="00F227C9" w:rsidRPr="008D7FC7" w:rsidRDefault="00F227C9" w:rsidP="008D7FC7">
            <w:pPr>
              <w:suppressAutoHyphens w:val="0"/>
              <w:spacing w:before="80" w:after="80" w:line="200" w:lineRule="exact"/>
              <w:ind w:right="113"/>
              <w:rPr>
                <w:bCs/>
                <w:i/>
                <w:sz w:val="16"/>
                <w:szCs w:val="18"/>
              </w:rPr>
            </w:pPr>
            <w:r w:rsidRPr="008D7FC7">
              <w:rPr>
                <w:bCs/>
                <w:i/>
                <w:sz w:val="16"/>
                <w:szCs w:val="18"/>
              </w:rPr>
              <w:t>(8)</w:t>
            </w:r>
          </w:p>
        </w:tc>
        <w:tc>
          <w:tcPr>
            <w:tcW w:w="567" w:type="dxa"/>
            <w:tcBorders>
              <w:top w:val="single" w:sz="4" w:space="0" w:color="auto"/>
              <w:bottom w:val="single" w:sz="12" w:space="0" w:color="auto"/>
            </w:tcBorders>
            <w:shd w:val="clear" w:color="auto" w:fill="auto"/>
            <w:vAlign w:val="bottom"/>
          </w:tcPr>
          <w:p w:rsidR="00F227C9" w:rsidRPr="008D7FC7" w:rsidRDefault="00F227C9" w:rsidP="008D7FC7">
            <w:pPr>
              <w:suppressAutoHyphens w:val="0"/>
              <w:spacing w:before="80" w:after="80" w:line="200" w:lineRule="exact"/>
              <w:ind w:right="113"/>
              <w:rPr>
                <w:bCs/>
                <w:i/>
                <w:sz w:val="16"/>
                <w:szCs w:val="18"/>
              </w:rPr>
            </w:pPr>
            <w:r w:rsidRPr="008D7FC7">
              <w:rPr>
                <w:bCs/>
                <w:i/>
                <w:sz w:val="16"/>
                <w:szCs w:val="18"/>
              </w:rPr>
              <w:t>(9a)</w:t>
            </w:r>
          </w:p>
        </w:tc>
        <w:tc>
          <w:tcPr>
            <w:tcW w:w="425" w:type="dxa"/>
            <w:tcBorders>
              <w:top w:val="single" w:sz="4" w:space="0" w:color="auto"/>
              <w:bottom w:val="single" w:sz="12" w:space="0" w:color="auto"/>
            </w:tcBorders>
            <w:shd w:val="clear" w:color="auto" w:fill="auto"/>
            <w:vAlign w:val="bottom"/>
          </w:tcPr>
          <w:p w:rsidR="00F227C9" w:rsidRPr="008D7FC7" w:rsidRDefault="00F227C9" w:rsidP="008D7FC7">
            <w:pPr>
              <w:suppressAutoHyphens w:val="0"/>
              <w:spacing w:before="80" w:after="80" w:line="200" w:lineRule="exact"/>
              <w:ind w:right="113"/>
              <w:rPr>
                <w:bCs/>
                <w:i/>
                <w:sz w:val="16"/>
                <w:szCs w:val="18"/>
              </w:rPr>
            </w:pPr>
            <w:r w:rsidRPr="008D7FC7">
              <w:rPr>
                <w:bCs/>
                <w:i/>
                <w:sz w:val="16"/>
                <w:szCs w:val="18"/>
              </w:rPr>
              <w:t>(9b)</w:t>
            </w:r>
          </w:p>
        </w:tc>
        <w:tc>
          <w:tcPr>
            <w:tcW w:w="426" w:type="dxa"/>
            <w:tcBorders>
              <w:top w:val="single" w:sz="4" w:space="0" w:color="auto"/>
              <w:bottom w:val="single" w:sz="12" w:space="0" w:color="auto"/>
            </w:tcBorders>
            <w:shd w:val="clear" w:color="auto" w:fill="auto"/>
            <w:vAlign w:val="bottom"/>
          </w:tcPr>
          <w:p w:rsidR="00F227C9" w:rsidRPr="008D7FC7" w:rsidRDefault="00F227C9" w:rsidP="008D7FC7">
            <w:pPr>
              <w:suppressAutoHyphens w:val="0"/>
              <w:spacing w:before="80" w:after="80" w:line="200" w:lineRule="exact"/>
              <w:ind w:right="113"/>
              <w:rPr>
                <w:bCs/>
                <w:i/>
                <w:sz w:val="16"/>
                <w:szCs w:val="18"/>
              </w:rPr>
            </w:pPr>
            <w:r w:rsidRPr="008D7FC7">
              <w:rPr>
                <w:bCs/>
                <w:i/>
                <w:sz w:val="16"/>
                <w:szCs w:val="18"/>
              </w:rPr>
              <w:t>(10)</w:t>
            </w:r>
          </w:p>
        </w:tc>
        <w:tc>
          <w:tcPr>
            <w:tcW w:w="425" w:type="dxa"/>
            <w:tcBorders>
              <w:top w:val="single" w:sz="4" w:space="0" w:color="auto"/>
              <w:bottom w:val="single" w:sz="12" w:space="0" w:color="auto"/>
            </w:tcBorders>
            <w:shd w:val="clear" w:color="auto" w:fill="auto"/>
            <w:vAlign w:val="bottom"/>
          </w:tcPr>
          <w:p w:rsidR="00F227C9" w:rsidRPr="008D7FC7" w:rsidRDefault="00F227C9" w:rsidP="008D7FC7">
            <w:pPr>
              <w:suppressAutoHyphens w:val="0"/>
              <w:spacing w:before="80" w:after="80" w:line="200" w:lineRule="exact"/>
              <w:ind w:right="113"/>
              <w:rPr>
                <w:bCs/>
                <w:i/>
                <w:iCs/>
                <w:sz w:val="16"/>
                <w:szCs w:val="18"/>
              </w:rPr>
            </w:pPr>
            <w:r w:rsidRPr="008D7FC7">
              <w:rPr>
                <w:bCs/>
                <w:i/>
                <w:iCs/>
                <w:sz w:val="16"/>
                <w:szCs w:val="18"/>
              </w:rPr>
              <w:t>(11)</w:t>
            </w:r>
          </w:p>
        </w:tc>
        <w:tc>
          <w:tcPr>
            <w:tcW w:w="567" w:type="dxa"/>
            <w:tcBorders>
              <w:top w:val="single" w:sz="4" w:space="0" w:color="auto"/>
              <w:bottom w:val="single" w:sz="12" w:space="0" w:color="auto"/>
            </w:tcBorders>
            <w:shd w:val="clear" w:color="auto" w:fill="auto"/>
            <w:vAlign w:val="bottom"/>
          </w:tcPr>
          <w:p w:rsidR="00F227C9" w:rsidRPr="008D7FC7" w:rsidRDefault="00F227C9" w:rsidP="008D7FC7">
            <w:pPr>
              <w:suppressAutoHyphens w:val="0"/>
              <w:spacing w:before="80" w:after="80" w:line="200" w:lineRule="exact"/>
              <w:ind w:right="113"/>
              <w:rPr>
                <w:bCs/>
                <w:i/>
                <w:iCs/>
                <w:sz w:val="16"/>
                <w:szCs w:val="18"/>
              </w:rPr>
            </w:pPr>
            <w:r w:rsidRPr="008D7FC7">
              <w:rPr>
                <w:bCs/>
                <w:i/>
                <w:iCs/>
                <w:sz w:val="16"/>
                <w:szCs w:val="18"/>
              </w:rPr>
              <w:t>(12)</w:t>
            </w:r>
          </w:p>
        </w:tc>
        <w:tc>
          <w:tcPr>
            <w:tcW w:w="451" w:type="dxa"/>
            <w:tcBorders>
              <w:top w:val="single" w:sz="4" w:space="0" w:color="auto"/>
              <w:bottom w:val="single" w:sz="12" w:space="0" w:color="auto"/>
            </w:tcBorders>
            <w:shd w:val="clear" w:color="auto" w:fill="auto"/>
            <w:vAlign w:val="bottom"/>
          </w:tcPr>
          <w:p w:rsidR="00F227C9" w:rsidRPr="008D7FC7" w:rsidRDefault="00F227C9" w:rsidP="008D7FC7">
            <w:pPr>
              <w:suppressAutoHyphens w:val="0"/>
              <w:spacing w:before="80" w:after="80" w:line="200" w:lineRule="exact"/>
              <w:ind w:right="113"/>
              <w:rPr>
                <w:bCs/>
                <w:i/>
                <w:iCs/>
                <w:sz w:val="16"/>
                <w:szCs w:val="18"/>
              </w:rPr>
            </w:pPr>
            <w:r w:rsidRPr="008D7FC7">
              <w:rPr>
                <w:bCs/>
                <w:i/>
                <w:iCs/>
                <w:sz w:val="16"/>
                <w:szCs w:val="18"/>
              </w:rPr>
              <w:t>(13)</w:t>
            </w:r>
          </w:p>
        </w:tc>
      </w:tr>
      <w:tr w:rsidR="008D7FC7" w:rsidRPr="008D7FC7" w:rsidTr="00B21563">
        <w:trPr>
          <w:cantSplit/>
        </w:trPr>
        <w:tc>
          <w:tcPr>
            <w:tcW w:w="570" w:type="dxa"/>
            <w:tcBorders>
              <w:top w:val="single" w:sz="12" w:space="0" w:color="auto"/>
            </w:tcBorders>
            <w:shd w:val="clear" w:color="auto" w:fill="auto"/>
          </w:tcPr>
          <w:p w:rsidR="006A2631" w:rsidRPr="008D7FC7" w:rsidRDefault="006A2631" w:rsidP="008D7FC7">
            <w:pPr>
              <w:suppressAutoHyphens w:val="0"/>
              <w:spacing w:before="40" w:after="120" w:line="220" w:lineRule="exact"/>
              <w:ind w:right="113"/>
              <w:rPr>
                <w:szCs w:val="18"/>
              </w:rPr>
            </w:pPr>
            <w:r w:rsidRPr="008D7FC7">
              <w:rPr>
                <w:szCs w:val="18"/>
              </w:rPr>
              <w:t>0510</w:t>
            </w:r>
          </w:p>
        </w:tc>
        <w:tc>
          <w:tcPr>
            <w:tcW w:w="5296" w:type="dxa"/>
            <w:tcBorders>
              <w:top w:val="single" w:sz="12" w:space="0" w:color="auto"/>
            </w:tcBorders>
            <w:shd w:val="clear" w:color="auto" w:fill="auto"/>
          </w:tcPr>
          <w:p w:rsidR="006A2631" w:rsidRPr="008D7FC7" w:rsidRDefault="006A2631" w:rsidP="008D7FC7">
            <w:pPr>
              <w:pStyle w:val="SingleTxtG"/>
              <w:suppressAutoHyphens w:val="0"/>
              <w:spacing w:before="40" w:line="220" w:lineRule="exact"/>
              <w:ind w:left="0" w:right="113"/>
              <w:jc w:val="left"/>
              <w:rPr>
                <w:szCs w:val="18"/>
              </w:rPr>
            </w:pPr>
            <w:r w:rsidRPr="008D7FC7">
              <w:rPr>
                <w:szCs w:val="18"/>
              </w:rPr>
              <w:t>PROPULSEURS</w:t>
            </w:r>
          </w:p>
        </w:tc>
        <w:tc>
          <w:tcPr>
            <w:tcW w:w="375" w:type="dxa"/>
            <w:tcBorders>
              <w:top w:val="single" w:sz="12" w:space="0" w:color="auto"/>
            </w:tcBorders>
            <w:shd w:val="clear" w:color="auto" w:fill="auto"/>
          </w:tcPr>
          <w:p w:rsidR="006A2631" w:rsidRPr="008D7FC7" w:rsidRDefault="006A2631" w:rsidP="008D7FC7">
            <w:pPr>
              <w:suppressAutoHyphens w:val="0"/>
              <w:spacing w:before="40" w:after="120" w:line="220" w:lineRule="exact"/>
              <w:ind w:right="113"/>
              <w:rPr>
                <w:szCs w:val="18"/>
                <w:lang w:eastAsia="nb-NO"/>
              </w:rPr>
            </w:pPr>
            <w:r w:rsidRPr="008D7FC7">
              <w:rPr>
                <w:szCs w:val="18"/>
                <w:lang w:eastAsia="nb-NO"/>
              </w:rPr>
              <w:t>1</w:t>
            </w:r>
          </w:p>
        </w:tc>
        <w:tc>
          <w:tcPr>
            <w:tcW w:w="564" w:type="dxa"/>
            <w:tcBorders>
              <w:top w:val="single" w:sz="12" w:space="0" w:color="auto"/>
            </w:tcBorders>
            <w:shd w:val="clear" w:color="auto" w:fill="auto"/>
          </w:tcPr>
          <w:p w:rsidR="006A2631" w:rsidRPr="008D7FC7" w:rsidRDefault="006A2631" w:rsidP="008D7FC7">
            <w:pPr>
              <w:suppressAutoHyphens w:val="0"/>
              <w:spacing w:before="40" w:after="120" w:line="220" w:lineRule="exact"/>
              <w:ind w:right="113"/>
              <w:rPr>
                <w:szCs w:val="18"/>
                <w:lang w:eastAsia="nb-NO"/>
              </w:rPr>
            </w:pPr>
            <w:r w:rsidRPr="008D7FC7">
              <w:rPr>
                <w:szCs w:val="18"/>
              </w:rPr>
              <w:t>1.4C</w:t>
            </w:r>
          </w:p>
        </w:tc>
        <w:tc>
          <w:tcPr>
            <w:tcW w:w="425" w:type="dxa"/>
            <w:tcBorders>
              <w:top w:val="single" w:sz="12" w:space="0" w:color="auto"/>
            </w:tcBorders>
            <w:shd w:val="clear" w:color="auto" w:fill="auto"/>
          </w:tcPr>
          <w:p w:rsidR="006A2631" w:rsidRPr="008D7FC7" w:rsidRDefault="006A2631" w:rsidP="008D7FC7">
            <w:pPr>
              <w:suppressAutoHyphens w:val="0"/>
              <w:spacing w:before="40" w:after="120" w:line="220" w:lineRule="exact"/>
              <w:ind w:right="113"/>
              <w:rPr>
                <w:szCs w:val="18"/>
                <w:lang w:eastAsia="nb-NO"/>
              </w:rPr>
            </w:pPr>
          </w:p>
        </w:tc>
        <w:tc>
          <w:tcPr>
            <w:tcW w:w="425" w:type="dxa"/>
            <w:tcBorders>
              <w:top w:val="single" w:sz="12" w:space="0" w:color="auto"/>
            </w:tcBorders>
            <w:shd w:val="clear" w:color="auto" w:fill="auto"/>
          </w:tcPr>
          <w:p w:rsidR="006A2631" w:rsidRPr="008D7FC7" w:rsidRDefault="006A2631" w:rsidP="008D7FC7">
            <w:pPr>
              <w:suppressAutoHyphens w:val="0"/>
              <w:spacing w:before="40" w:after="120" w:line="220" w:lineRule="exact"/>
              <w:ind w:right="113"/>
              <w:rPr>
                <w:szCs w:val="18"/>
                <w:lang w:eastAsia="nb-NO"/>
              </w:rPr>
            </w:pPr>
            <w:r w:rsidRPr="008D7FC7">
              <w:rPr>
                <w:szCs w:val="18"/>
                <w:lang w:eastAsia="nb-NO"/>
              </w:rPr>
              <w:t>1.4</w:t>
            </w:r>
          </w:p>
        </w:tc>
        <w:tc>
          <w:tcPr>
            <w:tcW w:w="567" w:type="dxa"/>
            <w:tcBorders>
              <w:top w:val="single" w:sz="12" w:space="0" w:color="auto"/>
            </w:tcBorders>
            <w:shd w:val="clear" w:color="auto" w:fill="auto"/>
          </w:tcPr>
          <w:p w:rsidR="006A2631" w:rsidRPr="008D7FC7" w:rsidRDefault="006A2631" w:rsidP="008D7FC7">
            <w:pPr>
              <w:suppressAutoHyphens w:val="0"/>
              <w:spacing w:before="40" w:after="120" w:line="220" w:lineRule="exact"/>
              <w:ind w:right="113"/>
              <w:rPr>
                <w:szCs w:val="18"/>
                <w:lang w:eastAsia="nb-NO"/>
              </w:rPr>
            </w:pPr>
          </w:p>
        </w:tc>
        <w:tc>
          <w:tcPr>
            <w:tcW w:w="426" w:type="dxa"/>
            <w:tcBorders>
              <w:top w:val="single" w:sz="12" w:space="0" w:color="auto"/>
            </w:tcBorders>
            <w:shd w:val="clear" w:color="auto" w:fill="auto"/>
          </w:tcPr>
          <w:p w:rsidR="006A2631" w:rsidRPr="008D7FC7" w:rsidRDefault="006A2631" w:rsidP="008D7FC7">
            <w:pPr>
              <w:suppressAutoHyphens w:val="0"/>
              <w:spacing w:before="40" w:after="120" w:line="220" w:lineRule="exact"/>
              <w:ind w:right="113"/>
              <w:rPr>
                <w:szCs w:val="18"/>
              </w:rPr>
            </w:pPr>
            <w:r w:rsidRPr="008D7FC7">
              <w:rPr>
                <w:szCs w:val="18"/>
                <w:lang w:eastAsia="nb-NO"/>
              </w:rPr>
              <w:t>0</w:t>
            </w:r>
          </w:p>
        </w:tc>
        <w:tc>
          <w:tcPr>
            <w:tcW w:w="425" w:type="dxa"/>
            <w:tcBorders>
              <w:top w:val="single" w:sz="12" w:space="0" w:color="auto"/>
            </w:tcBorders>
            <w:shd w:val="clear" w:color="auto" w:fill="auto"/>
          </w:tcPr>
          <w:p w:rsidR="006A2631" w:rsidRPr="008D7FC7" w:rsidRDefault="006A2631" w:rsidP="008D7FC7">
            <w:pPr>
              <w:suppressAutoHyphens w:val="0"/>
              <w:spacing w:before="40" w:after="120" w:line="220" w:lineRule="exact"/>
              <w:ind w:right="113"/>
              <w:rPr>
                <w:szCs w:val="18"/>
              </w:rPr>
            </w:pPr>
            <w:r w:rsidRPr="008D7FC7">
              <w:rPr>
                <w:szCs w:val="18"/>
                <w:lang w:eastAsia="nb-NO"/>
              </w:rPr>
              <w:t>E0</w:t>
            </w:r>
          </w:p>
        </w:tc>
        <w:tc>
          <w:tcPr>
            <w:tcW w:w="425" w:type="dxa"/>
            <w:tcBorders>
              <w:top w:val="single" w:sz="12" w:space="0" w:color="auto"/>
            </w:tcBorders>
            <w:shd w:val="clear" w:color="auto" w:fill="auto"/>
          </w:tcPr>
          <w:p w:rsidR="006A2631" w:rsidRPr="008D7FC7" w:rsidRDefault="006A2631" w:rsidP="008D7FC7">
            <w:pPr>
              <w:suppressAutoHyphens w:val="0"/>
              <w:spacing w:before="40" w:after="120" w:line="220" w:lineRule="exact"/>
              <w:ind w:right="113"/>
              <w:rPr>
                <w:szCs w:val="18"/>
                <w:lang w:eastAsia="nb-NO"/>
              </w:rPr>
            </w:pPr>
          </w:p>
        </w:tc>
        <w:tc>
          <w:tcPr>
            <w:tcW w:w="567" w:type="dxa"/>
            <w:tcBorders>
              <w:top w:val="single" w:sz="12" w:space="0" w:color="auto"/>
            </w:tcBorders>
            <w:shd w:val="clear" w:color="auto" w:fill="auto"/>
          </w:tcPr>
          <w:p w:rsidR="006A2631" w:rsidRPr="008D7FC7" w:rsidRDefault="006A2631" w:rsidP="008D7FC7">
            <w:pPr>
              <w:suppressAutoHyphens w:val="0"/>
              <w:spacing w:before="40" w:after="120" w:line="220" w:lineRule="exact"/>
              <w:ind w:right="113"/>
              <w:rPr>
                <w:szCs w:val="18"/>
                <w:lang w:eastAsia="nb-NO"/>
              </w:rPr>
            </w:pPr>
          </w:p>
        </w:tc>
        <w:tc>
          <w:tcPr>
            <w:tcW w:w="425" w:type="dxa"/>
            <w:tcBorders>
              <w:top w:val="single" w:sz="12" w:space="0" w:color="auto"/>
            </w:tcBorders>
            <w:shd w:val="clear" w:color="auto" w:fill="auto"/>
          </w:tcPr>
          <w:p w:rsidR="006A2631" w:rsidRPr="008D7FC7" w:rsidRDefault="006A2631" w:rsidP="008D7FC7">
            <w:pPr>
              <w:suppressAutoHyphens w:val="0"/>
              <w:spacing w:before="40" w:after="120" w:line="220" w:lineRule="exact"/>
              <w:ind w:right="113"/>
              <w:rPr>
                <w:szCs w:val="18"/>
                <w:lang w:eastAsia="nb-NO"/>
              </w:rPr>
            </w:pPr>
          </w:p>
        </w:tc>
        <w:tc>
          <w:tcPr>
            <w:tcW w:w="426" w:type="dxa"/>
            <w:tcBorders>
              <w:top w:val="single" w:sz="12" w:space="0" w:color="auto"/>
            </w:tcBorders>
            <w:shd w:val="clear" w:color="auto" w:fill="auto"/>
          </w:tcPr>
          <w:p w:rsidR="006A2631" w:rsidRPr="008D7FC7" w:rsidRDefault="006A2631" w:rsidP="008D7FC7">
            <w:pPr>
              <w:suppressAutoHyphens w:val="0"/>
              <w:spacing w:before="40" w:after="120" w:line="220" w:lineRule="exact"/>
              <w:ind w:right="113"/>
              <w:rPr>
                <w:szCs w:val="18"/>
                <w:lang w:eastAsia="nb-NO"/>
              </w:rPr>
            </w:pPr>
          </w:p>
        </w:tc>
        <w:tc>
          <w:tcPr>
            <w:tcW w:w="425" w:type="dxa"/>
            <w:tcBorders>
              <w:top w:val="single" w:sz="12" w:space="0" w:color="auto"/>
            </w:tcBorders>
            <w:shd w:val="clear" w:color="auto" w:fill="auto"/>
          </w:tcPr>
          <w:p w:rsidR="006A2631" w:rsidRPr="008D7FC7" w:rsidRDefault="006A2631" w:rsidP="008D7FC7">
            <w:pPr>
              <w:suppressAutoHyphens w:val="0"/>
              <w:spacing w:before="40" w:after="120" w:line="220" w:lineRule="exact"/>
              <w:ind w:right="113"/>
              <w:rPr>
                <w:szCs w:val="18"/>
                <w:lang w:eastAsia="nb-NO"/>
              </w:rPr>
            </w:pPr>
          </w:p>
        </w:tc>
        <w:tc>
          <w:tcPr>
            <w:tcW w:w="567" w:type="dxa"/>
            <w:tcBorders>
              <w:top w:val="single" w:sz="12" w:space="0" w:color="auto"/>
            </w:tcBorders>
            <w:shd w:val="clear" w:color="auto" w:fill="auto"/>
          </w:tcPr>
          <w:p w:rsidR="006A2631" w:rsidRPr="008D7FC7" w:rsidRDefault="006A2631" w:rsidP="008D7FC7">
            <w:pPr>
              <w:suppressAutoHyphens w:val="0"/>
              <w:spacing w:before="40" w:after="120" w:line="220" w:lineRule="exact"/>
              <w:ind w:right="113"/>
              <w:rPr>
                <w:szCs w:val="18"/>
                <w:lang w:eastAsia="nb-NO"/>
              </w:rPr>
            </w:pPr>
          </w:p>
        </w:tc>
        <w:tc>
          <w:tcPr>
            <w:tcW w:w="451" w:type="dxa"/>
            <w:tcBorders>
              <w:top w:val="single" w:sz="12" w:space="0" w:color="auto"/>
            </w:tcBorders>
            <w:shd w:val="clear" w:color="auto" w:fill="auto"/>
          </w:tcPr>
          <w:p w:rsidR="006A2631" w:rsidRPr="008D7FC7" w:rsidRDefault="006A2631" w:rsidP="008D7FC7">
            <w:pPr>
              <w:suppressAutoHyphens w:val="0"/>
              <w:spacing w:before="40" w:after="120" w:line="220" w:lineRule="exact"/>
              <w:ind w:right="113"/>
              <w:rPr>
                <w:szCs w:val="18"/>
                <w:lang w:eastAsia="nb-NO"/>
              </w:rPr>
            </w:pPr>
          </w:p>
        </w:tc>
      </w:tr>
      <w:tr w:rsidR="008D7FC7" w:rsidRPr="008D7FC7" w:rsidTr="00B21563">
        <w:trPr>
          <w:cantSplit/>
        </w:trPr>
        <w:tc>
          <w:tcPr>
            <w:tcW w:w="570"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rPr>
              <w:t>3527</w:t>
            </w:r>
          </w:p>
        </w:tc>
        <w:tc>
          <w:tcPr>
            <w:tcW w:w="5296" w:type="dxa"/>
            <w:shd w:val="clear" w:color="auto" w:fill="auto"/>
          </w:tcPr>
          <w:p w:rsidR="00F227C9" w:rsidRPr="008D7FC7" w:rsidRDefault="00F227C9" w:rsidP="008D7FC7">
            <w:pPr>
              <w:pStyle w:val="SingleTxtG"/>
              <w:suppressAutoHyphens w:val="0"/>
              <w:spacing w:before="40" w:line="220" w:lineRule="exact"/>
              <w:ind w:left="0" w:right="113"/>
              <w:jc w:val="left"/>
              <w:rPr>
                <w:szCs w:val="18"/>
              </w:rPr>
            </w:pPr>
            <w:r w:rsidRPr="008D7FC7">
              <w:rPr>
                <w:szCs w:val="18"/>
              </w:rPr>
              <w:t xml:space="preserve">TROUSSE DE RÉSINE POLYESTER, constituant de base solide </w:t>
            </w:r>
          </w:p>
        </w:tc>
        <w:tc>
          <w:tcPr>
            <w:tcW w:w="375"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lang w:eastAsia="nb-NO"/>
              </w:rPr>
              <w:t>4.1</w:t>
            </w:r>
          </w:p>
        </w:tc>
        <w:tc>
          <w:tcPr>
            <w:tcW w:w="564"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F4</w:t>
            </w: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II</w:t>
            </w: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4.1</w:t>
            </w:r>
          </w:p>
        </w:tc>
        <w:tc>
          <w:tcPr>
            <w:tcW w:w="567"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236</w:t>
            </w:r>
            <w:r w:rsidRPr="008D7FC7">
              <w:rPr>
                <w:szCs w:val="18"/>
                <w:lang w:eastAsia="nb-NO"/>
              </w:rPr>
              <w:br/>
              <w:t>340</w:t>
            </w:r>
          </w:p>
        </w:tc>
        <w:tc>
          <w:tcPr>
            <w:tcW w:w="426"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rPr>
              <w:t>5kg</w:t>
            </w: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rPr>
              <w:t>E0</w:t>
            </w: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567"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6"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567"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51"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r>
      <w:tr w:rsidR="008D7FC7" w:rsidRPr="008D7FC7" w:rsidTr="00B21563">
        <w:trPr>
          <w:cantSplit/>
        </w:trPr>
        <w:tc>
          <w:tcPr>
            <w:tcW w:w="570"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rPr>
              <w:t>3527</w:t>
            </w:r>
          </w:p>
        </w:tc>
        <w:tc>
          <w:tcPr>
            <w:tcW w:w="5296" w:type="dxa"/>
            <w:shd w:val="clear" w:color="auto" w:fill="auto"/>
          </w:tcPr>
          <w:p w:rsidR="00F227C9" w:rsidRPr="008D7FC7" w:rsidRDefault="00F227C9" w:rsidP="008D7FC7">
            <w:pPr>
              <w:pStyle w:val="SingleTxtG"/>
              <w:suppressAutoHyphens w:val="0"/>
              <w:spacing w:before="40" w:line="220" w:lineRule="exact"/>
              <w:ind w:left="0" w:right="113"/>
              <w:jc w:val="left"/>
              <w:rPr>
                <w:szCs w:val="18"/>
              </w:rPr>
            </w:pPr>
            <w:r w:rsidRPr="008D7FC7">
              <w:rPr>
                <w:szCs w:val="18"/>
              </w:rPr>
              <w:t>TROUSSE DE RÉSINE POLYESTER, constituant de base solide</w:t>
            </w:r>
          </w:p>
        </w:tc>
        <w:tc>
          <w:tcPr>
            <w:tcW w:w="375"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lang w:eastAsia="nb-NO"/>
              </w:rPr>
              <w:t>4.1</w:t>
            </w:r>
          </w:p>
        </w:tc>
        <w:tc>
          <w:tcPr>
            <w:tcW w:w="564"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F4</w:t>
            </w: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III</w:t>
            </w: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4.1</w:t>
            </w:r>
          </w:p>
        </w:tc>
        <w:tc>
          <w:tcPr>
            <w:tcW w:w="567"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236</w:t>
            </w:r>
            <w:r w:rsidRPr="008D7FC7">
              <w:rPr>
                <w:szCs w:val="18"/>
                <w:lang w:eastAsia="nb-NO"/>
              </w:rPr>
              <w:br/>
              <w:t>340</w:t>
            </w:r>
          </w:p>
        </w:tc>
        <w:tc>
          <w:tcPr>
            <w:tcW w:w="426"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rPr>
              <w:t>5kg</w:t>
            </w: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rPr>
              <w:t>E0</w:t>
            </w: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567"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6"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567"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51"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r>
      <w:tr w:rsidR="008D7FC7" w:rsidRPr="008D7FC7" w:rsidTr="00B21563">
        <w:trPr>
          <w:cantSplit/>
        </w:trPr>
        <w:tc>
          <w:tcPr>
            <w:tcW w:w="570" w:type="dxa"/>
            <w:shd w:val="clear" w:color="auto" w:fill="auto"/>
          </w:tcPr>
          <w:p w:rsidR="00F227C9" w:rsidRPr="008D7FC7" w:rsidDel="004D2651" w:rsidRDefault="00F227C9" w:rsidP="008D7FC7">
            <w:pPr>
              <w:suppressAutoHyphens w:val="0"/>
              <w:spacing w:before="40" w:after="120" w:line="220" w:lineRule="exact"/>
              <w:ind w:right="113"/>
              <w:rPr>
                <w:szCs w:val="18"/>
              </w:rPr>
            </w:pPr>
            <w:r w:rsidRPr="008D7FC7">
              <w:rPr>
                <w:szCs w:val="18"/>
              </w:rPr>
              <w:t>3528</w:t>
            </w:r>
          </w:p>
        </w:tc>
        <w:tc>
          <w:tcPr>
            <w:tcW w:w="5296" w:type="dxa"/>
            <w:shd w:val="clear" w:color="auto" w:fill="auto"/>
          </w:tcPr>
          <w:p w:rsidR="00F227C9" w:rsidRPr="008D7FC7" w:rsidRDefault="00F227C9" w:rsidP="008D7FC7">
            <w:pPr>
              <w:pStyle w:val="SingleTxtG"/>
              <w:suppressAutoHyphens w:val="0"/>
              <w:spacing w:before="40" w:line="220" w:lineRule="exact"/>
              <w:ind w:left="0" w:right="113"/>
              <w:jc w:val="left"/>
              <w:rPr>
                <w:szCs w:val="18"/>
              </w:rPr>
            </w:pPr>
            <w:r w:rsidRPr="008D7FC7">
              <w:rPr>
                <w:szCs w:val="18"/>
              </w:rPr>
              <w:t>MOTEUR À COMBUSTION INTERNE FONCTIONNANT AU LIQUIDE INFLAMMABLE ou MOTEUR PILE À COMBUSTIBLE CONTENANT DU LIQUIDE INFLAMMABLE ou MACHINE À COMBUSTION INTERNE FONCTIONNANT AU LIQUIDE INFLAMMABLE ou MACHINE PILE À COMBUSTIBLE CONTENANT DU LIQUIDE INFLAMMABLE</w:t>
            </w:r>
          </w:p>
        </w:tc>
        <w:tc>
          <w:tcPr>
            <w:tcW w:w="375"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rPr>
              <w:t>3</w:t>
            </w:r>
          </w:p>
        </w:tc>
        <w:tc>
          <w:tcPr>
            <w:tcW w:w="564"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rPr>
              <w:t> </w:t>
            </w:r>
          </w:p>
        </w:tc>
        <w:tc>
          <w:tcPr>
            <w:tcW w:w="425"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rPr>
              <w:t>3</w:t>
            </w:r>
          </w:p>
        </w:tc>
        <w:tc>
          <w:tcPr>
            <w:tcW w:w="567" w:type="dxa"/>
            <w:shd w:val="clear" w:color="auto" w:fill="auto"/>
          </w:tcPr>
          <w:p w:rsidR="005622F9" w:rsidRPr="008D7FC7" w:rsidRDefault="00F227C9" w:rsidP="008D7FC7">
            <w:pPr>
              <w:suppressAutoHyphens w:val="0"/>
              <w:spacing w:before="40" w:after="120" w:line="220" w:lineRule="exact"/>
              <w:ind w:right="113"/>
              <w:rPr>
                <w:szCs w:val="18"/>
              </w:rPr>
            </w:pPr>
            <w:r w:rsidRPr="008D7FC7">
              <w:rPr>
                <w:szCs w:val="18"/>
              </w:rPr>
              <w:t>363</w:t>
            </w:r>
          </w:p>
          <w:p w:rsidR="00F227C9" w:rsidRPr="008D7FC7" w:rsidRDefault="005622F9" w:rsidP="008D7FC7">
            <w:pPr>
              <w:suppressAutoHyphens w:val="0"/>
              <w:spacing w:before="40" w:after="120" w:line="220" w:lineRule="exact"/>
              <w:ind w:right="113"/>
              <w:rPr>
                <w:szCs w:val="18"/>
                <w:lang w:eastAsia="nb-NO"/>
              </w:rPr>
            </w:pPr>
            <w:r w:rsidRPr="008D7FC7">
              <w:rPr>
                <w:szCs w:val="18"/>
              </w:rPr>
              <w:t>666</w:t>
            </w:r>
            <w:r w:rsidR="00F227C9" w:rsidRPr="008D7FC7">
              <w:rPr>
                <w:szCs w:val="18"/>
              </w:rPr>
              <w:t> </w:t>
            </w:r>
          </w:p>
        </w:tc>
        <w:tc>
          <w:tcPr>
            <w:tcW w:w="426"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rPr>
              <w:t>0</w:t>
            </w: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rPr>
              <w:t>E0</w:t>
            </w:r>
          </w:p>
        </w:tc>
        <w:tc>
          <w:tcPr>
            <w:tcW w:w="425" w:type="dxa"/>
            <w:shd w:val="clear" w:color="auto" w:fill="auto"/>
          </w:tcPr>
          <w:p w:rsidR="00F227C9" w:rsidRPr="008D7FC7" w:rsidRDefault="00F227C9" w:rsidP="008D7FC7">
            <w:pPr>
              <w:suppressAutoHyphens w:val="0"/>
              <w:spacing w:before="40" w:after="120" w:line="220" w:lineRule="exact"/>
              <w:ind w:right="113"/>
              <w:rPr>
                <w:szCs w:val="18"/>
              </w:rPr>
            </w:pPr>
          </w:p>
        </w:tc>
        <w:tc>
          <w:tcPr>
            <w:tcW w:w="567" w:type="dxa"/>
            <w:shd w:val="clear" w:color="auto" w:fill="auto"/>
          </w:tcPr>
          <w:p w:rsidR="00F227C9" w:rsidRPr="008D7FC7" w:rsidRDefault="00F227C9" w:rsidP="008D7FC7">
            <w:pPr>
              <w:suppressAutoHyphens w:val="0"/>
              <w:spacing w:before="40" w:after="120" w:line="220" w:lineRule="exact"/>
              <w:ind w:right="113"/>
              <w:rPr>
                <w:szCs w:val="18"/>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6"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567"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51"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r>
      <w:tr w:rsidR="008D7FC7" w:rsidRPr="008D7FC7" w:rsidTr="00B21563">
        <w:trPr>
          <w:cantSplit/>
        </w:trPr>
        <w:tc>
          <w:tcPr>
            <w:tcW w:w="570" w:type="dxa"/>
            <w:shd w:val="clear" w:color="auto" w:fill="auto"/>
          </w:tcPr>
          <w:p w:rsidR="00F227C9" w:rsidRPr="008D7FC7" w:rsidDel="004D2651" w:rsidRDefault="00F227C9" w:rsidP="008D7FC7">
            <w:pPr>
              <w:suppressAutoHyphens w:val="0"/>
              <w:spacing w:before="40" w:after="120" w:line="220" w:lineRule="exact"/>
              <w:ind w:right="113"/>
              <w:rPr>
                <w:szCs w:val="18"/>
              </w:rPr>
            </w:pPr>
            <w:r w:rsidRPr="008D7FC7">
              <w:rPr>
                <w:szCs w:val="18"/>
              </w:rPr>
              <w:t>3529</w:t>
            </w:r>
          </w:p>
        </w:tc>
        <w:tc>
          <w:tcPr>
            <w:tcW w:w="5296" w:type="dxa"/>
            <w:shd w:val="clear" w:color="auto" w:fill="auto"/>
          </w:tcPr>
          <w:p w:rsidR="00F227C9" w:rsidRPr="008D7FC7" w:rsidRDefault="00F227C9" w:rsidP="008D7FC7">
            <w:pPr>
              <w:suppressAutoHyphens w:val="0"/>
              <w:spacing w:before="40" w:after="120" w:line="220" w:lineRule="exact"/>
              <w:ind w:right="113"/>
              <w:rPr>
                <w:szCs w:val="18"/>
                <w:lang w:val="fr-FR"/>
              </w:rPr>
            </w:pPr>
            <w:r w:rsidRPr="008D7FC7">
              <w:rPr>
                <w:szCs w:val="18"/>
                <w:lang w:val="fr-FR"/>
              </w:rPr>
              <w:t xml:space="preserve">MOTEUR À COMBUSTION INTERNE </w:t>
            </w:r>
            <w:r w:rsidRPr="008D7FC7">
              <w:rPr>
                <w:szCs w:val="18"/>
              </w:rPr>
              <w:t>FONCTIONNANT AU</w:t>
            </w:r>
            <w:r w:rsidRPr="008D7FC7">
              <w:rPr>
                <w:szCs w:val="18"/>
                <w:lang w:val="fr-FR"/>
              </w:rPr>
              <w:t xml:space="preserve"> GAZ INFLAMMABLE ou </w:t>
            </w:r>
            <w:r w:rsidRPr="008D7FC7">
              <w:rPr>
                <w:szCs w:val="18"/>
              </w:rPr>
              <w:t xml:space="preserve">MOTEUR PILE À COMBUSTIBLE CONTENANT DU GAZ INFLAMMABLE </w:t>
            </w:r>
            <w:r w:rsidRPr="008D7FC7">
              <w:rPr>
                <w:szCs w:val="18"/>
                <w:lang w:val="fr-FR"/>
              </w:rPr>
              <w:t xml:space="preserve">ou </w:t>
            </w:r>
            <w:r w:rsidRPr="008D7FC7">
              <w:rPr>
                <w:szCs w:val="18"/>
              </w:rPr>
              <w:t>MACHINE À COMBUSTION INTERNE FONCTIONNANT AU GAZ INFLAMMABLE ou MACHINE PILE À COMBUSTIBLE CONTENANT DU GAZ INFLAMMABLE</w:t>
            </w:r>
          </w:p>
        </w:tc>
        <w:tc>
          <w:tcPr>
            <w:tcW w:w="375"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rPr>
              <w:t>2</w:t>
            </w:r>
          </w:p>
        </w:tc>
        <w:tc>
          <w:tcPr>
            <w:tcW w:w="564"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rPr>
              <w:t> </w:t>
            </w:r>
          </w:p>
        </w:tc>
        <w:tc>
          <w:tcPr>
            <w:tcW w:w="425"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rPr>
              <w:t>2.1</w:t>
            </w:r>
          </w:p>
        </w:tc>
        <w:tc>
          <w:tcPr>
            <w:tcW w:w="567" w:type="dxa"/>
            <w:shd w:val="clear" w:color="auto" w:fill="auto"/>
          </w:tcPr>
          <w:p w:rsidR="005622F9" w:rsidRPr="008D7FC7" w:rsidRDefault="00F227C9" w:rsidP="008D7FC7">
            <w:pPr>
              <w:suppressAutoHyphens w:val="0"/>
              <w:spacing w:before="40" w:after="120" w:line="220" w:lineRule="exact"/>
              <w:ind w:right="113"/>
              <w:rPr>
                <w:szCs w:val="18"/>
              </w:rPr>
            </w:pPr>
            <w:r w:rsidRPr="008D7FC7">
              <w:rPr>
                <w:szCs w:val="18"/>
              </w:rPr>
              <w:t>363</w:t>
            </w:r>
          </w:p>
          <w:p w:rsidR="00F227C9" w:rsidRPr="008D7FC7" w:rsidRDefault="005622F9" w:rsidP="008D7FC7">
            <w:pPr>
              <w:suppressAutoHyphens w:val="0"/>
              <w:spacing w:before="40" w:after="120" w:line="220" w:lineRule="exact"/>
              <w:ind w:right="113"/>
              <w:rPr>
                <w:szCs w:val="18"/>
                <w:lang w:eastAsia="nb-NO"/>
              </w:rPr>
            </w:pPr>
            <w:r w:rsidRPr="008D7FC7">
              <w:rPr>
                <w:szCs w:val="18"/>
              </w:rPr>
              <w:t>666</w:t>
            </w:r>
            <w:r w:rsidR="00F227C9" w:rsidRPr="008D7FC7">
              <w:rPr>
                <w:szCs w:val="18"/>
              </w:rPr>
              <w:t> </w:t>
            </w:r>
          </w:p>
        </w:tc>
        <w:tc>
          <w:tcPr>
            <w:tcW w:w="426"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rPr>
              <w:t>0</w:t>
            </w: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rPr>
              <w:t>E0</w:t>
            </w:r>
          </w:p>
        </w:tc>
        <w:tc>
          <w:tcPr>
            <w:tcW w:w="425" w:type="dxa"/>
            <w:shd w:val="clear" w:color="auto" w:fill="auto"/>
          </w:tcPr>
          <w:p w:rsidR="00F227C9" w:rsidRPr="008D7FC7" w:rsidRDefault="00F227C9" w:rsidP="008D7FC7">
            <w:pPr>
              <w:suppressAutoHyphens w:val="0"/>
              <w:spacing w:before="40" w:after="120" w:line="220" w:lineRule="exact"/>
              <w:ind w:right="113"/>
              <w:rPr>
                <w:szCs w:val="18"/>
              </w:rPr>
            </w:pPr>
          </w:p>
        </w:tc>
        <w:tc>
          <w:tcPr>
            <w:tcW w:w="567" w:type="dxa"/>
            <w:shd w:val="clear" w:color="auto" w:fill="auto"/>
          </w:tcPr>
          <w:p w:rsidR="00F227C9" w:rsidRPr="008D7FC7" w:rsidRDefault="00F227C9" w:rsidP="008D7FC7">
            <w:pPr>
              <w:suppressAutoHyphens w:val="0"/>
              <w:spacing w:before="40" w:after="120" w:line="220" w:lineRule="exact"/>
              <w:ind w:right="113"/>
              <w:rPr>
                <w:szCs w:val="18"/>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rPr>
            </w:pPr>
          </w:p>
        </w:tc>
        <w:tc>
          <w:tcPr>
            <w:tcW w:w="426"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567"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51"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r>
      <w:tr w:rsidR="008D7FC7" w:rsidRPr="008D7FC7" w:rsidTr="00B21563">
        <w:trPr>
          <w:cantSplit/>
        </w:trPr>
        <w:tc>
          <w:tcPr>
            <w:tcW w:w="570" w:type="dxa"/>
            <w:shd w:val="clear" w:color="auto" w:fill="auto"/>
          </w:tcPr>
          <w:p w:rsidR="00F227C9" w:rsidRPr="008D7FC7" w:rsidDel="004D2651" w:rsidRDefault="00F227C9" w:rsidP="008D7FC7">
            <w:pPr>
              <w:suppressAutoHyphens w:val="0"/>
              <w:spacing w:before="40" w:after="120" w:line="220" w:lineRule="exact"/>
              <w:ind w:right="113"/>
              <w:rPr>
                <w:szCs w:val="18"/>
              </w:rPr>
            </w:pPr>
            <w:r w:rsidRPr="008D7FC7">
              <w:rPr>
                <w:szCs w:val="18"/>
              </w:rPr>
              <w:t>3530</w:t>
            </w:r>
          </w:p>
        </w:tc>
        <w:tc>
          <w:tcPr>
            <w:tcW w:w="5296" w:type="dxa"/>
            <w:shd w:val="clear" w:color="auto" w:fill="auto"/>
          </w:tcPr>
          <w:p w:rsidR="00F227C9" w:rsidRPr="008D7FC7" w:rsidRDefault="00F227C9" w:rsidP="008D7FC7">
            <w:pPr>
              <w:suppressAutoHyphens w:val="0"/>
              <w:spacing w:before="40" w:after="120" w:line="220" w:lineRule="exact"/>
              <w:ind w:right="113"/>
              <w:rPr>
                <w:szCs w:val="18"/>
                <w:lang w:val="fr-FR"/>
              </w:rPr>
            </w:pPr>
            <w:r w:rsidRPr="008D7FC7">
              <w:rPr>
                <w:szCs w:val="18"/>
                <w:lang w:val="fr-FR"/>
              </w:rPr>
              <w:t xml:space="preserve">MOTEUR À COMBUSTION INTERNE ou </w:t>
            </w:r>
            <w:r w:rsidRPr="008D7FC7">
              <w:rPr>
                <w:szCs w:val="18"/>
              </w:rPr>
              <w:t>MACHINE À COMBUSTION INTERNE</w:t>
            </w:r>
          </w:p>
        </w:tc>
        <w:tc>
          <w:tcPr>
            <w:tcW w:w="375"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rPr>
              <w:t>9</w:t>
            </w:r>
          </w:p>
        </w:tc>
        <w:tc>
          <w:tcPr>
            <w:tcW w:w="564"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rPr>
              <w:t> </w:t>
            </w:r>
          </w:p>
        </w:tc>
        <w:tc>
          <w:tcPr>
            <w:tcW w:w="425"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rPr>
              <w:t>9</w:t>
            </w:r>
          </w:p>
        </w:tc>
        <w:tc>
          <w:tcPr>
            <w:tcW w:w="567" w:type="dxa"/>
            <w:shd w:val="clear" w:color="auto" w:fill="auto"/>
          </w:tcPr>
          <w:p w:rsidR="005622F9" w:rsidRPr="008D7FC7" w:rsidRDefault="00F227C9" w:rsidP="008D7FC7">
            <w:pPr>
              <w:suppressAutoHyphens w:val="0"/>
              <w:spacing w:before="40" w:after="120" w:line="220" w:lineRule="exact"/>
              <w:ind w:right="113"/>
              <w:rPr>
                <w:szCs w:val="18"/>
              </w:rPr>
            </w:pPr>
            <w:r w:rsidRPr="008D7FC7">
              <w:rPr>
                <w:szCs w:val="18"/>
              </w:rPr>
              <w:t>363</w:t>
            </w:r>
          </w:p>
          <w:p w:rsidR="00F227C9" w:rsidRPr="008D7FC7" w:rsidRDefault="005622F9" w:rsidP="008D7FC7">
            <w:pPr>
              <w:suppressAutoHyphens w:val="0"/>
              <w:spacing w:before="40" w:after="120" w:line="220" w:lineRule="exact"/>
              <w:ind w:right="113"/>
              <w:rPr>
                <w:szCs w:val="18"/>
                <w:lang w:eastAsia="nb-NO"/>
              </w:rPr>
            </w:pPr>
            <w:r w:rsidRPr="008D7FC7">
              <w:rPr>
                <w:szCs w:val="18"/>
              </w:rPr>
              <w:t>666</w:t>
            </w:r>
            <w:r w:rsidR="00F227C9" w:rsidRPr="008D7FC7">
              <w:rPr>
                <w:szCs w:val="18"/>
              </w:rPr>
              <w:t> </w:t>
            </w:r>
          </w:p>
        </w:tc>
        <w:tc>
          <w:tcPr>
            <w:tcW w:w="426"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rPr>
              <w:t>0</w:t>
            </w: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rPr>
              <w:t>E0</w:t>
            </w:r>
          </w:p>
        </w:tc>
        <w:tc>
          <w:tcPr>
            <w:tcW w:w="425" w:type="dxa"/>
            <w:shd w:val="clear" w:color="auto" w:fill="auto"/>
          </w:tcPr>
          <w:p w:rsidR="00F227C9" w:rsidRPr="008D7FC7" w:rsidRDefault="00F227C9" w:rsidP="008D7FC7">
            <w:pPr>
              <w:suppressAutoHyphens w:val="0"/>
              <w:spacing w:before="40" w:after="120" w:line="220" w:lineRule="exact"/>
              <w:ind w:right="113"/>
              <w:rPr>
                <w:szCs w:val="18"/>
              </w:rPr>
            </w:pPr>
          </w:p>
        </w:tc>
        <w:tc>
          <w:tcPr>
            <w:tcW w:w="567" w:type="dxa"/>
            <w:shd w:val="clear" w:color="auto" w:fill="auto"/>
          </w:tcPr>
          <w:p w:rsidR="00F227C9" w:rsidRPr="008D7FC7" w:rsidRDefault="00F227C9" w:rsidP="008D7FC7">
            <w:pPr>
              <w:suppressAutoHyphens w:val="0"/>
              <w:spacing w:before="40" w:after="120" w:line="220" w:lineRule="exact"/>
              <w:ind w:right="113"/>
              <w:rPr>
                <w:szCs w:val="18"/>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6"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567"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51"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r>
      <w:tr w:rsidR="008D7FC7" w:rsidRPr="008D7FC7" w:rsidTr="00B21563">
        <w:trPr>
          <w:cantSplit/>
        </w:trPr>
        <w:tc>
          <w:tcPr>
            <w:tcW w:w="570"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rPr>
              <w:t>3531</w:t>
            </w:r>
          </w:p>
        </w:tc>
        <w:tc>
          <w:tcPr>
            <w:tcW w:w="5296" w:type="dxa"/>
            <w:shd w:val="clear" w:color="auto" w:fill="auto"/>
          </w:tcPr>
          <w:p w:rsidR="00F227C9" w:rsidRPr="008D7FC7" w:rsidRDefault="00F227C9" w:rsidP="008D7FC7">
            <w:pPr>
              <w:suppressAutoHyphens w:val="0"/>
              <w:spacing w:before="40" w:after="120" w:line="220" w:lineRule="exact"/>
              <w:ind w:right="113"/>
              <w:rPr>
                <w:szCs w:val="18"/>
                <w:lang w:val="fr-FR"/>
              </w:rPr>
            </w:pPr>
            <w:r w:rsidRPr="008D7FC7">
              <w:rPr>
                <w:szCs w:val="18"/>
                <w:lang w:val="fr-FR"/>
              </w:rPr>
              <w:t>MATIÈRE SOLIDE QUI POLYMÉRISE, STABILISÉE, N.S.A</w:t>
            </w:r>
          </w:p>
        </w:tc>
        <w:tc>
          <w:tcPr>
            <w:tcW w:w="375"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lang w:eastAsia="nb-NO"/>
              </w:rPr>
              <w:t>4.1</w:t>
            </w:r>
          </w:p>
        </w:tc>
        <w:tc>
          <w:tcPr>
            <w:tcW w:w="564"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PM1</w:t>
            </w:r>
          </w:p>
        </w:tc>
        <w:tc>
          <w:tcPr>
            <w:tcW w:w="425"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lang w:eastAsia="nb-NO"/>
              </w:rPr>
              <w:t>III</w:t>
            </w: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4.1</w:t>
            </w:r>
          </w:p>
        </w:tc>
        <w:tc>
          <w:tcPr>
            <w:tcW w:w="567"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274</w:t>
            </w:r>
          </w:p>
          <w:p w:rsidR="00F227C9" w:rsidRPr="008D7FC7" w:rsidRDefault="00F227C9" w:rsidP="008D7FC7">
            <w:pPr>
              <w:suppressAutoHyphens w:val="0"/>
              <w:spacing w:before="40" w:after="120" w:line="220" w:lineRule="exact"/>
              <w:ind w:right="113"/>
              <w:rPr>
                <w:szCs w:val="18"/>
              </w:rPr>
            </w:pPr>
            <w:r w:rsidRPr="008D7FC7">
              <w:rPr>
                <w:szCs w:val="18"/>
                <w:lang w:eastAsia="nb-NO"/>
              </w:rPr>
              <w:t>386</w:t>
            </w:r>
          </w:p>
        </w:tc>
        <w:tc>
          <w:tcPr>
            <w:tcW w:w="426"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rPr>
              <w:t>0</w:t>
            </w:r>
          </w:p>
        </w:tc>
        <w:tc>
          <w:tcPr>
            <w:tcW w:w="425"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rPr>
              <w:t>E0</w:t>
            </w:r>
          </w:p>
        </w:tc>
        <w:tc>
          <w:tcPr>
            <w:tcW w:w="425" w:type="dxa"/>
            <w:shd w:val="clear" w:color="auto" w:fill="auto"/>
          </w:tcPr>
          <w:p w:rsidR="00F227C9" w:rsidRPr="008D7FC7" w:rsidRDefault="00F227C9" w:rsidP="008D7FC7">
            <w:pPr>
              <w:suppressAutoHyphens w:val="0"/>
              <w:spacing w:before="40" w:after="120" w:line="220" w:lineRule="exact"/>
              <w:ind w:right="113"/>
              <w:rPr>
                <w:szCs w:val="18"/>
              </w:rPr>
            </w:pPr>
          </w:p>
        </w:tc>
        <w:tc>
          <w:tcPr>
            <w:tcW w:w="567" w:type="dxa"/>
            <w:shd w:val="clear" w:color="auto" w:fill="auto"/>
          </w:tcPr>
          <w:p w:rsidR="00F227C9" w:rsidRPr="008D7FC7" w:rsidRDefault="00F227C9" w:rsidP="008D7FC7">
            <w:pPr>
              <w:suppressAutoHyphens w:val="0"/>
              <w:spacing w:before="40" w:after="120" w:line="220" w:lineRule="exact"/>
              <w:ind w:right="113"/>
              <w:rPr>
                <w:szCs w:val="18"/>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6"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567"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51"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r>
      <w:tr w:rsidR="008D7FC7" w:rsidRPr="008D7FC7" w:rsidTr="00B21563">
        <w:trPr>
          <w:cantSplit/>
        </w:trPr>
        <w:tc>
          <w:tcPr>
            <w:tcW w:w="570"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rPr>
              <w:t>3532</w:t>
            </w:r>
          </w:p>
        </w:tc>
        <w:tc>
          <w:tcPr>
            <w:tcW w:w="5296" w:type="dxa"/>
            <w:shd w:val="clear" w:color="auto" w:fill="auto"/>
          </w:tcPr>
          <w:p w:rsidR="00F227C9" w:rsidRPr="008D7FC7" w:rsidRDefault="00F227C9" w:rsidP="008D7FC7">
            <w:pPr>
              <w:suppressAutoHyphens w:val="0"/>
              <w:spacing w:before="40" w:after="120" w:line="220" w:lineRule="exact"/>
              <w:ind w:right="113"/>
              <w:rPr>
                <w:szCs w:val="18"/>
                <w:lang w:val="fr-FR"/>
              </w:rPr>
            </w:pPr>
            <w:r w:rsidRPr="008D7FC7">
              <w:rPr>
                <w:szCs w:val="18"/>
                <w:lang w:val="fr-FR"/>
              </w:rPr>
              <w:t>MATIÈRE LIQUIDE QUI POLYMÉRISE, STABILISÉE, N.S.A</w:t>
            </w:r>
          </w:p>
        </w:tc>
        <w:tc>
          <w:tcPr>
            <w:tcW w:w="375"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lang w:eastAsia="nb-NO"/>
              </w:rPr>
              <w:t>4.1</w:t>
            </w:r>
          </w:p>
        </w:tc>
        <w:tc>
          <w:tcPr>
            <w:tcW w:w="564"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PM1</w:t>
            </w:r>
          </w:p>
        </w:tc>
        <w:tc>
          <w:tcPr>
            <w:tcW w:w="425"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lang w:eastAsia="nb-NO"/>
              </w:rPr>
              <w:t>III</w:t>
            </w: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4.1</w:t>
            </w:r>
          </w:p>
        </w:tc>
        <w:tc>
          <w:tcPr>
            <w:tcW w:w="567"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274</w:t>
            </w:r>
          </w:p>
          <w:p w:rsidR="00F227C9" w:rsidRPr="008D7FC7" w:rsidRDefault="00F227C9" w:rsidP="008D7FC7">
            <w:pPr>
              <w:suppressAutoHyphens w:val="0"/>
              <w:spacing w:before="40" w:after="120" w:line="220" w:lineRule="exact"/>
              <w:ind w:right="113"/>
              <w:rPr>
                <w:szCs w:val="18"/>
              </w:rPr>
            </w:pPr>
            <w:r w:rsidRPr="008D7FC7">
              <w:rPr>
                <w:szCs w:val="18"/>
                <w:lang w:eastAsia="nb-NO"/>
              </w:rPr>
              <w:t>386</w:t>
            </w:r>
          </w:p>
        </w:tc>
        <w:tc>
          <w:tcPr>
            <w:tcW w:w="426"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rPr>
              <w:t>0</w:t>
            </w:r>
          </w:p>
        </w:tc>
        <w:tc>
          <w:tcPr>
            <w:tcW w:w="425"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rPr>
              <w:t>E0</w:t>
            </w:r>
          </w:p>
        </w:tc>
        <w:tc>
          <w:tcPr>
            <w:tcW w:w="425" w:type="dxa"/>
            <w:shd w:val="clear" w:color="auto" w:fill="auto"/>
          </w:tcPr>
          <w:p w:rsidR="00F227C9" w:rsidRPr="008D7FC7" w:rsidRDefault="00F227C9" w:rsidP="008D7FC7">
            <w:pPr>
              <w:suppressAutoHyphens w:val="0"/>
              <w:spacing w:before="40" w:after="120" w:line="220" w:lineRule="exact"/>
              <w:ind w:right="113"/>
              <w:rPr>
                <w:szCs w:val="18"/>
              </w:rPr>
            </w:pPr>
          </w:p>
        </w:tc>
        <w:tc>
          <w:tcPr>
            <w:tcW w:w="567" w:type="dxa"/>
            <w:shd w:val="clear" w:color="auto" w:fill="auto"/>
          </w:tcPr>
          <w:p w:rsidR="00F227C9" w:rsidRPr="008D7FC7" w:rsidRDefault="00F227C9" w:rsidP="008D7FC7">
            <w:pPr>
              <w:suppressAutoHyphens w:val="0"/>
              <w:spacing w:before="40" w:after="120" w:line="220" w:lineRule="exact"/>
              <w:ind w:right="113"/>
              <w:rPr>
                <w:szCs w:val="18"/>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6"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567"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51"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r>
      <w:tr w:rsidR="008D7FC7" w:rsidRPr="008D7FC7" w:rsidTr="00B21563">
        <w:trPr>
          <w:cantSplit/>
        </w:trPr>
        <w:tc>
          <w:tcPr>
            <w:tcW w:w="570"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rPr>
              <w:t>3533</w:t>
            </w:r>
          </w:p>
        </w:tc>
        <w:tc>
          <w:tcPr>
            <w:tcW w:w="5296" w:type="dxa"/>
            <w:shd w:val="clear" w:color="auto" w:fill="auto"/>
          </w:tcPr>
          <w:p w:rsidR="00F227C9" w:rsidRPr="008D7FC7" w:rsidRDefault="00F227C9" w:rsidP="008D7FC7">
            <w:pPr>
              <w:suppressAutoHyphens w:val="0"/>
              <w:spacing w:before="40" w:after="120" w:line="220" w:lineRule="exact"/>
              <w:ind w:right="113"/>
              <w:rPr>
                <w:szCs w:val="18"/>
                <w:lang w:val="fr-FR"/>
              </w:rPr>
            </w:pPr>
            <w:r w:rsidRPr="008D7FC7">
              <w:rPr>
                <w:szCs w:val="18"/>
                <w:lang w:val="fr-FR"/>
              </w:rPr>
              <w:t>MATIÈRE SOLIDE QUI POLYMÉRISE, AVEC RÉGULATION DE TEMPÉRATURE, N.S.A</w:t>
            </w:r>
          </w:p>
        </w:tc>
        <w:tc>
          <w:tcPr>
            <w:tcW w:w="375"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lang w:eastAsia="nb-NO"/>
              </w:rPr>
              <w:t>4.1</w:t>
            </w:r>
          </w:p>
        </w:tc>
        <w:tc>
          <w:tcPr>
            <w:tcW w:w="564"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PM2</w:t>
            </w:r>
          </w:p>
        </w:tc>
        <w:tc>
          <w:tcPr>
            <w:tcW w:w="425"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lang w:eastAsia="nb-NO"/>
              </w:rPr>
              <w:t>III</w:t>
            </w: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4.1</w:t>
            </w:r>
          </w:p>
        </w:tc>
        <w:tc>
          <w:tcPr>
            <w:tcW w:w="567"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274</w:t>
            </w:r>
          </w:p>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386</w:t>
            </w:r>
          </w:p>
        </w:tc>
        <w:tc>
          <w:tcPr>
            <w:tcW w:w="426"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rPr>
              <w:t>0</w:t>
            </w:r>
          </w:p>
        </w:tc>
        <w:tc>
          <w:tcPr>
            <w:tcW w:w="425"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rPr>
              <w:t>E0</w:t>
            </w:r>
          </w:p>
        </w:tc>
        <w:tc>
          <w:tcPr>
            <w:tcW w:w="425" w:type="dxa"/>
            <w:shd w:val="clear" w:color="auto" w:fill="auto"/>
          </w:tcPr>
          <w:p w:rsidR="00F227C9" w:rsidRPr="008D7FC7" w:rsidRDefault="00F227C9" w:rsidP="008D7FC7">
            <w:pPr>
              <w:suppressAutoHyphens w:val="0"/>
              <w:spacing w:before="40" w:after="120" w:line="220" w:lineRule="exact"/>
              <w:ind w:right="113"/>
              <w:rPr>
                <w:szCs w:val="18"/>
              </w:rPr>
            </w:pPr>
          </w:p>
        </w:tc>
        <w:tc>
          <w:tcPr>
            <w:tcW w:w="567" w:type="dxa"/>
            <w:shd w:val="clear" w:color="auto" w:fill="auto"/>
          </w:tcPr>
          <w:p w:rsidR="00F227C9" w:rsidRPr="008D7FC7" w:rsidRDefault="00F227C9" w:rsidP="008D7FC7">
            <w:pPr>
              <w:suppressAutoHyphens w:val="0"/>
              <w:spacing w:before="40" w:after="120" w:line="220" w:lineRule="exact"/>
              <w:ind w:right="113"/>
              <w:rPr>
                <w:szCs w:val="18"/>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6"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567"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51"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r>
      <w:tr w:rsidR="008D7FC7" w:rsidRPr="008D7FC7" w:rsidTr="00B21563">
        <w:trPr>
          <w:cantSplit/>
        </w:trPr>
        <w:tc>
          <w:tcPr>
            <w:tcW w:w="570"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rPr>
              <w:t>3534</w:t>
            </w:r>
          </w:p>
        </w:tc>
        <w:tc>
          <w:tcPr>
            <w:tcW w:w="5296" w:type="dxa"/>
            <w:shd w:val="clear" w:color="auto" w:fill="auto"/>
          </w:tcPr>
          <w:p w:rsidR="00F227C9" w:rsidRPr="008D7FC7" w:rsidRDefault="00F227C9" w:rsidP="008D7FC7">
            <w:pPr>
              <w:pStyle w:val="SingleTxtG"/>
              <w:suppressAutoHyphens w:val="0"/>
              <w:spacing w:before="40" w:line="220" w:lineRule="exact"/>
              <w:ind w:left="0" w:right="113"/>
              <w:jc w:val="left"/>
              <w:rPr>
                <w:szCs w:val="18"/>
                <w:lang w:val="fr-FR"/>
              </w:rPr>
            </w:pPr>
            <w:r w:rsidRPr="008D7FC7">
              <w:rPr>
                <w:szCs w:val="18"/>
                <w:lang w:val="fr-FR"/>
              </w:rPr>
              <w:t>MATIÈRE LIQUIDE QUI POLYMÉRISE, AVEC RÉGULATION DE TEMPÉRATURE, N.S.A</w:t>
            </w:r>
          </w:p>
        </w:tc>
        <w:tc>
          <w:tcPr>
            <w:tcW w:w="375"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lang w:eastAsia="nb-NO"/>
              </w:rPr>
              <w:t>4.1</w:t>
            </w:r>
          </w:p>
        </w:tc>
        <w:tc>
          <w:tcPr>
            <w:tcW w:w="564"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PM2</w:t>
            </w:r>
          </w:p>
        </w:tc>
        <w:tc>
          <w:tcPr>
            <w:tcW w:w="425"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lang w:eastAsia="nb-NO"/>
              </w:rPr>
              <w:t>III</w:t>
            </w: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4.1</w:t>
            </w:r>
          </w:p>
        </w:tc>
        <w:tc>
          <w:tcPr>
            <w:tcW w:w="567" w:type="dxa"/>
            <w:shd w:val="clear" w:color="auto" w:fill="auto"/>
          </w:tcPr>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274</w:t>
            </w:r>
          </w:p>
          <w:p w:rsidR="00F227C9" w:rsidRPr="008D7FC7" w:rsidRDefault="00F227C9" w:rsidP="008D7FC7">
            <w:pPr>
              <w:suppressAutoHyphens w:val="0"/>
              <w:spacing w:before="40" w:after="120" w:line="220" w:lineRule="exact"/>
              <w:ind w:right="113"/>
              <w:rPr>
                <w:szCs w:val="18"/>
                <w:lang w:eastAsia="nb-NO"/>
              </w:rPr>
            </w:pPr>
            <w:r w:rsidRPr="008D7FC7">
              <w:rPr>
                <w:szCs w:val="18"/>
                <w:lang w:eastAsia="nb-NO"/>
              </w:rPr>
              <w:t>386</w:t>
            </w:r>
          </w:p>
        </w:tc>
        <w:tc>
          <w:tcPr>
            <w:tcW w:w="426"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rPr>
              <w:t>0</w:t>
            </w:r>
          </w:p>
        </w:tc>
        <w:tc>
          <w:tcPr>
            <w:tcW w:w="425" w:type="dxa"/>
            <w:shd w:val="clear" w:color="auto" w:fill="auto"/>
          </w:tcPr>
          <w:p w:rsidR="00F227C9" w:rsidRPr="008D7FC7" w:rsidRDefault="00F227C9" w:rsidP="008D7FC7">
            <w:pPr>
              <w:suppressAutoHyphens w:val="0"/>
              <w:spacing w:before="40" w:after="120" w:line="220" w:lineRule="exact"/>
              <w:ind w:right="113"/>
              <w:rPr>
                <w:szCs w:val="18"/>
              </w:rPr>
            </w:pPr>
            <w:r w:rsidRPr="008D7FC7">
              <w:rPr>
                <w:szCs w:val="18"/>
              </w:rPr>
              <w:t>E0</w:t>
            </w:r>
          </w:p>
        </w:tc>
        <w:tc>
          <w:tcPr>
            <w:tcW w:w="425" w:type="dxa"/>
            <w:shd w:val="clear" w:color="auto" w:fill="auto"/>
          </w:tcPr>
          <w:p w:rsidR="00F227C9" w:rsidRPr="008D7FC7" w:rsidRDefault="00F227C9" w:rsidP="008D7FC7">
            <w:pPr>
              <w:suppressAutoHyphens w:val="0"/>
              <w:spacing w:before="40" w:after="120" w:line="220" w:lineRule="exact"/>
              <w:ind w:right="113"/>
              <w:rPr>
                <w:szCs w:val="18"/>
              </w:rPr>
            </w:pPr>
          </w:p>
        </w:tc>
        <w:tc>
          <w:tcPr>
            <w:tcW w:w="567" w:type="dxa"/>
            <w:shd w:val="clear" w:color="auto" w:fill="auto"/>
          </w:tcPr>
          <w:p w:rsidR="00F227C9" w:rsidRPr="008D7FC7" w:rsidRDefault="00F227C9" w:rsidP="008D7FC7">
            <w:pPr>
              <w:suppressAutoHyphens w:val="0"/>
              <w:spacing w:before="40" w:after="120" w:line="220" w:lineRule="exact"/>
              <w:ind w:right="113"/>
              <w:rPr>
                <w:szCs w:val="18"/>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6"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25"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567"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c>
          <w:tcPr>
            <w:tcW w:w="451" w:type="dxa"/>
            <w:shd w:val="clear" w:color="auto" w:fill="auto"/>
          </w:tcPr>
          <w:p w:rsidR="00F227C9" w:rsidRPr="008D7FC7" w:rsidRDefault="00F227C9" w:rsidP="008D7FC7">
            <w:pPr>
              <w:suppressAutoHyphens w:val="0"/>
              <w:spacing w:before="40" w:after="120" w:line="220" w:lineRule="exact"/>
              <w:ind w:right="113"/>
              <w:rPr>
                <w:szCs w:val="18"/>
                <w:lang w:eastAsia="nb-NO"/>
              </w:rPr>
            </w:pPr>
          </w:p>
        </w:tc>
      </w:tr>
    </w:tbl>
    <w:p w:rsidR="0029776B" w:rsidRDefault="0029776B" w:rsidP="0029776B">
      <w:pPr>
        <w:sectPr w:rsidR="0029776B" w:rsidSect="0029776B">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pPr>
    </w:p>
    <w:p w:rsidR="009B25CE" w:rsidRPr="00A6502C" w:rsidRDefault="00A6502C" w:rsidP="009B25CE">
      <w:pPr>
        <w:pStyle w:val="SingleTxtG"/>
        <w:rPr>
          <w:i/>
          <w:lang w:val="fr-FR"/>
        </w:rPr>
      </w:pPr>
      <w:r w:rsidRPr="00A6502C">
        <w:rPr>
          <w:i/>
          <w:lang w:val="fr-FR"/>
        </w:rPr>
        <w:lastRenderedPageBreak/>
        <w:t>Amendements de conséquence</w:t>
      </w:r>
      <w:r w:rsidR="009B25CE" w:rsidRPr="00A6502C">
        <w:rPr>
          <w:i/>
          <w:lang w:val="fr-FR"/>
        </w:rPr>
        <w:t>:</w:t>
      </w:r>
    </w:p>
    <w:p w:rsidR="00A6502C" w:rsidRDefault="00A6502C" w:rsidP="00AD3F23">
      <w:pPr>
        <w:pStyle w:val="SingleTxtG"/>
        <w:ind w:left="1701"/>
      </w:pPr>
      <w:r w:rsidRPr="00A6502C">
        <w:t>5.3.2.3.2</w:t>
      </w:r>
      <w:r w:rsidRPr="00A6502C">
        <w:tab/>
      </w:r>
      <w:r w:rsidR="00B278CF">
        <w:t>Pour le numéro d’identification de danger</w:t>
      </w:r>
      <w:r w:rsidRPr="00A6502C">
        <w:t xml:space="preserve"> 40, </w:t>
      </w:r>
      <w:r w:rsidR="00B278CF">
        <w:t>à la fin, ajouter</w:t>
      </w:r>
      <w:r w:rsidRPr="00A6502C">
        <w:t xml:space="preserve"> </w:t>
      </w:r>
      <w:r w:rsidR="00B278CF">
        <w:t>«</w:t>
      </w:r>
      <w:r w:rsidRPr="00A6502C">
        <w:t xml:space="preserve">, </w:t>
      </w:r>
      <w:r w:rsidR="00B278CF">
        <w:t>ou matière qui polymérise»</w:t>
      </w:r>
      <w:r w:rsidRPr="00A6502C">
        <w:t>.</w:t>
      </w:r>
    </w:p>
    <w:p w:rsidR="00CA5CBD" w:rsidRDefault="00CA5CBD" w:rsidP="002D3B2E">
      <w:pPr>
        <w:pStyle w:val="H1G"/>
        <w:spacing w:before="240"/>
        <w:rPr>
          <w:lang w:val="fr-FR"/>
        </w:rPr>
      </w:pPr>
      <w:r>
        <w:rPr>
          <w:lang w:val="fr-FR"/>
        </w:rPr>
        <w:tab/>
      </w:r>
      <w:r>
        <w:rPr>
          <w:lang w:val="fr-FR"/>
        </w:rPr>
        <w:tab/>
        <w:t xml:space="preserve">Chapitre 3.2, tableau B </w:t>
      </w:r>
    </w:p>
    <w:p w:rsidR="00CA5CBD" w:rsidRPr="004357DE" w:rsidRDefault="00CA5CBD" w:rsidP="00CA5CBD">
      <w:pPr>
        <w:pStyle w:val="SingleTxtG"/>
      </w:pPr>
      <w:r w:rsidRPr="004357DE">
        <w:t>Modifier la rubrique pour «TROUSSE DE RÉSINE POLYESTER» pour lire comme suit:</w:t>
      </w:r>
    </w:p>
    <w:tbl>
      <w:tblPr>
        <w:tblW w:w="853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116"/>
        <w:gridCol w:w="709"/>
        <w:gridCol w:w="709"/>
      </w:tblGrid>
      <w:tr w:rsidR="00CA5CBD" w:rsidRPr="004357DE" w:rsidTr="007C1A44">
        <w:trPr>
          <w:cantSplit/>
        </w:trPr>
        <w:tc>
          <w:tcPr>
            <w:tcW w:w="7116" w:type="dxa"/>
            <w:tcBorders>
              <w:top w:val="single" w:sz="4" w:space="0" w:color="auto"/>
              <w:left w:val="single" w:sz="4" w:space="0" w:color="auto"/>
              <w:bottom w:val="single" w:sz="4" w:space="0" w:color="auto"/>
              <w:right w:val="single" w:sz="4" w:space="0" w:color="auto"/>
            </w:tcBorders>
            <w:shd w:val="clear" w:color="auto" w:fill="auto"/>
          </w:tcPr>
          <w:p w:rsidR="00CA5CBD" w:rsidRPr="004357DE" w:rsidRDefault="00CA5CBD" w:rsidP="007C1A44">
            <w:pPr>
              <w:suppressAutoHyphens w:val="0"/>
              <w:spacing w:before="60" w:after="60" w:line="240" w:lineRule="auto"/>
              <w:ind w:left="57" w:right="57"/>
            </w:pPr>
            <w:r w:rsidRPr="004357DE">
              <w:t>TROUSSE DE RÉSINE POLYESTER, constituant de base liquide</w:t>
            </w:r>
          </w:p>
        </w:tc>
        <w:tc>
          <w:tcPr>
            <w:tcW w:w="709" w:type="dxa"/>
            <w:tcBorders>
              <w:top w:val="single" w:sz="4" w:space="0" w:color="auto"/>
              <w:left w:val="single" w:sz="4" w:space="0" w:color="auto"/>
              <w:bottom w:val="single" w:sz="4" w:space="0" w:color="auto"/>
              <w:right w:val="single" w:sz="4" w:space="0" w:color="auto"/>
            </w:tcBorders>
          </w:tcPr>
          <w:p w:rsidR="00CA5CBD" w:rsidRPr="004357DE" w:rsidRDefault="00CA5CBD" w:rsidP="007C1A44">
            <w:pPr>
              <w:suppressAutoHyphens w:val="0"/>
              <w:spacing w:before="60" w:after="60" w:line="240" w:lineRule="auto"/>
              <w:ind w:left="57" w:right="57"/>
              <w:jc w:val="center"/>
              <w:rPr>
                <w:lang w:eastAsia="nb-NO"/>
              </w:rPr>
            </w:pPr>
            <w:r w:rsidRPr="004357DE">
              <w:rPr>
                <w:lang w:eastAsia="nb-NO"/>
              </w:rPr>
              <w:t>3269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A5CBD" w:rsidRPr="004357DE" w:rsidRDefault="00CA5CBD" w:rsidP="007C1A44">
            <w:pPr>
              <w:suppressAutoHyphens w:val="0"/>
              <w:spacing w:before="60" w:after="60" w:line="240" w:lineRule="auto"/>
              <w:ind w:left="57" w:right="57"/>
              <w:jc w:val="center"/>
            </w:pPr>
            <w:r w:rsidRPr="004357DE">
              <w:rPr>
                <w:lang w:eastAsia="nb-NO"/>
              </w:rPr>
              <w:t>3</w:t>
            </w:r>
          </w:p>
        </w:tc>
      </w:tr>
      <w:tr w:rsidR="00CA5CBD" w:rsidRPr="00DE419C" w:rsidTr="007C1A44">
        <w:trPr>
          <w:cantSplit/>
        </w:trPr>
        <w:tc>
          <w:tcPr>
            <w:tcW w:w="7116" w:type="dxa"/>
            <w:tcBorders>
              <w:top w:val="single" w:sz="4" w:space="0" w:color="auto"/>
              <w:left w:val="single" w:sz="4" w:space="0" w:color="auto"/>
              <w:bottom w:val="single" w:sz="4" w:space="0" w:color="auto"/>
              <w:right w:val="single" w:sz="4" w:space="0" w:color="auto"/>
            </w:tcBorders>
            <w:shd w:val="clear" w:color="auto" w:fill="auto"/>
          </w:tcPr>
          <w:p w:rsidR="00CA5CBD" w:rsidRPr="004357DE" w:rsidRDefault="00CA5CBD" w:rsidP="007C1A44">
            <w:pPr>
              <w:suppressAutoHyphens w:val="0"/>
              <w:spacing w:before="60" w:after="60" w:line="240" w:lineRule="auto"/>
              <w:ind w:left="57" w:right="57"/>
            </w:pPr>
            <w:r w:rsidRPr="004357DE">
              <w:t>TROUSSE DE RÉSINE POLYESTER, constituant de base solide</w:t>
            </w:r>
          </w:p>
        </w:tc>
        <w:tc>
          <w:tcPr>
            <w:tcW w:w="709" w:type="dxa"/>
            <w:tcBorders>
              <w:top w:val="single" w:sz="4" w:space="0" w:color="auto"/>
              <w:left w:val="single" w:sz="4" w:space="0" w:color="auto"/>
              <w:bottom w:val="single" w:sz="4" w:space="0" w:color="auto"/>
              <w:right w:val="single" w:sz="4" w:space="0" w:color="auto"/>
            </w:tcBorders>
          </w:tcPr>
          <w:p w:rsidR="00CA5CBD" w:rsidRPr="004357DE" w:rsidRDefault="00CA5CBD" w:rsidP="007C1A44">
            <w:pPr>
              <w:suppressAutoHyphens w:val="0"/>
              <w:spacing w:before="60" w:after="60" w:line="240" w:lineRule="auto"/>
              <w:ind w:left="57" w:right="57"/>
              <w:jc w:val="center"/>
              <w:rPr>
                <w:lang w:eastAsia="nb-NO"/>
              </w:rPr>
            </w:pPr>
            <w:r w:rsidRPr="004357DE">
              <w:rPr>
                <w:lang w:eastAsia="nb-NO"/>
              </w:rPr>
              <w:t>3527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A5CBD" w:rsidRPr="00DE419C" w:rsidRDefault="00CA5CBD" w:rsidP="007C1A44">
            <w:pPr>
              <w:suppressAutoHyphens w:val="0"/>
              <w:spacing w:before="60" w:after="60" w:line="240" w:lineRule="auto"/>
              <w:ind w:left="57" w:right="57"/>
              <w:jc w:val="center"/>
              <w:rPr>
                <w:lang w:eastAsia="nb-NO"/>
              </w:rPr>
            </w:pPr>
            <w:r w:rsidRPr="004357DE">
              <w:rPr>
                <w:lang w:eastAsia="nb-NO"/>
              </w:rPr>
              <w:t>4.1</w:t>
            </w:r>
          </w:p>
        </w:tc>
      </w:tr>
    </w:tbl>
    <w:p w:rsidR="00CA5CBD" w:rsidRDefault="00CA5CBD" w:rsidP="00CA5CBD">
      <w:pPr>
        <w:pStyle w:val="SingleTxtG"/>
        <w:spacing w:before="120"/>
        <w:rPr>
          <w:lang w:val="fr-FR"/>
        </w:rPr>
      </w:pPr>
      <w:r>
        <w:rPr>
          <w:lang w:val="fr-FR"/>
        </w:rPr>
        <w:t>Dans la rubrique pour «PROPULSEURS», ajouter une nouvelle ligne avec «0510» dans la deuxième colonne et «1» dans la troisième colonne.</w:t>
      </w:r>
    </w:p>
    <w:p w:rsidR="00CA5CBD" w:rsidRDefault="00CA5CBD" w:rsidP="00CA5CBD">
      <w:pPr>
        <w:pStyle w:val="SingleTxtG"/>
        <w:rPr>
          <w:lang w:val="fr-FR"/>
        </w:rPr>
      </w:pPr>
      <w:r>
        <w:rPr>
          <w:lang w:val="fr-FR"/>
        </w:rPr>
        <w:t>Modifier les rubriques pour «</w:t>
      </w:r>
      <w:r>
        <w:rPr>
          <w:lang w:eastAsia="en-GB"/>
        </w:rPr>
        <w:t>M</w:t>
      </w:r>
      <w:r w:rsidRPr="00ED2BA1">
        <w:rPr>
          <w:lang w:eastAsia="en-GB"/>
        </w:rPr>
        <w:t>oteur à combustion</w:t>
      </w:r>
      <w:r>
        <w:rPr>
          <w:lang w:eastAsia="en-GB"/>
        </w:rPr>
        <w:t xml:space="preserve"> interne</w:t>
      </w:r>
      <w:r>
        <w:rPr>
          <w:lang w:val="fr-FR"/>
        </w:rPr>
        <w:t>», «</w:t>
      </w:r>
      <w:r>
        <w:rPr>
          <w:lang w:eastAsia="en-GB"/>
        </w:rPr>
        <w:t>M</w:t>
      </w:r>
      <w:r w:rsidRPr="00ED2BA1">
        <w:rPr>
          <w:lang w:eastAsia="en-GB"/>
        </w:rPr>
        <w:t>oteur pile à combustible</w:t>
      </w:r>
      <w:r>
        <w:rPr>
          <w:lang w:eastAsia="en-GB"/>
        </w:rPr>
        <w:t xml:space="preserve"> </w:t>
      </w:r>
      <w:r w:rsidRPr="00ED2BA1">
        <w:rPr>
          <w:lang w:eastAsia="en-GB"/>
        </w:rPr>
        <w:t>contenant du gaz inflammable</w:t>
      </w:r>
      <w:r>
        <w:rPr>
          <w:lang w:val="fr-FR"/>
        </w:rPr>
        <w:t>» et «</w:t>
      </w:r>
      <w:r>
        <w:rPr>
          <w:lang w:eastAsia="en-GB"/>
        </w:rPr>
        <w:t>M</w:t>
      </w:r>
      <w:r w:rsidRPr="00ED2BA1">
        <w:rPr>
          <w:lang w:eastAsia="en-GB"/>
        </w:rPr>
        <w:t>oteur pile à combustible</w:t>
      </w:r>
      <w:r>
        <w:rPr>
          <w:lang w:eastAsia="en-GB"/>
        </w:rPr>
        <w:t xml:space="preserve"> </w:t>
      </w:r>
      <w:r w:rsidRPr="00ED2BA1">
        <w:rPr>
          <w:lang w:eastAsia="en-GB"/>
        </w:rPr>
        <w:t>contenant du liquide</w:t>
      </w:r>
      <w:r>
        <w:rPr>
          <w:lang w:eastAsia="en-GB"/>
        </w:rPr>
        <w:t xml:space="preserve"> </w:t>
      </w:r>
      <w:r w:rsidRPr="00ED2BA1">
        <w:rPr>
          <w:lang w:eastAsia="en-GB"/>
        </w:rPr>
        <w:t>inflammable</w:t>
      </w:r>
      <w:r>
        <w:rPr>
          <w:lang w:val="fr-FR"/>
        </w:rPr>
        <w:t>» pour lire comme suit:</w:t>
      </w:r>
    </w:p>
    <w:tbl>
      <w:tblPr>
        <w:tblW w:w="851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3"/>
        <w:gridCol w:w="709"/>
        <w:gridCol w:w="709"/>
      </w:tblGrid>
      <w:tr w:rsidR="00CA5CBD" w:rsidRPr="004357DE" w:rsidTr="007C1A44">
        <w:tc>
          <w:tcPr>
            <w:tcW w:w="7093" w:type="dxa"/>
            <w:shd w:val="clear" w:color="auto" w:fill="auto"/>
          </w:tcPr>
          <w:p w:rsidR="00CA5CBD" w:rsidRPr="004357DE" w:rsidRDefault="00CA5CBD" w:rsidP="007C1A44">
            <w:pPr>
              <w:suppressAutoHyphens w:val="0"/>
              <w:autoSpaceDE w:val="0"/>
              <w:autoSpaceDN w:val="0"/>
              <w:adjustRightInd w:val="0"/>
              <w:spacing w:line="240" w:lineRule="auto"/>
              <w:rPr>
                <w:lang w:eastAsia="en-GB"/>
              </w:rPr>
            </w:pPr>
            <w:r w:rsidRPr="004357DE">
              <w:rPr>
                <w:lang w:eastAsia="en-GB"/>
              </w:rPr>
              <w:t>MOTEUR À COMBUSTION INTERNE</w:t>
            </w:r>
          </w:p>
        </w:tc>
        <w:tc>
          <w:tcPr>
            <w:tcW w:w="709" w:type="dxa"/>
          </w:tcPr>
          <w:p w:rsidR="00CA5CBD" w:rsidRPr="004357DE" w:rsidRDefault="00CA5CBD" w:rsidP="007C1A44">
            <w:pPr>
              <w:pStyle w:val="SingleTxtG"/>
              <w:tabs>
                <w:tab w:val="left" w:pos="0"/>
              </w:tabs>
              <w:ind w:left="0" w:right="141"/>
              <w:jc w:val="center"/>
              <w:rPr>
                <w:lang w:val="fr-FR"/>
              </w:rPr>
            </w:pPr>
            <w:r w:rsidRPr="004357DE">
              <w:rPr>
                <w:lang w:val="fr-FR"/>
              </w:rPr>
              <w:t>3530</w:t>
            </w:r>
          </w:p>
        </w:tc>
        <w:tc>
          <w:tcPr>
            <w:tcW w:w="709" w:type="dxa"/>
            <w:shd w:val="clear" w:color="auto" w:fill="auto"/>
          </w:tcPr>
          <w:p w:rsidR="00CA5CBD" w:rsidRPr="004357DE" w:rsidRDefault="00CA5CBD" w:rsidP="007C1A44">
            <w:pPr>
              <w:pStyle w:val="SingleTxtG"/>
              <w:tabs>
                <w:tab w:val="left" w:pos="0"/>
              </w:tabs>
              <w:ind w:left="0" w:right="141"/>
              <w:jc w:val="center"/>
              <w:rPr>
                <w:lang w:val="fr-FR"/>
              </w:rPr>
            </w:pPr>
            <w:r w:rsidRPr="004357DE">
              <w:rPr>
                <w:lang w:val="fr-FR"/>
              </w:rPr>
              <w:t>9</w:t>
            </w:r>
          </w:p>
        </w:tc>
      </w:tr>
      <w:tr w:rsidR="00CA5CBD" w:rsidRPr="004357DE" w:rsidTr="007C1A44">
        <w:tc>
          <w:tcPr>
            <w:tcW w:w="7093" w:type="dxa"/>
            <w:shd w:val="clear" w:color="auto" w:fill="auto"/>
          </w:tcPr>
          <w:p w:rsidR="00CA5CBD" w:rsidRPr="004357DE" w:rsidRDefault="00CA5CBD" w:rsidP="007C1A44">
            <w:pPr>
              <w:suppressAutoHyphens w:val="0"/>
              <w:autoSpaceDE w:val="0"/>
              <w:autoSpaceDN w:val="0"/>
              <w:adjustRightInd w:val="0"/>
              <w:spacing w:line="240" w:lineRule="auto"/>
              <w:rPr>
                <w:lang w:val="fr-FR"/>
              </w:rPr>
            </w:pPr>
            <w:r w:rsidRPr="004357DE">
              <w:rPr>
                <w:lang w:eastAsia="en-GB"/>
              </w:rPr>
              <w:t>MOTEUR PILE À COMBUSTIBLE CONTENANT DU GAZ INFLAMMABLE</w:t>
            </w:r>
          </w:p>
        </w:tc>
        <w:tc>
          <w:tcPr>
            <w:tcW w:w="709" w:type="dxa"/>
          </w:tcPr>
          <w:p w:rsidR="00CA5CBD" w:rsidRPr="004357DE" w:rsidRDefault="00CA5CBD" w:rsidP="007C1A44">
            <w:pPr>
              <w:pStyle w:val="SingleTxtG"/>
              <w:tabs>
                <w:tab w:val="left" w:pos="0"/>
              </w:tabs>
              <w:ind w:left="0" w:right="141"/>
              <w:jc w:val="center"/>
              <w:rPr>
                <w:lang w:val="fr-FR"/>
              </w:rPr>
            </w:pPr>
            <w:r w:rsidRPr="004357DE">
              <w:rPr>
                <w:lang w:val="fr-FR"/>
              </w:rPr>
              <w:t>3529</w:t>
            </w:r>
          </w:p>
        </w:tc>
        <w:tc>
          <w:tcPr>
            <w:tcW w:w="709" w:type="dxa"/>
            <w:shd w:val="clear" w:color="auto" w:fill="auto"/>
          </w:tcPr>
          <w:p w:rsidR="00CA5CBD" w:rsidRPr="004357DE" w:rsidRDefault="00CA5CBD" w:rsidP="007C1A44">
            <w:pPr>
              <w:pStyle w:val="SingleTxtG"/>
              <w:tabs>
                <w:tab w:val="left" w:pos="0"/>
              </w:tabs>
              <w:ind w:left="0" w:right="141"/>
              <w:jc w:val="center"/>
              <w:rPr>
                <w:lang w:val="fr-FR"/>
              </w:rPr>
            </w:pPr>
            <w:r w:rsidRPr="004357DE">
              <w:rPr>
                <w:lang w:val="fr-FR"/>
              </w:rPr>
              <w:t>2.1</w:t>
            </w:r>
          </w:p>
        </w:tc>
      </w:tr>
      <w:tr w:rsidR="00CA5CBD" w:rsidRPr="004357DE" w:rsidTr="007C1A44">
        <w:tc>
          <w:tcPr>
            <w:tcW w:w="7093" w:type="dxa"/>
            <w:shd w:val="clear" w:color="auto" w:fill="auto"/>
          </w:tcPr>
          <w:p w:rsidR="00CA5CBD" w:rsidRPr="004357DE" w:rsidRDefault="00CA5CBD" w:rsidP="007C1A44">
            <w:pPr>
              <w:suppressAutoHyphens w:val="0"/>
              <w:autoSpaceDE w:val="0"/>
              <w:autoSpaceDN w:val="0"/>
              <w:adjustRightInd w:val="0"/>
              <w:spacing w:line="240" w:lineRule="auto"/>
            </w:pPr>
            <w:r w:rsidRPr="004357DE">
              <w:rPr>
                <w:lang w:eastAsia="en-GB"/>
              </w:rPr>
              <w:t>MOTEUR PILE À COMBUSTIBLE CONTENANT DU LIQUIDE INFLAMMABLE</w:t>
            </w:r>
          </w:p>
        </w:tc>
        <w:tc>
          <w:tcPr>
            <w:tcW w:w="709" w:type="dxa"/>
          </w:tcPr>
          <w:p w:rsidR="00CA5CBD" w:rsidRPr="004357DE" w:rsidRDefault="00CA5CBD" w:rsidP="007C1A44">
            <w:pPr>
              <w:pStyle w:val="SingleTxtG"/>
              <w:tabs>
                <w:tab w:val="left" w:pos="0"/>
              </w:tabs>
              <w:ind w:left="0" w:right="141"/>
              <w:jc w:val="center"/>
              <w:rPr>
                <w:lang w:val="fr-FR"/>
              </w:rPr>
            </w:pPr>
            <w:r w:rsidRPr="004357DE">
              <w:rPr>
                <w:lang w:val="fr-FR"/>
              </w:rPr>
              <w:t>3528</w:t>
            </w:r>
          </w:p>
        </w:tc>
        <w:tc>
          <w:tcPr>
            <w:tcW w:w="709" w:type="dxa"/>
            <w:shd w:val="clear" w:color="auto" w:fill="auto"/>
          </w:tcPr>
          <w:p w:rsidR="00CA5CBD" w:rsidRPr="004357DE" w:rsidRDefault="00CA5CBD" w:rsidP="007C1A44">
            <w:pPr>
              <w:pStyle w:val="SingleTxtG"/>
              <w:tabs>
                <w:tab w:val="left" w:pos="0"/>
              </w:tabs>
              <w:ind w:left="0" w:right="141"/>
              <w:jc w:val="center"/>
              <w:rPr>
                <w:lang w:val="fr-FR"/>
              </w:rPr>
            </w:pPr>
            <w:r w:rsidRPr="004357DE">
              <w:rPr>
                <w:lang w:val="fr-FR"/>
              </w:rPr>
              <w:t>3</w:t>
            </w:r>
          </w:p>
        </w:tc>
      </w:tr>
    </w:tbl>
    <w:p w:rsidR="00CA5CBD" w:rsidRPr="00ED2BA1" w:rsidRDefault="00CA5CBD" w:rsidP="00CA5CBD">
      <w:pPr>
        <w:pStyle w:val="SingleTxtG"/>
        <w:spacing w:before="120"/>
      </w:pPr>
      <w:r w:rsidRPr="00ED2BA1">
        <w:t>Ajouter les nouvelles rubriques suivantes dans l’ordre alphabétique:</w:t>
      </w:r>
    </w:p>
    <w:tbl>
      <w:tblPr>
        <w:tblW w:w="851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3"/>
        <w:gridCol w:w="709"/>
        <w:gridCol w:w="709"/>
      </w:tblGrid>
      <w:tr w:rsidR="00CA5CBD" w:rsidRPr="00E16DCF" w:rsidTr="002D3B2E">
        <w:tc>
          <w:tcPr>
            <w:tcW w:w="7093" w:type="dxa"/>
            <w:shd w:val="clear" w:color="auto" w:fill="auto"/>
          </w:tcPr>
          <w:p w:rsidR="00CA5CBD" w:rsidRPr="00E16DCF" w:rsidRDefault="00CA5CBD" w:rsidP="007C1A44">
            <w:pPr>
              <w:pStyle w:val="SingleTxtG"/>
              <w:ind w:left="0" w:right="142"/>
              <w:rPr>
                <w:lang w:val="fr-FR"/>
              </w:rPr>
            </w:pPr>
            <w:r w:rsidRPr="00F82C8D">
              <w:t xml:space="preserve">MOTEUR À COMBUSTION INTERNE </w:t>
            </w:r>
            <w:r w:rsidRPr="00E64AAF">
              <w:t>FONCTIONNANT AU</w:t>
            </w:r>
            <w:r w:rsidRPr="00F82C8D">
              <w:t xml:space="preserve"> LIQUIDE INFLAMMABLE</w:t>
            </w:r>
          </w:p>
        </w:tc>
        <w:tc>
          <w:tcPr>
            <w:tcW w:w="709" w:type="dxa"/>
          </w:tcPr>
          <w:p w:rsidR="00CA5CBD" w:rsidRPr="00E16DCF" w:rsidRDefault="00CA5CBD" w:rsidP="007C1A44">
            <w:pPr>
              <w:pStyle w:val="SingleTxtG"/>
              <w:tabs>
                <w:tab w:val="left" w:pos="0"/>
              </w:tabs>
              <w:ind w:left="0" w:right="141"/>
              <w:jc w:val="center"/>
              <w:rPr>
                <w:lang w:val="fr-FR"/>
              </w:rPr>
            </w:pPr>
            <w:r>
              <w:rPr>
                <w:lang w:val="fr-FR"/>
              </w:rPr>
              <w:t>3528</w:t>
            </w:r>
          </w:p>
        </w:tc>
        <w:tc>
          <w:tcPr>
            <w:tcW w:w="709" w:type="dxa"/>
            <w:shd w:val="clear" w:color="auto" w:fill="auto"/>
          </w:tcPr>
          <w:p w:rsidR="00CA5CBD" w:rsidRPr="00E16DCF" w:rsidRDefault="00CA5CBD" w:rsidP="007C1A44">
            <w:pPr>
              <w:pStyle w:val="SingleTxtG"/>
              <w:tabs>
                <w:tab w:val="left" w:pos="0"/>
              </w:tabs>
              <w:ind w:left="0" w:right="141"/>
              <w:jc w:val="center"/>
              <w:rPr>
                <w:lang w:val="fr-FR"/>
              </w:rPr>
            </w:pPr>
            <w:r w:rsidRPr="00E16DCF">
              <w:rPr>
                <w:lang w:val="fr-FR"/>
              </w:rPr>
              <w:t>3</w:t>
            </w:r>
          </w:p>
        </w:tc>
      </w:tr>
      <w:tr w:rsidR="00CA5CBD" w:rsidRPr="00E16DCF" w:rsidTr="002D3B2E">
        <w:tc>
          <w:tcPr>
            <w:tcW w:w="7093" w:type="dxa"/>
            <w:shd w:val="clear" w:color="auto" w:fill="auto"/>
          </w:tcPr>
          <w:p w:rsidR="00CA5CBD" w:rsidRPr="00E16DCF" w:rsidRDefault="00CA5CBD" w:rsidP="007C1A44">
            <w:pPr>
              <w:pStyle w:val="SingleTxtG"/>
              <w:ind w:left="0" w:right="142"/>
              <w:rPr>
                <w:lang w:val="fr-FR"/>
              </w:rPr>
            </w:pPr>
            <w:r w:rsidRPr="00F82C8D">
              <w:t xml:space="preserve">MACHINE À COMBUSTION INTERNE </w:t>
            </w:r>
            <w:r w:rsidRPr="00E64AAF">
              <w:t>FONCTIONNANT AU</w:t>
            </w:r>
            <w:r w:rsidRPr="00F82C8D">
              <w:t xml:space="preserve"> LIQUIDE INFLAMMABLE</w:t>
            </w:r>
          </w:p>
        </w:tc>
        <w:tc>
          <w:tcPr>
            <w:tcW w:w="709" w:type="dxa"/>
          </w:tcPr>
          <w:p w:rsidR="00CA5CBD" w:rsidRPr="00E16DCF" w:rsidRDefault="00CA5CBD" w:rsidP="007C1A44">
            <w:pPr>
              <w:pStyle w:val="SingleTxtG"/>
              <w:tabs>
                <w:tab w:val="left" w:pos="0"/>
              </w:tabs>
              <w:ind w:left="0" w:right="141"/>
              <w:jc w:val="center"/>
              <w:rPr>
                <w:lang w:val="fr-FR"/>
              </w:rPr>
            </w:pPr>
            <w:r>
              <w:rPr>
                <w:lang w:val="fr-FR"/>
              </w:rPr>
              <w:t>3528</w:t>
            </w:r>
          </w:p>
        </w:tc>
        <w:tc>
          <w:tcPr>
            <w:tcW w:w="709" w:type="dxa"/>
            <w:shd w:val="clear" w:color="auto" w:fill="auto"/>
          </w:tcPr>
          <w:p w:rsidR="00CA5CBD" w:rsidRPr="00E16DCF" w:rsidRDefault="00CA5CBD" w:rsidP="007C1A44">
            <w:pPr>
              <w:pStyle w:val="SingleTxtG"/>
              <w:tabs>
                <w:tab w:val="left" w:pos="0"/>
              </w:tabs>
              <w:ind w:left="0" w:right="141"/>
              <w:jc w:val="center"/>
              <w:rPr>
                <w:lang w:val="fr-FR"/>
              </w:rPr>
            </w:pPr>
            <w:r w:rsidRPr="00E16DCF">
              <w:rPr>
                <w:lang w:val="fr-FR"/>
              </w:rPr>
              <w:t>3</w:t>
            </w:r>
          </w:p>
        </w:tc>
      </w:tr>
      <w:tr w:rsidR="00CA5CBD" w:rsidRPr="00E16DCF" w:rsidTr="002D3B2E">
        <w:tc>
          <w:tcPr>
            <w:tcW w:w="7093" w:type="dxa"/>
            <w:shd w:val="clear" w:color="auto" w:fill="auto"/>
          </w:tcPr>
          <w:p w:rsidR="00CA5CBD" w:rsidRPr="00E16DCF" w:rsidRDefault="00CA5CBD" w:rsidP="007C1A44">
            <w:pPr>
              <w:pStyle w:val="SingleTxtG"/>
              <w:ind w:left="0" w:right="142"/>
              <w:rPr>
                <w:lang w:val="fr-FR"/>
              </w:rPr>
            </w:pPr>
            <w:r w:rsidRPr="00F82C8D">
              <w:t>MACHINE PILE À COMBUSTIBLE CONTENANT DU LIQUIDE INFLAMMABLE</w:t>
            </w:r>
          </w:p>
        </w:tc>
        <w:tc>
          <w:tcPr>
            <w:tcW w:w="709" w:type="dxa"/>
          </w:tcPr>
          <w:p w:rsidR="00CA5CBD" w:rsidRPr="00E16DCF" w:rsidRDefault="00CA5CBD" w:rsidP="007C1A44">
            <w:pPr>
              <w:pStyle w:val="SingleTxtG"/>
              <w:tabs>
                <w:tab w:val="left" w:pos="0"/>
              </w:tabs>
              <w:ind w:left="0" w:right="141"/>
              <w:jc w:val="center"/>
              <w:rPr>
                <w:lang w:val="fr-FR"/>
              </w:rPr>
            </w:pPr>
            <w:r>
              <w:rPr>
                <w:lang w:val="fr-FR"/>
              </w:rPr>
              <w:t>3528</w:t>
            </w:r>
          </w:p>
        </w:tc>
        <w:tc>
          <w:tcPr>
            <w:tcW w:w="709" w:type="dxa"/>
            <w:shd w:val="clear" w:color="auto" w:fill="auto"/>
          </w:tcPr>
          <w:p w:rsidR="00CA5CBD" w:rsidRPr="00E16DCF" w:rsidRDefault="00CA5CBD" w:rsidP="007C1A44">
            <w:pPr>
              <w:pStyle w:val="SingleTxtG"/>
              <w:tabs>
                <w:tab w:val="left" w:pos="0"/>
              </w:tabs>
              <w:ind w:left="0" w:right="141"/>
              <w:jc w:val="center"/>
              <w:rPr>
                <w:lang w:val="fr-FR"/>
              </w:rPr>
            </w:pPr>
            <w:r w:rsidRPr="00E16DCF">
              <w:rPr>
                <w:lang w:val="fr-FR"/>
              </w:rPr>
              <w:t>3</w:t>
            </w:r>
          </w:p>
        </w:tc>
      </w:tr>
      <w:tr w:rsidR="00CA5CBD" w:rsidRPr="00E16DCF" w:rsidTr="002D3B2E">
        <w:tc>
          <w:tcPr>
            <w:tcW w:w="7093" w:type="dxa"/>
            <w:shd w:val="clear" w:color="auto" w:fill="auto"/>
          </w:tcPr>
          <w:p w:rsidR="00CA5CBD" w:rsidRPr="00E16DCF" w:rsidRDefault="00CA5CBD" w:rsidP="007C1A44">
            <w:pPr>
              <w:pStyle w:val="SingleTxtG"/>
              <w:ind w:left="0" w:right="142"/>
              <w:rPr>
                <w:lang w:val="fr-FR"/>
              </w:rPr>
            </w:pPr>
            <w:r w:rsidRPr="00435611">
              <w:rPr>
                <w:lang w:val="fr-FR"/>
              </w:rPr>
              <w:t xml:space="preserve">MOTEUR À COMBUSTION INTERNE </w:t>
            </w:r>
            <w:r w:rsidRPr="00E64AAF">
              <w:rPr>
                <w:lang w:val="fr-FR"/>
              </w:rPr>
              <w:t>FONCTIONNANT AU</w:t>
            </w:r>
            <w:r w:rsidRPr="00E64AAF" w:rsidDel="00E64AAF">
              <w:rPr>
                <w:lang w:val="fr-FR"/>
              </w:rPr>
              <w:t xml:space="preserve"> </w:t>
            </w:r>
            <w:r w:rsidRPr="00435611">
              <w:rPr>
                <w:lang w:val="fr-FR"/>
              </w:rPr>
              <w:t>GAZ INFLAMMABLE</w:t>
            </w:r>
          </w:p>
        </w:tc>
        <w:tc>
          <w:tcPr>
            <w:tcW w:w="709" w:type="dxa"/>
          </w:tcPr>
          <w:p w:rsidR="00CA5CBD" w:rsidRPr="00E16DCF" w:rsidRDefault="00CA5CBD" w:rsidP="007C1A44">
            <w:pPr>
              <w:pStyle w:val="SingleTxtG"/>
              <w:tabs>
                <w:tab w:val="left" w:pos="0"/>
              </w:tabs>
              <w:ind w:left="0" w:right="141"/>
              <w:jc w:val="center"/>
              <w:rPr>
                <w:lang w:val="fr-FR"/>
              </w:rPr>
            </w:pPr>
            <w:r>
              <w:rPr>
                <w:lang w:val="fr-FR"/>
              </w:rPr>
              <w:t>3529</w:t>
            </w:r>
          </w:p>
        </w:tc>
        <w:tc>
          <w:tcPr>
            <w:tcW w:w="709" w:type="dxa"/>
            <w:shd w:val="clear" w:color="auto" w:fill="auto"/>
          </w:tcPr>
          <w:p w:rsidR="00CA5CBD" w:rsidRPr="004357DE" w:rsidRDefault="00CA5CBD" w:rsidP="007C1A44">
            <w:pPr>
              <w:pStyle w:val="SingleTxtG"/>
              <w:tabs>
                <w:tab w:val="left" w:pos="0"/>
              </w:tabs>
              <w:ind w:left="0" w:right="141"/>
              <w:jc w:val="center"/>
              <w:rPr>
                <w:lang w:val="fr-FR"/>
              </w:rPr>
            </w:pPr>
            <w:r w:rsidRPr="004357DE">
              <w:rPr>
                <w:lang w:val="fr-FR"/>
              </w:rPr>
              <w:t>2.1</w:t>
            </w:r>
          </w:p>
        </w:tc>
      </w:tr>
      <w:tr w:rsidR="00CA5CBD" w:rsidRPr="00E16DCF" w:rsidTr="002D3B2E">
        <w:tc>
          <w:tcPr>
            <w:tcW w:w="7093" w:type="dxa"/>
            <w:shd w:val="clear" w:color="auto" w:fill="auto"/>
          </w:tcPr>
          <w:p w:rsidR="00CA5CBD" w:rsidRPr="00E16DCF" w:rsidRDefault="00CA5CBD" w:rsidP="007C1A44">
            <w:pPr>
              <w:pStyle w:val="SingleTxtG"/>
              <w:ind w:left="0" w:right="142"/>
              <w:rPr>
                <w:lang w:val="fr-FR"/>
              </w:rPr>
            </w:pPr>
            <w:r w:rsidRPr="00435611">
              <w:t xml:space="preserve">MACHINE À COMBUSTION INTERNE </w:t>
            </w:r>
            <w:r w:rsidRPr="00E64AAF">
              <w:t>FONCTIONNANT AU</w:t>
            </w:r>
            <w:r w:rsidRPr="00E64AAF" w:rsidDel="00E64AAF">
              <w:t xml:space="preserve"> </w:t>
            </w:r>
            <w:r w:rsidRPr="00435611">
              <w:t>GAZ INFLAMMABLE</w:t>
            </w:r>
          </w:p>
        </w:tc>
        <w:tc>
          <w:tcPr>
            <w:tcW w:w="709" w:type="dxa"/>
          </w:tcPr>
          <w:p w:rsidR="00CA5CBD" w:rsidRPr="00E16DCF" w:rsidRDefault="00CA5CBD" w:rsidP="007C1A44">
            <w:pPr>
              <w:pStyle w:val="SingleTxtG"/>
              <w:tabs>
                <w:tab w:val="left" w:pos="0"/>
              </w:tabs>
              <w:ind w:left="0" w:right="141"/>
              <w:jc w:val="center"/>
              <w:rPr>
                <w:lang w:val="fr-FR"/>
              </w:rPr>
            </w:pPr>
            <w:r>
              <w:rPr>
                <w:lang w:val="fr-FR"/>
              </w:rPr>
              <w:t>3529</w:t>
            </w:r>
          </w:p>
        </w:tc>
        <w:tc>
          <w:tcPr>
            <w:tcW w:w="709" w:type="dxa"/>
            <w:shd w:val="clear" w:color="auto" w:fill="auto"/>
          </w:tcPr>
          <w:p w:rsidR="00CA5CBD" w:rsidRPr="004357DE" w:rsidRDefault="00CA5CBD" w:rsidP="007C1A44">
            <w:pPr>
              <w:pStyle w:val="SingleTxtG"/>
              <w:tabs>
                <w:tab w:val="left" w:pos="0"/>
              </w:tabs>
              <w:ind w:left="0" w:right="141"/>
              <w:jc w:val="center"/>
              <w:rPr>
                <w:lang w:val="fr-FR"/>
              </w:rPr>
            </w:pPr>
            <w:r w:rsidRPr="004357DE">
              <w:rPr>
                <w:lang w:val="fr-FR"/>
              </w:rPr>
              <w:t>2.1</w:t>
            </w:r>
          </w:p>
        </w:tc>
      </w:tr>
      <w:tr w:rsidR="00CA5CBD" w:rsidRPr="00E16DCF" w:rsidTr="002D3B2E">
        <w:tc>
          <w:tcPr>
            <w:tcW w:w="7093" w:type="dxa"/>
            <w:shd w:val="clear" w:color="auto" w:fill="auto"/>
          </w:tcPr>
          <w:p w:rsidR="00CA5CBD" w:rsidRPr="00E16DCF" w:rsidRDefault="00CA5CBD" w:rsidP="007C1A44">
            <w:pPr>
              <w:pStyle w:val="SingleTxtG"/>
              <w:ind w:left="0" w:right="142"/>
              <w:rPr>
                <w:lang w:val="fr-FR"/>
              </w:rPr>
            </w:pPr>
            <w:r w:rsidRPr="00435611">
              <w:t>MACHINE PILE À COMBUSTIBLE CONTENANT DU GAZ INFLAMMABLE</w:t>
            </w:r>
          </w:p>
        </w:tc>
        <w:tc>
          <w:tcPr>
            <w:tcW w:w="709" w:type="dxa"/>
          </w:tcPr>
          <w:p w:rsidR="00CA5CBD" w:rsidRPr="00E16DCF" w:rsidRDefault="00CA5CBD" w:rsidP="007C1A44">
            <w:pPr>
              <w:pStyle w:val="SingleTxtG"/>
              <w:tabs>
                <w:tab w:val="left" w:pos="0"/>
              </w:tabs>
              <w:ind w:left="0" w:right="141"/>
              <w:jc w:val="center"/>
              <w:rPr>
                <w:lang w:val="fr-FR"/>
              </w:rPr>
            </w:pPr>
            <w:r>
              <w:rPr>
                <w:lang w:val="fr-FR"/>
              </w:rPr>
              <w:t>3529</w:t>
            </w:r>
          </w:p>
        </w:tc>
        <w:tc>
          <w:tcPr>
            <w:tcW w:w="709" w:type="dxa"/>
            <w:shd w:val="clear" w:color="auto" w:fill="auto"/>
          </w:tcPr>
          <w:p w:rsidR="00CA5CBD" w:rsidRPr="004357DE" w:rsidRDefault="00CA5CBD" w:rsidP="007C1A44">
            <w:pPr>
              <w:pStyle w:val="SingleTxtG"/>
              <w:tabs>
                <w:tab w:val="left" w:pos="0"/>
              </w:tabs>
              <w:ind w:left="0" w:right="141"/>
              <w:jc w:val="center"/>
              <w:rPr>
                <w:lang w:val="fr-FR"/>
              </w:rPr>
            </w:pPr>
            <w:r w:rsidRPr="004357DE">
              <w:rPr>
                <w:lang w:val="fr-FR"/>
              </w:rPr>
              <w:t>2.1</w:t>
            </w:r>
          </w:p>
        </w:tc>
      </w:tr>
      <w:tr w:rsidR="00CA5CBD" w:rsidRPr="00E16DCF" w:rsidTr="002D3B2E">
        <w:tc>
          <w:tcPr>
            <w:tcW w:w="7093" w:type="dxa"/>
            <w:shd w:val="clear" w:color="auto" w:fill="auto"/>
          </w:tcPr>
          <w:p w:rsidR="00CA5CBD" w:rsidRPr="00E16DCF" w:rsidRDefault="00CA5CBD" w:rsidP="007C1A44">
            <w:pPr>
              <w:pStyle w:val="SingleTxtG"/>
              <w:ind w:left="0"/>
              <w:rPr>
                <w:lang w:val="fr-FR"/>
              </w:rPr>
            </w:pPr>
            <w:r w:rsidRPr="00435611">
              <w:t>MACHINE À COMBUSTION INTERNE</w:t>
            </w:r>
          </w:p>
        </w:tc>
        <w:tc>
          <w:tcPr>
            <w:tcW w:w="709" w:type="dxa"/>
          </w:tcPr>
          <w:p w:rsidR="00CA5CBD" w:rsidRPr="00E16DCF" w:rsidRDefault="00CA5CBD" w:rsidP="007C1A44">
            <w:pPr>
              <w:pStyle w:val="SingleTxtG"/>
              <w:tabs>
                <w:tab w:val="left" w:pos="0"/>
              </w:tabs>
              <w:ind w:left="0" w:right="141"/>
              <w:jc w:val="center"/>
              <w:rPr>
                <w:lang w:val="fr-FR"/>
              </w:rPr>
            </w:pPr>
            <w:r>
              <w:rPr>
                <w:lang w:val="fr-FR"/>
              </w:rPr>
              <w:t>3530</w:t>
            </w:r>
          </w:p>
        </w:tc>
        <w:tc>
          <w:tcPr>
            <w:tcW w:w="709" w:type="dxa"/>
            <w:shd w:val="clear" w:color="auto" w:fill="auto"/>
          </w:tcPr>
          <w:p w:rsidR="00CA5CBD" w:rsidRPr="00E16DCF" w:rsidRDefault="00CA5CBD" w:rsidP="007C1A44">
            <w:pPr>
              <w:pStyle w:val="SingleTxtG"/>
              <w:tabs>
                <w:tab w:val="left" w:pos="0"/>
              </w:tabs>
              <w:ind w:left="0" w:right="141"/>
              <w:jc w:val="center"/>
              <w:rPr>
                <w:lang w:val="fr-FR"/>
              </w:rPr>
            </w:pPr>
            <w:r w:rsidRPr="00E16DCF">
              <w:rPr>
                <w:lang w:val="fr-FR"/>
              </w:rPr>
              <w:t>9</w:t>
            </w:r>
          </w:p>
        </w:tc>
      </w:tr>
      <w:tr w:rsidR="00CA5CBD" w:rsidRPr="00E16DCF" w:rsidTr="002D3B2E">
        <w:tc>
          <w:tcPr>
            <w:tcW w:w="7093" w:type="dxa"/>
            <w:shd w:val="clear" w:color="auto" w:fill="auto"/>
          </w:tcPr>
          <w:p w:rsidR="00CA5CBD" w:rsidRPr="00435611" w:rsidRDefault="00CA5CBD" w:rsidP="007C1A44">
            <w:pPr>
              <w:pStyle w:val="SingleTxtG"/>
              <w:ind w:left="0"/>
            </w:pPr>
            <w:r w:rsidRPr="005870B0">
              <w:t>MONOMÉTHYLD</w:t>
            </w:r>
            <w:r>
              <w:t>I</w:t>
            </w:r>
            <w:r w:rsidRPr="005870B0">
              <w:t xml:space="preserve">PHÉNYLMÉTHANES HALOGÉNÉS </w:t>
            </w:r>
            <w:r w:rsidRPr="005870B0">
              <w:rPr>
                <w:lang w:val="fr-FR"/>
              </w:rPr>
              <w:t>LIQUIDES</w:t>
            </w:r>
          </w:p>
        </w:tc>
        <w:tc>
          <w:tcPr>
            <w:tcW w:w="709" w:type="dxa"/>
          </w:tcPr>
          <w:p w:rsidR="00CA5CBD" w:rsidRDefault="00CA5CBD" w:rsidP="007C1A44">
            <w:pPr>
              <w:pStyle w:val="SingleTxtG"/>
              <w:tabs>
                <w:tab w:val="left" w:pos="0"/>
              </w:tabs>
              <w:ind w:left="0" w:right="141"/>
              <w:jc w:val="center"/>
              <w:rPr>
                <w:lang w:val="fr-FR"/>
              </w:rPr>
            </w:pPr>
            <w:r>
              <w:rPr>
                <w:lang w:val="fr-FR"/>
              </w:rPr>
              <w:t>3151</w:t>
            </w:r>
          </w:p>
        </w:tc>
        <w:tc>
          <w:tcPr>
            <w:tcW w:w="709" w:type="dxa"/>
            <w:shd w:val="clear" w:color="auto" w:fill="auto"/>
          </w:tcPr>
          <w:p w:rsidR="00CA5CBD" w:rsidRPr="00E16DCF" w:rsidRDefault="00CA5CBD" w:rsidP="007C1A44">
            <w:pPr>
              <w:pStyle w:val="SingleTxtG"/>
              <w:tabs>
                <w:tab w:val="left" w:pos="0"/>
              </w:tabs>
              <w:ind w:left="0" w:right="141"/>
              <w:jc w:val="center"/>
              <w:rPr>
                <w:lang w:val="fr-FR"/>
              </w:rPr>
            </w:pPr>
            <w:r>
              <w:rPr>
                <w:lang w:val="fr-FR"/>
              </w:rPr>
              <w:t>9</w:t>
            </w:r>
          </w:p>
        </w:tc>
      </w:tr>
      <w:tr w:rsidR="00CA5CBD" w:rsidRPr="00E16DCF" w:rsidTr="002D3B2E">
        <w:tc>
          <w:tcPr>
            <w:tcW w:w="7093" w:type="dxa"/>
            <w:shd w:val="clear" w:color="auto" w:fill="auto"/>
          </w:tcPr>
          <w:p w:rsidR="00CA5CBD" w:rsidRPr="00435611" w:rsidRDefault="00CA5CBD" w:rsidP="007C1A44">
            <w:pPr>
              <w:pStyle w:val="SingleTxtG"/>
              <w:ind w:left="0"/>
            </w:pPr>
            <w:r w:rsidRPr="005870B0">
              <w:t>MONOMÉTHYLD</w:t>
            </w:r>
            <w:r>
              <w:t>I</w:t>
            </w:r>
            <w:r w:rsidRPr="005870B0">
              <w:t>PHÉNYLMÉTHANES HALOGÉNÉS</w:t>
            </w:r>
            <w:r>
              <w:t xml:space="preserve"> </w:t>
            </w:r>
            <w:r w:rsidRPr="00D36CB7">
              <w:rPr>
                <w:lang w:val="fr-FR"/>
              </w:rPr>
              <w:t>SOLIDES</w:t>
            </w:r>
          </w:p>
        </w:tc>
        <w:tc>
          <w:tcPr>
            <w:tcW w:w="709" w:type="dxa"/>
          </w:tcPr>
          <w:p w:rsidR="00CA5CBD" w:rsidRDefault="00CA5CBD" w:rsidP="007C1A44">
            <w:pPr>
              <w:pStyle w:val="SingleTxtG"/>
              <w:tabs>
                <w:tab w:val="left" w:pos="0"/>
              </w:tabs>
              <w:ind w:left="0" w:right="141"/>
              <w:jc w:val="center"/>
              <w:rPr>
                <w:lang w:val="fr-FR"/>
              </w:rPr>
            </w:pPr>
            <w:r>
              <w:rPr>
                <w:lang w:val="fr-FR"/>
              </w:rPr>
              <w:t>3152</w:t>
            </w:r>
          </w:p>
        </w:tc>
        <w:tc>
          <w:tcPr>
            <w:tcW w:w="709" w:type="dxa"/>
            <w:shd w:val="clear" w:color="auto" w:fill="auto"/>
          </w:tcPr>
          <w:p w:rsidR="00CA5CBD" w:rsidRPr="00E16DCF" w:rsidRDefault="00CA5CBD" w:rsidP="007C1A44">
            <w:pPr>
              <w:pStyle w:val="SingleTxtG"/>
              <w:tabs>
                <w:tab w:val="left" w:pos="0"/>
              </w:tabs>
              <w:ind w:left="0" w:right="141"/>
              <w:jc w:val="center"/>
              <w:rPr>
                <w:lang w:val="fr-FR"/>
              </w:rPr>
            </w:pPr>
            <w:r>
              <w:rPr>
                <w:lang w:val="fr-FR"/>
              </w:rPr>
              <w:t>9</w:t>
            </w:r>
          </w:p>
        </w:tc>
      </w:tr>
      <w:tr w:rsidR="00CA5CBD" w:rsidRPr="00E16DCF" w:rsidTr="002D3B2E">
        <w:tc>
          <w:tcPr>
            <w:tcW w:w="7093" w:type="dxa"/>
            <w:shd w:val="clear" w:color="auto" w:fill="auto"/>
          </w:tcPr>
          <w:p w:rsidR="00CA5CBD" w:rsidRPr="00B21563" w:rsidRDefault="00CA5CBD" w:rsidP="007C1A44">
            <w:pPr>
              <w:pStyle w:val="SingleTxtG"/>
              <w:ind w:left="0"/>
            </w:pPr>
            <w:r w:rsidRPr="00B21563">
              <w:t>Balle de tennis de table, voir</w:t>
            </w:r>
          </w:p>
        </w:tc>
        <w:tc>
          <w:tcPr>
            <w:tcW w:w="709" w:type="dxa"/>
          </w:tcPr>
          <w:p w:rsidR="00CA5CBD" w:rsidRPr="00B21563" w:rsidRDefault="00CA5CBD" w:rsidP="007C1A44">
            <w:pPr>
              <w:pStyle w:val="SingleTxtG"/>
              <w:tabs>
                <w:tab w:val="left" w:pos="0"/>
              </w:tabs>
              <w:ind w:left="0" w:right="141"/>
              <w:jc w:val="center"/>
            </w:pPr>
            <w:r w:rsidRPr="00B21563">
              <w:t>2000</w:t>
            </w:r>
          </w:p>
        </w:tc>
        <w:tc>
          <w:tcPr>
            <w:tcW w:w="709" w:type="dxa"/>
            <w:shd w:val="clear" w:color="auto" w:fill="auto"/>
          </w:tcPr>
          <w:p w:rsidR="00CA5CBD" w:rsidRPr="00B21563" w:rsidRDefault="00CA5CBD" w:rsidP="007C1A44">
            <w:pPr>
              <w:pStyle w:val="SingleTxtG"/>
              <w:tabs>
                <w:tab w:val="left" w:pos="0"/>
              </w:tabs>
              <w:ind w:left="0" w:right="141"/>
              <w:jc w:val="center"/>
              <w:rPr>
                <w:lang w:val="fr-FR"/>
              </w:rPr>
            </w:pPr>
            <w:r w:rsidRPr="00B21563">
              <w:t>4.1</w:t>
            </w:r>
          </w:p>
        </w:tc>
      </w:tr>
      <w:tr w:rsidR="00406E74" w:rsidRPr="00406E74" w:rsidTr="002D3B2E">
        <w:tc>
          <w:tcPr>
            <w:tcW w:w="7093" w:type="dxa"/>
            <w:shd w:val="clear" w:color="auto" w:fill="auto"/>
          </w:tcPr>
          <w:p w:rsidR="00406E74" w:rsidRPr="00B21563" w:rsidRDefault="00406E74" w:rsidP="00406E74">
            <w:pPr>
              <w:spacing w:after="120"/>
              <w:ind w:right="142"/>
              <w:jc w:val="both"/>
              <w:rPr>
                <w:lang w:val="fr-FR"/>
              </w:rPr>
            </w:pPr>
            <w:r w:rsidRPr="00B21563">
              <w:rPr>
                <w:lang w:val="fr-FR"/>
              </w:rPr>
              <w:t>MATIÈRE SOLIDE QUI POLYMÉRISE, STABILISÉE, N.S.A</w:t>
            </w:r>
          </w:p>
        </w:tc>
        <w:tc>
          <w:tcPr>
            <w:tcW w:w="709" w:type="dxa"/>
            <w:shd w:val="clear" w:color="auto" w:fill="auto"/>
          </w:tcPr>
          <w:p w:rsidR="00406E74" w:rsidRPr="00B21563" w:rsidRDefault="00406E74" w:rsidP="00406E74">
            <w:pPr>
              <w:tabs>
                <w:tab w:val="left" w:pos="0"/>
              </w:tabs>
              <w:spacing w:after="120"/>
              <w:ind w:right="141"/>
              <w:jc w:val="center"/>
              <w:rPr>
                <w:lang w:val="fr-FR"/>
              </w:rPr>
            </w:pPr>
            <w:r w:rsidRPr="00B21563">
              <w:rPr>
                <w:lang w:val="fr-FR"/>
              </w:rPr>
              <w:t>3531</w:t>
            </w:r>
          </w:p>
        </w:tc>
        <w:tc>
          <w:tcPr>
            <w:tcW w:w="709" w:type="dxa"/>
          </w:tcPr>
          <w:p w:rsidR="00406E74" w:rsidRPr="00B21563" w:rsidRDefault="00406E74" w:rsidP="00406E74">
            <w:pPr>
              <w:tabs>
                <w:tab w:val="left" w:pos="0"/>
              </w:tabs>
              <w:spacing w:after="120"/>
              <w:ind w:right="141"/>
              <w:jc w:val="center"/>
              <w:rPr>
                <w:lang w:val="fr-FR"/>
              </w:rPr>
            </w:pPr>
            <w:r w:rsidRPr="00B21563">
              <w:rPr>
                <w:lang w:val="fr-FR"/>
              </w:rPr>
              <w:t>4.1</w:t>
            </w:r>
          </w:p>
        </w:tc>
      </w:tr>
      <w:tr w:rsidR="00406E74" w:rsidRPr="00406E74" w:rsidTr="002D3B2E">
        <w:tc>
          <w:tcPr>
            <w:tcW w:w="7093" w:type="dxa"/>
            <w:shd w:val="clear" w:color="auto" w:fill="auto"/>
          </w:tcPr>
          <w:p w:rsidR="00406E74" w:rsidRPr="00B21563" w:rsidRDefault="00406E74" w:rsidP="00406E74">
            <w:pPr>
              <w:spacing w:after="120"/>
              <w:ind w:right="142"/>
              <w:jc w:val="both"/>
              <w:rPr>
                <w:lang w:val="fr-FR"/>
              </w:rPr>
            </w:pPr>
            <w:r w:rsidRPr="00B21563">
              <w:rPr>
                <w:lang w:val="fr-FR"/>
              </w:rPr>
              <w:t>MATIÈRE LIQUIDE QUI POLYMÉRISE, STABILISÉE, N.S.A</w:t>
            </w:r>
          </w:p>
        </w:tc>
        <w:tc>
          <w:tcPr>
            <w:tcW w:w="709" w:type="dxa"/>
            <w:shd w:val="clear" w:color="auto" w:fill="auto"/>
          </w:tcPr>
          <w:p w:rsidR="00406E74" w:rsidRPr="00B21563" w:rsidRDefault="00406E74" w:rsidP="00406E74">
            <w:pPr>
              <w:tabs>
                <w:tab w:val="left" w:pos="0"/>
              </w:tabs>
              <w:spacing w:after="120"/>
              <w:ind w:right="141"/>
              <w:jc w:val="center"/>
              <w:rPr>
                <w:lang w:val="fr-FR"/>
              </w:rPr>
            </w:pPr>
            <w:r w:rsidRPr="00B21563">
              <w:rPr>
                <w:lang w:val="fr-FR"/>
              </w:rPr>
              <w:t>3532</w:t>
            </w:r>
          </w:p>
        </w:tc>
        <w:tc>
          <w:tcPr>
            <w:tcW w:w="709" w:type="dxa"/>
          </w:tcPr>
          <w:p w:rsidR="00406E74" w:rsidRPr="00B21563" w:rsidRDefault="00406E74" w:rsidP="00406E74">
            <w:pPr>
              <w:tabs>
                <w:tab w:val="left" w:pos="0"/>
              </w:tabs>
              <w:spacing w:after="120"/>
              <w:ind w:right="141"/>
              <w:jc w:val="center"/>
              <w:rPr>
                <w:lang w:val="fr-FR"/>
              </w:rPr>
            </w:pPr>
            <w:r w:rsidRPr="00B21563">
              <w:rPr>
                <w:lang w:val="fr-FR"/>
              </w:rPr>
              <w:t>4.1</w:t>
            </w:r>
          </w:p>
        </w:tc>
      </w:tr>
      <w:tr w:rsidR="00406E74" w:rsidRPr="00406E74" w:rsidTr="002D3B2E">
        <w:tc>
          <w:tcPr>
            <w:tcW w:w="7093" w:type="dxa"/>
            <w:shd w:val="clear" w:color="auto" w:fill="auto"/>
          </w:tcPr>
          <w:p w:rsidR="00406E74" w:rsidRPr="00B21563" w:rsidRDefault="00406E74" w:rsidP="00406E74">
            <w:pPr>
              <w:spacing w:after="120"/>
              <w:ind w:right="142"/>
              <w:jc w:val="both"/>
              <w:rPr>
                <w:lang w:val="fr-FR"/>
              </w:rPr>
            </w:pPr>
            <w:r w:rsidRPr="00B21563">
              <w:rPr>
                <w:lang w:val="fr-FR"/>
              </w:rPr>
              <w:t>MATIÈRE SOLIDE QUI POLYMÉRISE, AVEC RÉGULATION DE TEMPÉRATURE, N.S.A</w:t>
            </w:r>
          </w:p>
        </w:tc>
        <w:tc>
          <w:tcPr>
            <w:tcW w:w="709" w:type="dxa"/>
            <w:shd w:val="clear" w:color="auto" w:fill="auto"/>
          </w:tcPr>
          <w:p w:rsidR="00406E74" w:rsidRPr="00B21563" w:rsidRDefault="00406E74" w:rsidP="00406E74">
            <w:pPr>
              <w:tabs>
                <w:tab w:val="left" w:pos="0"/>
              </w:tabs>
              <w:spacing w:after="120"/>
              <w:ind w:right="141"/>
              <w:jc w:val="center"/>
              <w:rPr>
                <w:lang w:val="fr-FR"/>
              </w:rPr>
            </w:pPr>
            <w:r w:rsidRPr="00B21563">
              <w:rPr>
                <w:lang w:val="fr-FR"/>
              </w:rPr>
              <w:t>3533</w:t>
            </w:r>
          </w:p>
        </w:tc>
        <w:tc>
          <w:tcPr>
            <w:tcW w:w="709" w:type="dxa"/>
          </w:tcPr>
          <w:p w:rsidR="00406E74" w:rsidRPr="00B21563" w:rsidRDefault="00406E74" w:rsidP="00406E74">
            <w:pPr>
              <w:tabs>
                <w:tab w:val="left" w:pos="0"/>
              </w:tabs>
              <w:spacing w:after="120"/>
              <w:ind w:right="141"/>
              <w:jc w:val="center"/>
              <w:rPr>
                <w:lang w:val="fr-FR"/>
              </w:rPr>
            </w:pPr>
            <w:r w:rsidRPr="00B21563">
              <w:rPr>
                <w:lang w:val="fr-FR"/>
              </w:rPr>
              <w:t>4.1</w:t>
            </w:r>
          </w:p>
        </w:tc>
      </w:tr>
      <w:tr w:rsidR="00406E74" w:rsidRPr="00406E74" w:rsidTr="002D3B2E">
        <w:tc>
          <w:tcPr>
            <w:tcW w:w="7093" w:type="dxa"/>
            <w:shd w:val="clear" w:color="auto" w:fill="auto"/>
          </w:tcPr>
          <w:p w:rsidR="00406E74" w:rsidRPr="00B21563" w:rsidRDefault="00406E74" w:rsidP="00406E74">
            <w:pPr>
              <w:spacing w:after="120"/>
              <w:ind w:right="142"/>
              <w:jc w:val="both"/>
              <w:rPr>
                <w:lang w:val="fr-FR"/>
              </w:rPr>
            </w:pPr>
            <w:r w:rsidRPr="00B21563">
              <w:rPr>
                <w:lang w:val="fr-FR"/>
              </w:rPr>
              <w:t>MATIÈRE LIQUIDE QUI POLYMÉRISE, AVEC RÉGULATION DE TEMPÉRATURE, N.S.A</w:t>
            </w:r>
          </w:p>
        </w:tc>
        <w:tc>
          <w:tcPr>
            <w:tcW w:w="709" w:type="dxa"/>
            <w:shd w:val="clear" w:color="auto" w:fill="auto"/>
          </w:tcPr>
          <w:p w:rsidR="00406E74" w:rsidRPr="00B21563" w:rsidRDefault="00406E74" w:rsidP="00406E74">
            <w:pPr>
              <w:tabs>
                <w:tab w:val="left" w:pos="0"/>
              </w:tabs>
              <w:spacing w:after="120"/>
              <w:ind w:right="141"/>
              <w:jc w:val="center"/>
              <w:rPr>
                <w:lang w:val="fr-FR"/>
              </w:rPr>
            </w:pPr>
            <w:r w:rsidRPr="00B21563">
              <w:rPr>
                <w:lang w:val="fr-FR"/>
              </w:rPr>
              <w:t>3534</w:t>
            </w:r>
          </w:p>
        </w:tc>
        <w:tc>
          <w:tcPr>
            <w:tcW w:w="709" w:type="dxa"/>
          </w:tcPr>
          <w:p w:rsidR="00406E74" w:rsidRPr="00B21563" w:rsidRDefault="00406E74" w:rsidP="00406E74">
            <w:pPr>
              <w:tabs>
                <w:tab w:val="left" w:pos="0"/>
              </w:tabs>
              <w:spacing w:after="120"/>
              <w:ind w:right="141"/>
              <w:jc w:val="center"/>
              <w:rPr>
                <w:lang w:val="fr-FR"/>
              </w:rPr>
            </w:pPr>
            <w:r w:rsidRPr="00B21563">
              <w:rPr>
                <w:lang w:val="fr-FR"/>
              </w:rPr>
              <w:t>4.1</w:t>
            </w:r>
          </w:p>
        </w:tc>
      </w:tr>
    </w:tbl>
    <w:p w:rsidR="00E1236D" w:rsidRDefault="00E1236D" w:rsidP="00E1236D">
      <w:pPr>
        <w:pStyle w:val="H1G"/>
        <w:rPr>
          <w:lang w:val="fr-FR"/>
        </w:rPr>
      </w:pPr>
      <w:r>
        <w:rPr>
          <w:lang w:val="fr-FR"/>
        </w:rPr>
        <w:lastRenderedPageBreak/>
        <w:tab/>
      </w:r>
      <w:r>
        <w:rPr>
          <w:lang w:val="fr-FR"/>
        </w:rPr>
        <w:tab/>
        <w:t>Chapitre 3.3</w:t>
      </w:r>
    </w:p>
    <w:p w:rsidR="00E1236D" w:rsidRDefault="00E1236D" w:rsidP="00E1236D">
      <w:pPr>
        <w:pStyle w:val="SingleTxtG"/>
        <w:tabs>
          <w:tab w:val="left" w:pos="2268"/>
        </w:tabs>
      </w:pPr>
      <w:r>
        <w:t>3.3.1</w:t>
      </w:r>
      <w:r>
        <w:tab/>
        <w:t>Ajouter la nouvelle deuxième phrase suivante:</w:t>
      </w:r>
      <w:r w:rsidRPr="003763F4">
        <w:rPr>
          <w:lang w:val="fr-FR"/>
        </w:rPr>
        <w:t xml:space="preserve"> </w:t>
      </w:r>
      <w:r>
        <w:rPr>
          <w:lang w:val="fr-FR"/>
        </w:rPr>
        <w:t xml:space="preserve">«Lorsqu’une disposition spéciale comprend une prescription en matière de marquage des emballages, les dispositions des alinéas a) </w:t>
      </w:r>
      <w:r w:rsidR="00F90CFE">
        <w:rPr>
          <w:lang w:val="fr-FR"/>
        </w:rPr>
        <w:t>et b</w:t>
      </w:r>
      <w:r>
        <w:rPr>
          <w:lang w:val="fr-FR"/>
        </w:rPr>
        <w:t>) du 5.2.1.2 s’appliquent. Si l</w:t>
      </w:r>
      <w:r w:rsidR="00FD64E0">
        <w:rPr>
          <w:lang w:val="fr-FR"/>
        </w:rPr>
        <w:t>a</w:t>
      </w:r>
      <w:r>
        <w:rPr>
          <w:lang w:val="fr-FR"/>
        </w:rPr>
        <w:t xml:space="preserve"> </w:t>
      </w:r>
      <w:r w:rsidR="00E43AB1">
        <w:rPr>
          <w:lang w:val="fr-FR"/>
        </w:rPr>
        <w:t>marque</w:t>
      </w:r>
      <w:r>
        <w:rPr>
          <w:lang w:val="fr-FR"/>
        </w:rPr>
        <w:t xml:space="preserve"> en question fait l’objet d’une formulation particulière entre guillemets, comme «Piles au lithium endommagées», la </w:t>
      </w:r>
      <w:r w:rsidRPr="005F6FBB">
        <w:rPr>
          <w:lang w:val="fr-FR"/>
        </w:rPr>
        <w:t xml:space="preserve">dimension minimale </w:t>
      </w:r>
      <w:r w:rsidR="00FD64E0">
        <w:rPr>
          <w:lang w:val="fr-FR"/>
        </w:rPr>
        <w:t xml:space="preserve">de la </w:t>
      </w:r>
      <w:r w:rsidR="00E43AB1" w:rsidRPr="005F6FBB">
        <w:rPr>
          <w:lang w:val="fr-FR"/>
        </w:rPr>
        <w:t>marque</w:t>
      </w:r>
      <w:r w:rsidRPr="005F6FBB">
        <w:rPr>
          <w:lang w:val="fr-FR"/>
        </w:rPr>
        <w:t xml:space="preserve"> est de 12 mm</w:t>
      </w:r>
      <w:r>
        <w:rPr>
          <w:lang w:val="fr-FR"/>
        </w:rPr>
        <w:t xml:space="preserve">, sauf indication contraire dans la disposition spéciale ou ailleurs dans </w:t>
      </w:r>
      <w:r w:rsidR="00F90CFE">
        <w:rPr>
          <w:lang w:val="fr-FR"/>
        </w:rPr>
        <w:t>l’ADN</w:t>
      </w:r>
      <w:r>
        <w:rPr>
          <w:lang w:val="fr-FR"/>
        </w:rPr>
        <w:t>.».</w:t>
      </w:r>
    </w:p>
    <w:p w:rsidR="00E1236D" w:rsidRDefault="00E1236D" w:rsidP="00E1236D">
      <w:pPr>
        <w:pStyle w:val="SingleTxtG"/>
        <w:rPr>
          <w:iCs/>
          <w:lang w:val="fr-FR"/>
        </w:rPr>
      </w:pPr>
      <w:r w:rsidRPr="008B40FC">
        <w:rPr>
          <w:lang w:val="fr-FR"/>
        </w:rPr>
        <w:t>Disposition spéciale</w:t>
      </w:r>
      <w:r>
        <w:t xml:space="preserve"> </w:t>
      </w:r>
      <w:r>
        <w:rPr>
          <w:iCs/>
          <w:lang w:val="fr-FR"/>
        </w:rPr>
        <w:t>188 f)</w:t>
      </w:r>
      <w:r>
        <w:rPr>
          <w:iCs/>
          <w:lang w:val="fr-FR"/>
        </w:rPr>
        <w:tab/>
        <w:t>Modifier pour lire comme suit:</w:t>
      </w:r>
    </w:p>
    <w:p w:rsidR="00E1236D" w:rsidRDefault="00E1236D" w:rsidP="00E1236D">
      <w:pPr>
        <w:pStyle w:val="SingleTxtG"/>
        <w:rPr>
          <w:iCs/>
        </w:rPr>
      </w:pPr>
      <w:r>
        <w:rPr>
          <w:iCs/>
          <w:lang w:val="fr-FR"/>
        </w:rPr>
        <w:t>«</w:t>
      </w:r>
      <w:proofErr w:type="gramStart"/>
      <w:r>
        <w:rPr>
          <w:iCs/>
          <w:lang w:val="fr-FR"/>
        </w:rPr>
        <w:t>f</w:t>
      </w:r>
      <w:proofErr w:type="gramEnd"/>
      <w:r>
        <w:rPr>
          <w:iCs/>
          <w:lang w:val="fr-FR"/>
        </w:rPr>
        <w:t>)</w:t>
      </w:r>
      <w:r>
        <w:rPr>
          <w:iCs/>
          <w:lang w:val="fr-FR"/>
        </w:rPr>
        <w:tab/>
        <w:t xml:space="preserve">Chaque </w:t>
      </w:r>
      <w:r>
        <w:rPr>
          <w:iCs/>
        </w:rPr>
        <w:t xml:space="preserve">colis doit porter la marque de </w:t>
      </w:r>
      <w:r w:rsidR="007C0CF9">
        <w:rPr>
          <w:iCs/>
        </w:rPr>
        <w:t>pile</w:t>
      </w:r>
      <w:r>
        <w:rPr>
          <w:iCs/>
        </w:rPr>
        <w:t xml:space="preserve"> au lithium appropriée, comme indiqué au 5.2.1.9.</w:t>
      </w:r>
    </w:p>
    <w:p w:rsidR="00E1236D" w:rsidRDefault="00E1236D" w:rsidP="00E1236D">
      <w:pPr>
        <w:pStyle w:val="SingleTxtG"/>
      </w:pPr>
      <w:r>
        <w:t>Cette prescription ne s’applique pas:</w:t>
      </w:r>
    </w:p>
    <w:p w:rsidR="00E1236D" w:rsidRDefault="00E1236D" w:rsidP="00C210B8">
      <w:pPr>
        <w:suppressAutoHyphens w:val="0"/>
        <w:autoSpaceDE w:val="0"/>
        <w:autoSpaceDN w:val="0"/>
        <w:adjustRightInd w:val="0"/>
        <w:spacing w:after="120" w:line="240" w:lineRule="auto"/>
        <w:ind w:left="1701" w:right="1134"/>
        <w:jc w:val="both"/>
        <w:rPr>
          <w:lang w:val="fr-FR"/>
        </w:rPr>
      </w:pPr>
      <w:r>
        <w:t>i)</w:t>
      </w:r>
      <w:r>
        <w:tab/>
        <w:t xml:space="preserve">aux colis ne contenant que </w:t>
      </w:r>
      <w:r w:rsidRPr="00E02768">
        <w:rPr>
          <w:lang w:val="fr-FR"/>
        </w:rPr>
        <w:t>des piles boutons montées dans un équipement (y compris les circuits imprimés)</w:t>
      </w:r>
      <w:r>
        <w:rPr>
          <w:lang w:val="fr-FR"/>
        </w:rPr>
        <w:t>; et</w:t>
      </w:r>
    </w:p>
    <w:p w:rsidR="00E1236D" w:rsidRDefault="00E1236D" w:rsidP="00C210B8">
      <w:pPr>
        <w:suppressAutoHyphens w:val="0"/>
        <w:autoSpaceDE w:val="0"/>
        <w:autoSpaceDN w:val="0"/>
        <w:adjustRightInd w:val="0"/>
        <w:spacing w:after="120" w:line="240" w:lineRule="auto"/>
        <w:ind w:left="1701" w:right="1134"/>
        <w:jc w:val="both"/>
      </w:pPr>
      <w:r>
        <w:rPr>
          <w:lang w:val="fr-FR"/>
        </w:rPr>
        <w:t>ii)</w:t>
      </w:r>
      <w:r>
        <w:rPr>
          <w:lang w:val="fr-FR"/>
        </w:rPr>
        <w:tab/>
      </w:r>
      <w:r>
        <w:t xml:space="preserve">aux colis ne contenant pas plus de </w:t>
      </w:r>
      <w:r w:rsidRPr="00E02768">
        <w:rPr>
          <w:lang w:val="fr-FR"/>
        </w:rPr>
        <w:t xml:space="preserve">4 piles </w:t>
      </w:r>
      <w:r>
        <w:rPr>
          <w:lang w:val="fr-FR"/>
        </w:rPr>
        <w:t xml:space="preserve">ou </w:t>
      </w:r>
      <w:r w:rsidRPr="00E02768">
        <w:rPr>
          <w:lang w:val="fr-FR"/>
        </w:rPr>
        <w:t>2 batteries montées dans un équipement</w:t>
      </w:r>
      <w:r>
        <w:rPr>
          <w:lang w:val="fr-FR"/>
        </w:rPr>
        <w:t>, lorsque l’envoi ne comporte pas plus de deux tels colis.</w:t>
      </w:r>
      <w:r>
        <w:t>»</w:t>
      </w:r>
    </w:p>
    <w:p w:rsidR="00E1236D" w:rsidRDefault="00E1236D" w:rsidP="00E1236D">
      <w:pPr>
        <w:pStyle w:val="SingleTxtG"/>
        <w:rPr>
          <w:iCs/>
          <w:lang w:val="fr-FR"/>
        </w:rPr>
      </w:pPr>
      <w:r w:rsidRPr="008B40FC">
        <w:rPr>
          <w:lang w:val="fr-FR"/>
        </w:rPr>
        <w:t>Disposition spéciale</w:t>
      </w:r>
      <w:r>
        <w:t xml:space="preserve"> </w:t>
      </w:r>
      <w:r>
        <w:rPr>
          <w:iCs/>
          <w:lang w:val="fr-FR"/>
        </w:rPr>
        <w:t>188 g)</w:t>
      </w:r>
      <w:r>
        <w:rPr>
          <w:iCs/>
          <w:lang w:val="fr-FR"/>
        </w:rPr>
        <w:tab/>
      </w:r>
      <w:r w:rsidR="00C210B8">
        <w:rPr>
          <w:iCs/>
          <w:lang w:val="fr-FR"/>
        </w:rPr>
        <w:t xml:space="preserve"> </w:t>
      </w:r>
      <w:r w:rsidR="00C210B8">
        <w:rPr>
          <w:iCs/>
          <w:lang w:val="fr-FR"/>
        </w:rPr>
        <w:tab/>
      </w:r>
      <w:r>
        <w:rPr>
          <w:iCs/>
          <w:lang w:val="fr-FR"/>
        </w:rPr>
        <w:t>Supprimer.</w:t>
      </w:r>
    </w:p>
    <w:p w:rsidR="00E1236D" w:rsidRDefault="00E1236D" w:rsidP="00E1236D">
      <w:pPr>
        <w:pStyle w:val="SingleTxtG"/>
        <w:rPr>
          <w:iCs/>
          <w:lang w:val="fr-FR"/>
        </w:rPr>
      </w:pPr>
      <w:r w:rsidRPr="008B40FC">
        <w:rPr>
          <w:lang w:val="fr-FR"/>
        </w:rPr>
        <w:t>Disposition spéciale</w:t>
      </w:r>
      <w:r>
        <w:t xml:space="preserve"> </w:t>
      </w:r>
      <w:r w:rsidRPr="009230B1">
        <w:rPr>
          <w:iCs/>
          <w:lang w:val="fr-FR"/>
        </w:rPr>
        <w:t>188 h) et i)</w:t>
      </w:r>
      <w:r w:rsidRPr="009230B1">
        <w:rPr>
          <w:iCs/>
          <w:lang w:val="fr-FR"/>
        </w:rPr>
        <w:tab/>
        <w:t>Renuméroter en tant que g) et h) respectivement.</w:t>
      </w:r>
    </w:p>
    <w:p w:rsidR="00E1236D" w:rsidRPr="009E34E5" w:rsidRDefault="00E1236D" w:rsidP="00E1236D">
      <w:pPr>
        <w:pStyle w:val="SingleTxtG"/>
        <w:rPr>
          <w:lang w:val="fr-FR"/>
        </w:rPr>
      </w:pPr>
      <w:r>
        <w:rPr>
          <w:lang w:val="fr-FR"/>
        </w:rPr>
        <w:t>Disposition spéciale 188</w:t>
      </w:r>
      <w:r w:rsidRPr="009E34E5">
        <w:rPr>
          <w:lang w:val="fr-FR"/>
        </w:rPr>
        <w:tab/>
        <w:t>Ajouter le nouveau paragraphe suivant à la fin:</w:t>
      </w:r>
    </w:p>
    <w:p w:rsidR="00E1236D" w:rsidRPr="009E34E5" w:rsidRDefault="00E1236D" w:rsidP="00E1236D">
      <w:pPr>
        <w:pStyle w:val="SingleTxtG"/>
        <w:rPr>
          <w:lang w:val="fr-FR"/>
        </w:rPr>
      </w:pPr>
      <w:r w:rsidRPr="003F17AB">
        <w:rPr>
          <w:lang w:val="fr-FR"/>
        </w:rPr>
        <w:t>«Une batterie à une seule pile telle que définie dans la sous-section 38.3.2.3 de la troisième partie du</w:t>
      </w:r>
      <w:r w:rsidRPr="003F17AB">
        <w:rPr>
          <w:i/>
          <w:lang w:val="fr-FR"/>
        </w:rPr>
        <w:t xml:space="preserve"> Manuel d’épreuves et de critères</w:t>
      </w:r>
      <w:r w:rsidRPr="003F17AB">
        <w:rPr>
          <w:lang w:val="fr-FR"/>
        </w:rPr>
        <w:t xml:space="preserve"> est considérée comme une «pile» et doit être transportée selon les exigences des «piles» dans le cadre de cette disposition spéciale.».</w:t>
      </w:r>
    </w:p>
    <w:p w:rsidR="00E1236D" w:rsidRPr="00F43D3D" w:rsidRDefault="00E1236D" w:rsidP="00E1236D">
      <w:pPr>
        <w:pStyle w:val="SingleTxtG"/>
        <w:rPr>
          <w:lang w:val="fr-FR" w:eastAsia="fr-FR"/>
        </w:rPr>
      </w:pPr>
      <w:r w:rsidRPr="00285517">
        <w:rPr>
          <w:lang w:val="fr-FR"/>
        </w:rPr>
        <w:t>Disposition spéciale 207</w:t>
      </w:r>
      <w:r w:rsidRPr="00F43D3D">
        <w:rPr>
          <w:lang w:val="fr-FR"/>
        </w:rPr>
        <w:tab/>
        <w:t>Remp</w:t>
      </w:r>
      <w:r w:rsidRPr="00C7116B">
        <w:rPr>
          <w:lang w:val="fr-FR"/>
        </w:rPr>
        <w:t>lacer «</w:t>
      </w:r>
      <w:r w:rsidRPr="00F43D3D">
        <w:rPr>
          <w:lang w:val="fr-FR" w:eastAsia="fr-FR"/>
        </w:rPr>
        <w:t>Les polymères en granulés et les matières» par «Les matières».</w:t>
      </w:r>
    </w:p>
    <w:p w:rsidR="00654B07" w:rsidRPr="008C7684" w:rsidRDefault="00654B07" w:rsidP="00654B07">
      <w:pPr>
        <w:pStyle w:val="SingleTxtG"/>
      </w:pPr>
      <w:r w:rsidRPr="008C7684">
        <w:rPr>
          <w:lang w:val="fr-FR"/>
        </w:rPr>
        <w:t>Disposition spéciale</w:t>
      </w:r>
      <w:r w:rsidRPr="008C7684">
        <w:t xml:space="preserve"> 225</w:t>
      </w:r>
      <w:r w:rsidRPr="008C7684">
        <w:tab/>
        <w:t xml:space="preserve">Dans le dernier Nota, </w:t>
      </w:r>
      <w:proofErr w:type="gramStart"/>
      <w:r w:rsidRPr="008C7684">
        <w:t>remplacer</w:t>
      </w:r>
      <w:proofErr w:type="gramEnd"/>
      <w:r w:rsidRPr="008C7684">
        <w:t xml:space="preserve"> «au gaz concerné» par «aux marchandises dangereuses concernées».</w:t>
      </w:r>
    </w:p>
    <w:p w:rsidR="00E1236D" w:rsidRPr="007F53B2" w:rsidRDefault="00E1236D" w:rsidP="00E1236D">
      <w:pPr>
        <w:pStyle w:val="SingleTxtG"/>
      </w:pPr>
      <w:r w:rsidRPr="008B40FC">
        <w:rPr>
          <w:lang w:val="fr-FR"/>
        </w:rPr>
        <w:t>Disposition spéciale</w:t>
      </w:r>
      <w:r>
        <w:t xml:space="preserve"> 236</w:t>
      </w:r>
      <w:r>
        <w:tab/>
        <w:t>Modifier pour lire comme suit:</w:t>
      </w:r>
    </w:p>
    <w:p w:rsidR="00E1236D" w:rsidRPr="007F53B2" w:rsidRDefault="00E1236D" w:rsidP="00E1236D">
      <w:pPr>
        <w:pStyle w:val="SingleTxtG"/>
      </w:pPr>
      <w:r>
        <w:t>«236</w:t>
      </w:r>
      <w:r w:rsidRPr="007F53B2">
        <w:tab/>
      </w:r>
      <w:r>
        <w:t>Les</w:t>
      </w:r>
      <w:r w:rsidRPr="007F53B2">
        <w:t xml:space="preserve"> trousses de résine polyester sont composées de deux constituants: un produit de base (</w:t>
      </w:r>
      <w:r>
        <w:t xml:space="preserve">de la classe 3 ou de la </w:t>
      </w:r>
      <w:r w:rsidR="00654B07">
        <w:t>classe</w:t>
      </w:r>
      <w:r w:rsidR="00654B07" w:rsidRPr="007F53B2">
        <w:t> </w:t>
      </w:r>
      <w:r w:rsidRPr="007F53B2">
        <w:t xml:space="preserve">4.1, groupe d’emballage II ou III) et un activateur (peroxyde organique). Le </w:t>
      </w:r>
      <w:r>
        <w:t>peroxyde organique doit être de type</w:t>
      </w:r>
      <w:r w:rsidRPr="007F53B2">
        <w:t xml:space="preserve"> D, E ou F, ne nécessitant pas de régulation de température. Le groupe d’emballage est II ou III selon les critères de la </w:t>
      </w:r>
      <w:r>
        <w:t xml:space="preserve">classe 3 ou de la </w:t>
      </w:r>
      <w:r w:rsidR="003C5C5B">
        <w:t>classe</w:t>
      </w:r>
      <w:r w:rsidR="003C5C5B" w:rsidRPr="007F53B2">
        <w:t> </w:t>
      </w:r>
      <w:r w:rsidRPr="007F53B2">
        <w:t>4.1</w:t>
      </w:r>
      <w:r>
        <w:t xml:space="preserve"> comme il convient</w:t>
      </w:r>
      <w:r w:rsidRPr="007F53B2">
        <w:t xml:space="preserve">, appliqués au produit de base. La quantité limite indiquée dans la colonne </w:t>
      </w:r>
      <w:r w:rsidR="003C5C5B">
        <w:t>(</w:t>
      </w:r>
      <w:r w:rsidRPr="007F53B2">
        <w:t>7a</w:t>
      </w:r>
      <w:r w:rsidR="003C5C5B">
        <w:t>)</w:t>
      </w:r>
      <w:r w:rsidRPr="007F53B2">
        <w:t xml:space="preserve"> </w:t>
      </w:r>
      <w:r w:rsidR="003C5C5B">
        <w:t>du tableau A</w:t>
      </w:r>
      <w:r w:rsidRPr="007F53B2">
        <w:t xml:space="preserve"> du chapitre 3.2 s’applique au produit de base.».</w:t>
      </w:r>
    </w:p>
    <w:p w:rsidR="00E1236D" w:rsidRPr="009E34E5" w:rsidRDefault="00E1236D" w:rsidP="00E1236D">
      <w:pPr>
        <w:pStyle w:val="SingleTxtG"/>
        <w:rPr>
          <w:lang w:val="fr-FR"/>
        </w:rPr>
      </w:pPr>
      <w:r w:rsidRPr="008B40FC">
        <w:rPr>
          <w:lang w:val="fr-FR"/>
        </w:rPr>
        <w:t>Disposition spéciale</w:t>
      </w:r>
      <w:r w:rsidRPr="009E34E5">
        <w:rPr>
          <w:lang w:val="fr-FR"/>
        </w:rPr>
        <w:t xml:space="preserve"> 310</w:t>
      </w:r>
      <w:r w:rsidRPr="009E34E5">
        <w:rPr>
          <w:lang w:val="fr-FR"/>
        </w:rPr>
        <w:tab/>
        <w:t>Modifier pour lire comme suit:</w:t>
      </w:r>
    </w:p>
    <w:p w:rsidR="00E1236D" w:rsidRPr="009E34E5" w:rsidRDefault="00E1236D" w:rsidP="00E1236D">
      <w:pPr>
        <w:pStyle w:val="SingleTxtG"/>
        <w:rPr>
          <w:lang w:val="fr-FR"/>
        </w:rPr>
      </w:pPr>
      <w:r w:rsidRPr="009E34E5">
        <w:rPr>
          <w:lang w:val="fr-FR"/>
        </w:rPr>
        <w:t>«310</w:t>
      </w:r>
      <w:r w:rsidRPr="009E34E5">
        <w:rPr>
          <w:lang w:val="fr-FR"/>
        </w:rPr>
        <w:tab/>
        <w:t xml:space="preserve">Les prescriptions des épreuves de la sous-section 38.3 </w:t>
      </w:r>
      <w:r>
        <w:rPr>
          <w:lang w:val="fr-FR"/>
        </w:rPr>
        <w:t xml:space="preserve">de la troisième partie </w:t>
      </w:r>
      <w:r w:rsidRPr="009E34E5">
        <w:rPr>
          <w:lang w:val="fr-FR"/>
        </w:rPr>
        <w:t xml:space="preserve">du </w:t>
      </w:r>
      <w:r w:rsidRPr="009E34E5">
        <w:rPr>
          <w:i/>
          <w:lang w:val="fr-FR"/>
        </w:rPr>
        <w:t xml:space="preserve">Manuel d’épreuves et de critères </w:t>
      </w:r>
      <w:r w:rsidRPr="009E34E5">
        <w:rPr>
          <w:lang w:val="fr-FR"/>
        </w:rPr>
        <w:t>ne s’appliquent pas aux séries de production composées d’au plus 100 piles et batteries ni aux prototypes de pré-production des piles et batteries lorsque ces prototypes sont transportés pour être éprouvés et qu’ils sont emballés conformément à l’instruction d’emballage P910 du 4.1.4.1</w:t>
      </w:r>
      <w:r w:rsidR="00F524AA">
        <w:rPr>
          <w:lang w:val="fr-FR"/>
        </w:rPr>
        <w:t xml:space="preserve"> de l'ADR</w:t>
      </w:r>
      <w:r w:rsidRPr="009E34E5">
        <w:rPr>
          <w:lang w:val="fr-FR"/>
        </w:rPr>
        <w:t>.</w:t>
      </w:r>
    </w:p>
    <w:p w:rsidR="00E1236D" w:rsidRPr="009E34E5" w:rsidRDefault="00E1236D" w:rsidP="00E1236D">
      <w:pPr>
        <w:pStyle w:val="SingleTxtG"/>
        <w:rPr>
          <w:lang w:val="fr-FR"/>
        </w:rPr>
      </w:pPr>
      <w:r w:rsidRPr="009E34E5">
        <w:rPr>
          <w:lang w:val="fr-FR"/>
        </w:rPr>
        <w:t xml:space="preserve">Le document de transport doit contenir la mention suivante: </w:t>
      </w:r>
      <w:r w:rsidR="00D932E6" w:rsidRPr="009E34E5">
        <w:rPr>
          <w:lang w:val="fr-FR"/>
        </w:rPr>
        <w:t>«</w:t>
      </w:r>
      <w:r w:rsidRPr="009E34E5">
        <w:rPr>
          <w:lang w:val="fr-FR"/>
        </w:rPr>
        <w:t xml:space="preserve">Transport </w:t>
      </w:r>
      <w:r>
        <w:rPr>
          <w:lang w:val="fr-FR"/>
        </w:rPr>
        <w:t>selon</w:t>
      </w:r>
      <w:r w:rsidRPr="009E34E5">
        <w:rPr>
          <w:lang w:val="fr-FR"/>
        </w:rPr>
        <w:t xml:space="preserve"> la disposition spéciale 310</w:t>
      </w:r>
      <w:r w:rsidR="00D932E6">
        <w:rPr>
          <w:iCs/>
        </w:rPr>
        <w:t>»</w:t>
      </w:r>
      <w:r w:rsidRPr="009E34E5">
        <w:rPr>
          <w:lang w:val="fr-FR"/>
        </w:rPr>
        <w:t>.</w:t>
      </w:r>
    </w:p>
    <w:p w:rsidR="00E1236D" w:rsidRPr="009E34E5" w:rsidRDefault="00E1236D" w:rsidP="00E1236D">
      <w:pPr>
        <w:pStyle w:val="SingleTxtG"/>
        <w:rPr>
          <w:lang w:val="fr-FR"/>
        </w:rPr>
      </w:pPr>
      <w:r w:rsidRPr="009E34E5">
        <w:rPr>
          <w:lang w:val="fr-FR"/>
        </w:rPr>
        <w:t xml:space="preserve">Les piles, batteries ou piles et batteries contenues dans des équipements, endommagées ou défectueuses, doivent être transportées conformément à la disposition spéciale 376 et </w:t>
      </w:r>
      <w:r w:rsidRPr="009E34E5">
        <w:rPr>
          <w:lang w:val="fr-FR"/>
        </w:rPr>
        <w:lastRenderedPageBreak/>
        <w:t>emballées conformément aux instructions d’emballage P908 du 4.1.4.1 ou LP904 du 4.1.4.3</w:t>
      </w:r>
      <w:r w:rsidR="00F524AA">
        <w:rPr>
          <w:lang w:val="fr-FR"/>
        </w:rPr>
        <w:t xml:space="preserve"> de l'ADR</w:t>
      </w:r>
      <w:r w:rsidRPr="009E34E5">
        <w:rPr>
          <w:lang w:val="fr-FR"/>
        </w:rPr>
        <w:t>, selon les cas.</w:t>
      </w:r>
    </w:p>
    <w:p w:rsidR="00E1236D" w:rsidRPr="009E34E5" w:rsidRDefault="00E1236D" w:rsidP="00E1236D">
      <w:pPr>
        <w:pStyle w:val="SingleTxtG"/>
        <w:rPr>
          <w:lang w:val="fr-FR"/>
        </w:rPr>
      </w:pPr>
      <w:r w:rsidRPr="009E34E5">
        <w:rPr>
          <w:lang w:val="fr-FR"/>
        </w:rPr>
        <w:t xml:space="preserve">Les piles, batteries ou piles et batteries contenues dans des équipements, transportées en vue de leur élimination ou de leur recyclage </w:t>
      </w:r>
      <w:r w:rsidR="007F0F13">
        <w:rPr>
          <w:lang w:val="fr-FR"/>
        </w:rPr>
        <w:t>peuvent</w:t>
      </w:r>
      <w:r w:rsidRPr="009E34E5">
        <w:rPr>
          <w:lang w:val="fr-FR"/>
        </w:rPr>
        <w:t xml:space="preserve"> être emballées conformément à la disposition spéciale 377 et à l’instruction d’emballage P909 du 4.1.4.1</w:t>
      </w:r>
      <w:r w:rsidR="00F524AA">
        <w:rPr>
          <w:lang w:val="fr-FR"/>
        </w:rPr>
        <w:t xml:space="preserve"> de l'ADR</w:t>
      </w:r>
      <w:r>
        <w:rPr>
          <w:lang w:val="fr-FR"/>
        </w:rPr>
        <w:t>.».</w:t>
      </w:r>
    </w:p>
    <w:p w:rsidR="00F560CD" w:rsidRDefault="00F560CD" w:rsidP="00F560CD">
      <w:pPr>
        <w:pStyle w:val="SingleTxtG"/>
        <w:rPr>
          <w:lang w:val="fr-FR"/>
        </w:rPr>
      </w:pPr>
      <w:r w:rsidRPr="008B40FC">
        <w:rPr>
          <w:lang w:val="fr-FR"/>
        </w:rPr>
        <w:t>Disposition spéciale</w:t>
      </w:r>
      <w:r w:rsidRPr="00A1622E">
        <w:t xml:space="preserve"> </w:t>
      </w:r>
      <w:r>
        <w:rPr>
          <w:lang w:val="fr-FR"/>
        </w:rPr>
        <w:t>317</w:t>
      </w:r>
      <w:r w:rsidRPr="00F560CD">
        <w:rPr>
          <w:lang w:val="fr-FR"/>
        </w:rPr>
        <w:t xml:space="preserve"> </w:t>
      </w:r>
      <w:r w:rsidRPr="009E34E5">
        <w:rPr>
          <w:lang w:val="fr-FR"/>
        </w:rPr>
        <w:tab/>
        <w:t>Modifier pour lire comme suit:</w:t>
      </w:r>
    </w:p>
    <w:p w:rsidR="00F560CD" w:rsidRDefault="00F560CD" w:rsidP="00F560CD">
      <w:pPr>
        <w:pStyle w:val="SingleTxtG"/>
        <w:rPr>
          <w:lang w:val="fr-FR"/>
        </w:rPr>
      </w:pPr>
      <w:r>
        <w:rPr>
          <w:lang w:val="fr-FR"/>
        </w:rPr>
        <w:t>«</w:t>
      </w:r>
      <w:r w:rsidRPr="008501A3">
        <w:rPr>
          <w:lang w:val="fr-FR"/>
        </w:rPr>
        <w:t xml:space="preserve">La désignation </w:t>
      </w:r>
      <w:r>
        <w:rPr>
          <w:lang w:val="fr-FR"/>
        </w:rPr>
        <w:t>«</w:t>
      </w:r>
      <w:r w:rsidRPr="008501A3">
        <w:rPr>
          <w:lang w:val="fr-FR"/>
        </w:rPr>
        <w:t>Fissiles-exceptés</w:t>
      </w:r>
      <w:r>
        <w:rPr>
          <w:lang w:val="fr-FR"/>
        </w:rPr>
        <w:t>»</w:t>
      </w:r>
      <w:r w:rsidRPr="008501A3">
        <w:rPr>
          <w:lang w:val="fr-FR"/>
        </w:rPr>
        <w:t xml:space="preserve"> ne s’applique qu’aux matières fissiles et colis contenant des matières fissiles</w:t>
      </w:r>
      <w:r>
        <w:rPr>
          <w:lang w:val="fr-FR"/>
        </w:rPr>
        <w:t xml:space="preserve"> exceptés conformément</w:t>
      </w:r>
      <w:r w:rsidRPr="008501A3">
        <w:rPr>
          <w:lang w:val="fr-FR"/>
        </w:rPr>
        <w:t xml:space="preserve"> au </w:t>
      </w:r>
      <w:r w:rsidR="007514EF">
        <w:rPr>
          <w:lang w:val="fr-FR"/>
        </w:rPr>
        <w:t>2.</w:t>
      </w:r>
      <w:r>
        <w:rPr>
          <w:lang w:val="fr-FR"/>
        </w:rPr>
        <w:t>2.7.2.3.5</w:t>
      </w:r>
      <w:r w:rsidRPr="008501A3">
        <w:rPr>
          <w:lang w:val="fr-FR"/>
        </w:rPr>
        <w:t>.</w:t>
      </w:r>
      <w:r w:rsidR="00040DA1">
        <w:rPr>
          <w:lang w:val="fr-FR"/>
        </w:rPr>
        <w:t>»</w:t>
      </w:r>
    </w:p>
    <w:p w:rsidR="00E1236D" w:rsidRPr="00B24042" w:rsidRDefault="00E1236D" w:rsidP="00E1236D">
      <w:pPr>
        <w:pStyle w:val="SingleTxtG"/>
        <w:rPr>
          <w:iCs/>
          <w:lang w:val="fr-FR"/>
        </w:rPr>
      </w:pPr>
      <w:r w:rsidRPr="008B40FC">
        <w:rPr>
          <w:lang w:val="fr-FR"/>
        </w:rPr>
        <w:t>Disposition spéciale</w:t>
      </w:r>
      <w:r w:rsidRPr="00B24042">
        <w:rPr>
          <w:iCs/>
          <w:lang w:val="fr-FR"/>
        </w:rPr>
        <w:t xml:space="preserve"> 327</w:t>
      </w:r>
      <w:r w:rsidRPr="00B24042">
        <w:rPr>
          <w:iCs/>
          <w:lang w:val="fr-FR"/>
        </w:rPr>
        <w:tab/>
        <w:t>Dans la deuxième phrase, remplacer «Ils n’ont pas besoin d’être protégés contre les fuites accidentelles» par «Ils n’ont pas besoin d’être protégés contre les mouvements et les fuites accidentelles».</w:t>
      </w:r>
    </w:p>
    <w:p w:rsidR="00E1236D" w:rsidRPr="00A1622E" w:rsidRDefault="00E1236D" w:rsidP="00E1236D">
      <w:pPr>
        <w:pStyle w:val="SingleTxtG"/>
      </w:pPr>
      <w:r w:rsidRPr="008B40FC">
        <w:rPr>
          <w:lang w:val="fr-FR"/>
        </w:rPr>
        <w:t>Disposition spéciale</w:t>
      </w:r>
      <w:r w:rsidRPr="00A1622E">
        <w:t xml:space="preserve"> 327</w:t>
      </w:r>
      <w:r w:rsidRPr="00A1622E">
        <w:tab/>
        <w:t xml:space="preserve">Dans la troisième phrase, </w:t>
      </w:r>
      <w:proofErr w:type="gramStart"/>
      <w:r w:rsidRPr="00A1622E">
        <w:t>remplacer</w:t>
      </w:r>
      <w:proofErr w:type="gramEnd"/>
      <w:r w:rsidRPr="00A1622E">
        <w:t xml:space="preserve"> «LP02» par «LP200».</w:t>
      </w:r>
    </w:p>
    <w:p w:rsidR="00E1236D" w:rsidRDefault="00E1236D" w:rsidP="00E1236D">
      <w:pPr>
        <w:pStyle w:val="SingleTxtG"/>
        <w:rPr>
          <w:iCs/>
          <w:lang w:val="fr-FR"/>
        </w:rPr>
      </w:pPr>
      <w:r w:rsidRPr="008B40FC">
        <w:rPr>
          <w:lang w:val="fr-FR"/>
        </w:rPr>
        <w:t>Disposition spéciale</w:t>
      </w:r>
      <w:r w:rsidRPr="00B24042">
        <w:rPr>
          <w:iCs/>
          <w:lang w:val="fr-FR"/>
        </w:rPr>
        <w:t xml:space="preserve"> </w:t>
      </w:r>
      <w:r w:rsidR="004A331B">
        <w:rPr>
          <w:iCs/>
          <w:lang w:val="fr-FR"/>
        </w:rPr>
        <w:t>363</w:t>
      </w:r>
      <w:r w:rsidR="004A331B">
        <w:rPr>
          <w:iCs/>
          <w:lang w:val="fr-FR"/>
        </w:rPr>
        <w:tab/>
      </w:r>
      <w:r>
        <w:rPr>
          <w:iCs/>
          <w:lang w:val="fr-FR"/>
        </w:rPr>
        <w:t>Modifier pour lire comme suit:</w:t>
      </w:r>
    </w:p>
    <w:p w:rsidR="00EB16FF" w:rsidRPr="001C29E2" w:rsidRDefault="00EB16FF" w:rsidP="005C3962">
      <w:pPr>
        <w:pStyle w:val="SingleTxtG"/>
        <w:tabs>
          <w:tab w:val="left" w:pos="1701"/>
        </w:tabs>
        <w:ind w:left="2268" w:hanging="1134"/>
      </w:pPr>
      <w:r>
        <w:rPr>
          <w:iCs/>
          <w:lang w:val="fr-FR"/>
        </w:rPr>
        <w:t>«363</w:t>
      </w:r>
      <w:r>
        <w:rPr>
          <w:iCs/>
          <w:lang w:val="fr-FR"/>
        </w:rPr>
        <w:tab/>
      </w:r>
      <w:r w:rsidRPr="001C29E2">
        <w:t>a)</w:t>
      </w:r>
      <w:r w:rsidRPr="001C29E2">
        <w:tab/>
        <w:t>La présente rubrique s</w:t>
      </w:r>
      <w:r>
        <w:t>’</w:t>
      </w:r>
      <w:r w:rsidRPr="001C29E2">
        <w:t xml:space="preserve">applique aux moteurs ou machines </w:t>
      </w:r>
      <w:r>
        <w:t>fonctionnant à l’aide de combustibles</w:t>
      </w:r>
      <w:r w:rsidR="004A324B" w:rsidRPr="004357DE">
        <w:rPr>
          <w:rStyle w:val="FootnoteReference"/>
        </w:rPr>
        <w:footnoteReference w:id="3"/>
      </w:r>
      <w:r w:rsidRPr="001C29E2">
        <w:t xml:space="preserve"> classés comme marchandises dangereuses, par l</w:t>
      </w:r>
      <w:r>
        <w:t>’</w:t>
      </w:r>
      <w:r w:rsidRPr="001C29E2">
        <w:t>intermédiaire d</w:t>
      </w:r>
      <w:r>
        <w:t>’</w:t>
      </w:r>
      <w:r w:rsidRPr="001C29E2">
        <w:t xml:space="preserve">un système à combustion interne ou de piles à combustible (par exemple, moteurs à combustion interne, compresseurs, turbines, modules de chauffage, etc.), </w:t>
      </w:r>
      <w:r w:rsidR="004A324B" w:rsidRPr="00E87289">
        <w:rPr>
          <w:lang w:val="fr-FR"/>
        </w:rPr>
        <w:t>en quantités supérieures à celles indiquées dans la colonne (7a) du tableau A</w:t>
      </w:r>
      <w:r w:rsidR="004A324B">
        <w:rPr>
          <w:lang w:val="fr-FR"/>
        </w:rPr>
        <w:t xml:space="preserve"> </w:t>
      </w:r>
      <w:r w:rsidR="004A324B" w:rsidRPr="00E87289">
        <w:rPr>
          <w:lang w:val="fr-FR"/>
        </w:rPr>
        <w:t>du chapitre 3.2,</w:t>
      </w:r>
      <w:r w:rsidR="004A324B">
        <w:rPr>
          <w:lang w:val="fr-FR"/>
        </w:rPr>
        <w:t xml:space="preserve"> autres que les équipements des véhicules affectés au No ONU 3166 visés dans la disposition spéciale 665</w:t>
      </w:r>
      <w:r>
        <w:t>.</w:t>
      </w:r>
    </w:p>
    <w:p w:rsidR="004A324B" w:rsidRDefault="004A324B" w:rsidP="005C3962">
      <w:pPr>
        <w:pStyle w:val="ParNoG"/>
        <w:numPr>
          <w:ilvl w:val="0"/>
          <w:numId w:val="0"/>
        </w:numPr>
        <w:ind w:left="1701" w:firstLine="567"/>
        <w:rPr>
          <w:i/>
          <w:lang w:val="fr-FR"/>
        </w:rPr>
      </w:pPr>
      <w:r w:rsidRPr="00DB7FE2">
        <w:rPr>
          <w:b/>
          <w:i/>
          <w:lang w:val="fr-FR"/>
        </w:rPr>
        <w:t>NOTA:</w:t>
      </w:r>
      <w:r w:rsidRPr="00DB7FE2">
        <w:rPr>
          <w:i/>
          <w:lang w:val="fr-FR"/>
        </w:rPr>
        <w:t xml:space="preserve"> Cette rubrique ne s’applique pas aux équipements visés au 1.1.3.3.</w:t>
      </w:r>
    </w:p>
    <w:p w:rsidR="00EB16FF" w:rsidRPr="001C29E2" w:rsidRDefault="005C3962" w:rsidP="005C3962">
      <w:pPr>
        <w:pStyle w:val="SingleTxtG"/>
        <w:tabs>
          <w:tab w:val="left" w:pos="1701"/>
        </w:tabs>
        <w:ind w:left="2268" w:hanging="1134"/>
      </w:pPr>
      <w:r>
        <w:tab/>
      </w:r>
      <w:r w:rsidR="00EB16FF" w:rsidRPr="001C29E2">
        <w:t>b)</w:t>
      </w:r>
      <w:r w:rsidR="00EB16FF" w:rsidRPr="001C29E2">
        <w:tab/>
        <w:t xml:space="preserve">Les moteurs ou machines </w:t>
      </w:r>
      <w:r w:rsidR="00EB16FF" w:rsidRPr="004357DE">
        <w:rPr>
          <w:rFonts w:eastAsia="Calibri"/>
        </w:rPr>
        <w:t>exempts</w:t>
      </w:r>
      <w:r w:rsidR="00EB16FF">
        <w:t xml:space="preserve"> de combustible liquide ou gazeux, et ne contenant </w:t>
      </w:r>
      <w:r w:rsidR="00EB16FF" w:rsidRPr="001C29E2">
        <w:t xml:space="preserve">aucune </w:t>
      </w:r>
      <w:r w:rsidR="00EB16FF">
        <w:t xml:space="preserve">autre </w:t>
      </w:r>
      <w:r w:rsidR="00EB16FF" w:rsidRPr="001C29E2">
        <w:t>marchandise dangereuse</w:t>
      </w:r>
      <w:r w:rsidR="00EB16FF">
        <w:t>,</w:t>
      </w:r>
      <w:r w:rsidR="00EB16FF" w:rsidRPr="001C29E2">
        <w:t xml:space="preserve"> ne sont p</w:t>
      </w:r>
      <w:r w:rsidR="00EB16FF">
        <w:t>as soumis à l’ADN;</w:t>
      </w:r>
    </w:p>
    <w:p w:rsidR="00EB16FF" w:rsidRPr="001C29E2" w:rsidRDefault="00EB16FF" w:rsidP="005C3962">
      <w:pPr>
        <w:pStyle w:val="SingleTxtG"/>
        <w:ind w:left="2268"/>
        <w:rPr>
          <w:i/>
        </w:rPr>
      </w:pPr>
      <w:r w:rsidRPr="001C29E2">
        <w:rPr>
          <w:b/>
          <w:i/>
        </w:rPr>
        <w:t>NOTA</w:t>
      </w:r>
      <w:r>
        <w:rPr>
          <w:b/>
          <w:i/>
        </w:rPr>
        <w:tab/>
      </w:r>
      <w:r w:rsidR="005C3962">
        <w:rPr>
          <w:b/>
          <w:i/>
        </w:rPr>
        <w:t xml:space="preserve"> </w:t>
      </w:r>
      <w:r w:rsidRPr="001C29E2">
        <w:rPr>
          <w:b/>
          <w:i/>
        </w:rPr>
        <w:t>1</w:t>
      </w:r>
      <w:r w:rsidRPr="001C29E2">
        <w:rPr>
          <w:i/>
        </w:rPr>
        <w:t xml:space="preserve">: Un moteur ou une machine est considéré comme étant exempt de </w:t>
      </w:r>
      <w:r>
        <w:rPr>
          <w:i/>
        </w:rPr>
        <w:t>combustible</w:t>
      </w:r>
      <w:r w:rsidRPr="001C29E2">
        <w:rPr>
          <w:i/>
        </w:rPr>
        <w:t xml:space="preserve"> liquide si le réservoir de </w:t>
      </w:r>
      <w:r>
        <w:rPr>
          <w:i/>
        </w:rPr>
        <w:t>combustible</w:t>
      </w:r>
      <w:r w:rsidRPr="001C29E2">
        <w:rPr>
          <w:i/>
        </w:rPr>
        <w:t xml:space="preserve"> liquide a été vidangé et que le moteur ou la machine ne peut pas fonctionner par manque de </w:t>
      </w:r>
      <w:r>
        <w:rPr>
          <w:i/>
        </w:rPr>
        <w:t>combustible</w:t>
      </w:r>
      <w:r w:rsidRPr="001C29E2">
        <w:rPr>
          <w:i/>
        </w:rPr>
        <w:t>. Il n</w:t>
      </w:r>
      <w:r>
        <w:rPr>
          <w:i/>
        </w:rPr>
        <w:t>’</w:t>
      </w:r>
      <w:r w:rsidRPr="001C29E2">
        <w:rPr>
          <w:i/>
        </w:rPr>
        <w:t xml:space="preserve">est pas nécessaire de nettoyer, drainer ou purger les éléments du moteur ou de la machine tels que les conduites de </w:t>
      </w:r>
      <w:r>
        <w:rPr>
          <w:i/>
        </w:rPr>
        <w:t>combustible</w:t>
      </w:r>
      <w:r w:rsidRPr="001C29E2">
        <w:rPr>
          <w:i/>
        </w:rPr>
        <w:t xml:space="preserve">, les filtres à </w:t>
      </w:r>
      <w:r>
        <w:rPr>
          <w:i/>
        </w:rPr>
        <w:t>combustible</w:t>
      </w:r>
      <w:r w:rsidRPr="001C29E2">
        <w:rPr>
          <w:i/>
        </w:rPr>
        <w:t xml:space="preserve"> et les injecteurs pour qu</w:t>
      </w:r>
      <w:r>
        <w:rPr>
          <w:i/>
        </w:rPr>
        <w:t>’</w:t>
      </w:r>
      <w:r w:rsidRPr="001C29E2">
        <w:rPr>
          <w:i/>
        </w:rPr>
        <w:t xml:space="preserve">ils soient </w:t>
      </w:r>
      <w:r w:rsidRPr="004357DE">
        <w:rPr>
          <w:i/>
        </w:rPr>
        <w:t>considérés</w:t>
      </w:r>
      <w:r w:rsidRPr="001C29E2">
        <w:rPr>
          <w:i/>
        </w:rPr>
        <w:t xml:space="preserve"> comme exempts de </w:t>
      </w:r>
      <w:r>
        <w:rPr>
          <w:i/>
        </w:rPr>
        <w:t>combustible</w:t>
      </w:r>
      <w:r w:rsidRPr="001C29E2">
        <w:rPr>
          <w:i/>
        </w:rPr>
        <w:t xml:space="preserve"> liquide. En outre, il n</w:t>
      </w:r>
      <w:r>
        <w:rPr>
          <w:i/>
        </w:rPr>
        <w:t>’</w:t>
      </w:r>
      <w:r w:rsidRPr="001C29E2">
        <w:rPr>
          <w:i/>
        </w:rPr>
        <w:t xml:space="preserve">est pas nécessaire que le réservoir de </w:t>
      </w:r>
      <w:r>
        <w:rPr>
          <w:i/>
        </w:rPr>
        <w:t>combustible</w:t>
      </w:r>
      <w:r w:rsidRPr="001C29E2">
        <w:rPr>
          <w:i/>
        </w:rPr>
        <w:t xml:space="preserve"> liquide soit nettoyé ou purgé.</w:t>
      </w:r>
    </w:p>
    <w:p w:rsidR="00EB16FF" w:rsidRPr="001C29E2" w:rsidRDefault="00EB16FF" w:rsidP="005C3962">
      <w:pPr>
        <w:pStyle w:val="SingleTxtG"/>
        <w:ind w:left="2268"/>
        <w:rPr>
          <w:i/>
        </w:rPr>
      </w:pPr>
      <w:r>
        <w:rPr>
          <w:b/>
          <w:i/>
        </w:rPr>
        <w:tab/>
      </w:r>
      <w:r w:rsidR="004357DE">
        <w:rPr>
          <w:b/>
          <w:i/>
        </w:rPr>
        <w:t>NOTA</w:t>
      </w:r>
      <w:r w:rsidR="005C3962">
        <w:rPr>
          <w:b/>
          <w:i/>
        </w:rPr>
        <w:t xml:space="preserve"> </w:t>
      </w:r>
      <w:r w:rsidRPr="001C29E2">
        <w:rPr>
          <w:b/>
          <w:i/>
        </w:rPr>
        <w:t>2</w:t>
      </w:r>
      <w:r w:rsidRPr="001C29E2">
        <w:rPr>
          <w:i/>
        </w:rPr>
        <w:t xml:space="preserve">: Un moteur ou une machine est considéré comme exempt de </w:t>
      </w:r>
      <w:r>
        <w:rPr>
          <w:i/>
        </w:rPr>
        <w:t>combustible</w:t>
      </w:r>
      <w:r w:rsidRPr="001C29E2">
        <w:rPr>
          <w:i/>
        </w:rPr>
        <w:t xml:space="preserve"> gazeux si les </w:t>
      </w:r>
      <w:r w:rsidRPr="004357DE">
        <w:rPr>
          <w:i/>
        </w:rPr>
        <w:t>réservoirs</w:t>
      </w:r>
      <w:r w:rsidRPr="001C29E2">
        <w:rPr>
          <w:i/>
        </w:rPr>
        <w:t xml:space="preserve"> de </w:t>
      </w:r>
      <w:r>
        <w:rPr>
          <w:i/>
        </w:rPr>
        <w:t>combustible</w:t>
      </w:r>
      <w:r w:rsidRPr="001C29E2">
        <w:rPr>
          <w:i/>
        </w:rPr>
        <w:t xml:space="preserve"> gazeux sont exempts de liquide (pour les gaz liquéfiés), la pression à l</w:t>
      </w:r>
      <w:r>
        <w:rPr>
          <w:i/>
        </w:rPr>
        <w:t>’</w:t>
      </w:r>
      <w:r w:rsidRPr="001C29E2">
        <w:rPr>
          <w:i/>
        </w:rPr>
        <w:t>intérieur des réservoirs ne dépasse pas 2 bars et la vanne d</w:t>
      </w:r>
      <w:r>
        <w:rPr>
          <w:i/>
        </w:rPr>
        <w:t>’</w:t>
      </w:r>
      <w:r w:rsidRPr="001C29E2">
        <w:rPr>
          <w:i/>
        </w:rPr>
        <w:t xml:space="preserve">arrêt de </w:t>
      </w:r>
      <w:r>
        <w:rPr>
          <w:i/>
        </w:rPr>
        <w:t>combustible</w:t>
      </w:r>
      <w:r w:rsidRPr="001C29E2">
        <w:rPr>
          <w:i/>
        </w:rPr>
        <w:t xml:space="preserve"> ou d</w:t>
      </w:r>
      <w:r>
        <w:rPr>
          <w:i/>
        </w:rPr>
        <w:t>’</w:t>
      </w:r>
      <w:r w:rsidRPr="001C29E2">
        <w:rPr>
          <w:i/>
        </w:rPr>
        <w:t>isolation est fermée et verrouillée</w:t>
      </w:r>
      <w:r>
        <w:rPr>
          <w:i/>
        </w:rPr>
        <w:t>.</w:t>
      </w:r>
    </w:p>
    <w:p w:rsidR="00EB16FF" w:rsidRPr="00827AE1" w:rsidRDefault="005C3962" w:rsidP="005C3962">
      <w:pPr>
        <w:pStyle w:val="SingleTxtG"/>
        <w:tabs>
          <w:tab w:val="left" w:pos="1701"/>
        </w:tabs>
        <w:ind w:left="2268" w:hanging="1134"/>
      </w:pPr>
      <w:r>
        <w:tab/>
      </w:r>
      <w:r w:rsidR="00EB16FF" w:rsidRPr="0036158D">
        <w:t>c)</w:t>
      </w:r>
      <w:r w:rsidR="00EB16FF" w:rsidRPr="0036158D">
        <w:tab/>
        <w:t xml:space="preserve">Les moteurs et machines qui contiennent des </w:t>
      </w:r>
      <w:r w:rsidR="00EB16FF">
        <w:t>combustibles</w:t>
      </w:r>
      <w:r w:rsidR="00EB16FF" w:rsidRPr="0036158D">
        <w:t xml:space="preserve"> répondant aux critères de classement de la classe 3 doivent être expédiés sous les rubriques ONU 3528 MOTEUR À COMBUSTION INTERNE </w:t>
      </w:r>
      <w:r w:rsidR="00EB16FF" w:rsidRPr="005E2CEB">
        <w:t>FONCTIONNANT AU</w:t>
      </w:r>
      <w:r w:rsidR="00EB16FF" w:rsidRPr="0036158D">
        <w:t xml:space="preserve"> LIQUIDE INFLAMMABLE ou ONU 3528 </w:t>
      </w:r>
      <w:r w:rsidR="00EB16FF" w:rsidRPr="004357DE">
        <w:rPr>
          <w:rFonts w:eastAsia="Calibri"/>
        </w:rPr>
        <w:t>MOTEUR</w:t>
      </w:r>
      <w:r w:rsidR="00EB16FF" w:rsidRPr="0036158D">
        <w:t xml:space="preserve"> PILE À COMBUSTIBLE CONTENANT DU </w:t>
      </w:r>
      <w:r w:rsidR="00EB16FF" w:rsidRPr="00827AE1">
        <w:t xml:space="preserve">LIQUIDE INFLAMMABLE ou ONU 3528 MACHINE À COMBUSTION INTERNE </w:t>
      </w:r>
      <w:r w:rsidR="00EB16FF" w:rsidRPr="005E2CEB">
        <w:t>FONCTIONNANT AU</w:t>
      </w:r>
      <w:r w:rsidR="00EB16FF" w:rsidRPr="00827AE1">
        <w:t xml:space="preserve"> LIQUIDE INFLAMMABLE ou ONU 3528 MACHINE PILE À </w:t>
      </w:r>
      <w:r w:rsidR="00EB16FF" w:rsidRPr="00827AE1">
        <w:lastRenderedPageBreak/>
        <w:t>COMBUSTIBLE CONTENANT DU LIQUIDE INFLAMMABLE, selon le cas;</w:t>
      </w:r>
    </w:p>
    <w:p w:rsidR="00EB16FF" w:rsidRPr="0036158D" w:rsidRDefault="005C3962" w:rsidP="005C3962">
      <w:pPr>
        <w:pStyle w:val="SingleTxtG"/>
        <w:tabs>
          <w:tab w:val="left" w:pos="1701"/>
        </w:tabs>
        <w:ind w:left="2268" w:hanging="1134"/>
      </w:pPr>
      <w:r>
        <w:tab/>
      </w:r>
      <w:r w:rsidR="00EB16FF" w:rsidRPr="00827AE1">
        <w:t>d)</w:t>
      </w:r>
      <w:r w:rsidR="00EB16FF" w:rsidRPr="00827AE1">
        <w:tab/>
        <w:t xml:space="preserve">Les moteurs et machines qui contiennent des </w:t>
      </w:r>
      <w:r w:rsidR="00EB16FF">
        <w:t>combustibles</w:t>
      </w:r>
      <w:r w:rsidR="00EB16FF" w:rsidRPr="00827AE1">
        <w:t xml:space="preserve"> répondant aux critères de classification </w:t>
      </w:r>
      <w:r w:rsidR="00EB16FF">
        <w:t>des gaz inflammables de la classe 2</w:t>
      </w:r>
      <w:r w:rsidR="00EB16FF" w:rsidRPr="00827AE1">
        <w:t xml:space="preserve"> doivent être expédiés sous les rubriques ONU 3529 </w:t>
      </w:r>
      <w:r w:rsidR="00EB16FF" w:rsidRPr="005C3962">
        <w:t>MOTEUR</w:t>
      </w:r>
      <w:r w:rsidR="00EB16FF" w:rsidRPr="00827AE1">
        <w:rPr>
          <w:lang w:val="fr-FR"/>
        </w:rPr>
        <w:t xml:space="preserve"> À COMBUSTION INTERNE </w:t>
      </w:r>
      <w:r w:rsidR="00EB16FF" w:rsidRPr="005E2CEB">
        <w:rPr>
          <w:lang w:val="fr-FR"/>
        </w:rPr>
        <w:t>FONCTIONNANT AU</w:t>
      </w:r>
      <w:r w:rsidR="00EB16FF" w:rsidRPr="005E2CEB" w:rsidDel="005E2CEB">
        <w:rPr>
          <w:lang w:val="fr-FR"/>
        </w:rPr>
        <w:t xml:space="preserve"> </w:t>
      </w:r>
      <w:r w:rsidR="00EB16FF" w:rsidRPr="00827AE1">
        <w:rPr>
          <w:lang w:val="fr-FR"/>
        </w:rPr>
        <w:t xml:space="preserve">GAZ INFLAMMABLE </w:t>
      </w:r>
      <w:r w:rsidR="00EB16FF" w:rsidRPr="00827AE1">
        <w:t xml:space="preserve">ou ONU 3529 MOTEUR PILE À COMBUSTIBLE CONTENANT DU GAZ INFLAMMABLE ou ONU 3529 MACHINE À COMBUSTION INTERNE </w:t>
      </w:r>
      <w:r w:rsidR="00EB16FF" w:rsidRPr="005E2CEB">
        <w:t>FONCTIONNANT AU</w:t>
      </w:r>
      <w:r w:rsidR="00EB16FF" w:rsidRPr="005E2CEB" w:rsidDel="005E2CEB">
        <w:t xml:space="preserve"> </w:t>
      </w:r>
      <w:r w:rsidR="00EB16FF" w:rsidRPr="00827AE1">
        <w:t>GAZ INFLAMMABLE ou ONU 3529 MACHINE PILE À COMBUSTIBLE CONTENANT DU GAZ INFLAMMABLE, selon le cas;</w:t>
      </w:r>
    </w:p>
    <w:p w:rsidR="00EB16FF" w:rsidRPr="00827AE1" w:rsidRDefault="005C3962" w:rsidP="005C3962">
      <w:pPr>
        <w:pStyle w:val="SingleTxtG"/>
        <w:tabs>
          <w:tab w:val="left" w:pos="1701"/>
        </w:tabs>
        <w:ind w:left="2268" w:hanging="1134"/>
      </w:pPr>
      <w:r>
        <w:tab/>
      </w:r>
      <w:r>
        <w:tab/>
      </w:r>
      <w:r w:rsidR="00EB16FF" w:rsidRPr="00827AE1">
        <w:t xml:space="preserve">Les moteurs et machines </w:t>
      </w:r>
      <w:r w:rsidR="00EB16FF">
        <w:t>fonctionnant</w:t>
      </w:r>
      <w:r w:rsidR="00EB16FF" w:rsidRPr="00827AE1">
        <w:t xml:space="preserve"> à la fois </w:t>
      </w:r>
      <w:r w:rsidR="00EB16FF">
        <w:t>à l’aide</w:t>
      </w:r>
      <w:r w:rsidR="00EB16FF" w:rsidRPr="00827AE1">
        <w:t xml:space="preserve"> </w:t>
      </w:r>
      <w:r w:rsidR="00EB16FF">
        <w:t>d’</w:t>
      </w:r>
      <w:r w:rsidR="00EB16FF" w:rsidRPr="00827AE1">
        <w:t xml:space="preserve">un gaz inflammable et </w:t>
      </w:r>
      <w:r w:rsidR="00EB16FF">
        <w:t>d’</w:t>
      </w:r>
      <w:r w:rsidR="00EB16FF" w:rsidRPr="00827AE1">
        <w:t xml:space="preserve">un liquide inflammable doivent être expédiés sous le No ONU </w:t>
      </w:r>
      <w:r w:rsidR="00EB16FF">
        <w:t>3529</w:t>
      </w:r>
      <w:r w:rsidR="00EB16FF" w:rsidRPr="00827AE1">
        <w:t xml:space="preserve"> sous la rubrique approprié</w:t>
      </w:r>
      <w:r w:rsidR="00EB16FF">
        <w:t>e</w:t>
      </w:r>
      <w:r w:rsidR="00EB16FF" w:rsidRPr="00827AE1">
        <w:t>;</w:t>
      </w:r>
    </w:p>
    <w:p w:rsidR="00EB16FF" w:rsidRPr="001C29E2" w:rsidRDefault="005C3962" w:rsidP="005C3962">
      <w:pPr>
        <w:pStyle w:val="SingleTxtG"/>
        <w:tabs>
          <w:tab w:val="left" w:pos="1701"/>
        </w:tabs>
        <w:ind w:left="2268" w:hanging="1134"/>
      </w:pPr>
      <w:r>
        <w:tab/>
      </w:r>
      <w:r w:rsidR="00EB16FF" w:rsidRPr="001C29E2">
        <w:t>e)</w:t>
      </w:r>
      <w:r w:rsidR="00EB16FF" w:rsidRPr="001C29E2">
        <w:tab/>
        <w:t xml:space="preserve">Les moteurs et machines qui contiennent du </w:t>
      </w:r>
      <w:r w:rsidR="00EB16FF">
        <w:t>combustible</w:t>
      </w:r>
      <w:r w:rsidR="00EB16FF" w:rsidRPr="001C29E2">
        <w:t xml:space="preserve"> </w:t>
      </w:r>
      <w:r w:rsidR="00EB16FF">
        <w:t xml:space="preserve">liquide </w:t>
      </w:r>
      <w:r w:rsidR="00EB16FF" w:rsidRPr="001C29E2">
        <w:t xml:space="preserve">répondant aux critères de classification du </w:t>
      </w:r>
      <w:r w:rsidR="00EB16FF">
        <w:t>2.2.9.1.10</w:t>
      </w:r>
      <w:r w:rsidR="00EB16FF" w:rsidRPr="001C29E2">
        <w:t xml:space="preserve"> pour les matières dangereuses pour l</w:t>
      </w:r>
      <w:r w:rsidR="00EB16FF">
        <w:t>’</w:t>
      </w:r>
      <w:r w:rsidR="00EB16FF" w:rsidRPr="001C29E2">
        <w:t>environnement et ne répondant aux critères de classification d</w:t>
      </w:r>
      <w:r w:rsidR="00EB16FF">
        <w:t>’</w:t>
      </w:r>
      <w:r w:rsidR="00EB16FF" w:rsidRPr="001C29E2">
        <w:t xml:space="preserve">aucune autre classe doivent être expédiés sous les rubriques ONU </w:t>
      </w:r>
      <w:r w:rsidR="00EB16FF">
        <w:t>3530</w:t>
      </w:r>
      <w:r w:rsidR="00EB16FF" w:rsidRPr="001C29E2">
        <w:t xml:space="preserve"> MOTEUR À COMBUSTION INTERNE ou ONU </w:t>
      </w:r>
      <w:r w:rsidR="00EB16FF">
        <w:t>3530</w:t>
      </w:r>
      <w:r w:rsidR="00EB16FF" w:rsidRPr="001C29E2">
        <w:t xml:space="preserve"> MACHINE À C</w:t>
      </w:r>
      <w:r w:rsidR="00EB16FF">
        <w:t>OMBUSTION INTERNE, selon le cas;</w:t>
      </w:r>
    </w:p>
    <w:p w:rsidR="00EB16FF" w:rsidRPr="001C29E2" w:rsidRDefault="005C3962" w:rsidP="005C3962">
      <w:pPr>
        <w:pStyle w:val="SingleTxtG"/>
        <w:tabs>
          <w:tab w:val="left" w:pos="1701"/>
        </w:tabs>
        <w:ind w:left="2268" w:hanging="1134"/>
      </w:pPr>
      <w:r>
        <w:tab/>
      </w:r>
      <w:r w:rsidR="00EB16FF" w:rsidRPr="001C29E2">
        <w:t>f)</w:t>
      </w:r>
      <w:r w:rsidR="00EB16FF" w:rsidRPr="001C29E2">
        <w:tab/>
        <w:t xml:space="preserve">Les moteurs ou machines peuvent contenir </w:t>
      </w:r>
      <w:r w:rsidR="00EB16FF">
        <w:t>des</w:t>
      </w:r>
      <w:r w:rsidR="00EB16FF" w:rsidRPr="001C29E2">
        <w:t xml:space="preserve"> marchandises dangereuses</w:t>
      </w:r>
      <w:r w:rsidR="00EB16FF">
        <w:t xml:space="preserve"> autres que du combustible</w:t>
      </w:r>
      <w:r w:rsidR="00EB16FF" w:rsidRPr="001C29E2">
        <w:t xml:space="preserve"> (par exemple </w:t>
      </w:r>
      <w:r w:rsidR="00EB16FF">
        <w:t>batteries</w:t>
      </w:r>
      <w:r w:rsidR="00EB16FF" w:rsidRPr="001C29E2">
        <w:t>, extincteurs, accumulateurs à gaz comprimés ou dispositifs de sécurité) nécessaires à leur fonctionnement ou à leur utilisation en toute sécurité sans être soumis à d</w:t>
      </w:r>
      <w:r w:rsidR="00EB16FF">
        <w:t>’</w:t>
      </w:r>
      <w:r w:rsidR="00EB16FF" w:rsidRPr="001C29E2">
        <w:t xml:space="preserve">autres prescriptions </w:t>
      </w:r>
      <w:r w:rsidR="00EB16FF">
        <w:t xml:space="preserve">en relation avec ces autres marchandises dangereuses, à moins qu’il n’en soit spécifié autrement dans l’ADN. </w:t>
      </w:r>
      <w:r w:rsidR="004A324B">
        <w:t>Cependant, à</w:t>
      </w:r>
      <w:r w:rsidR="004A324B" w:rsidRPr="00DA7878">
        <w:t xml:space="preserve"> moins qu’il n’en soit prévu autrement dans </w:t>
      </w:r>
      <w:r w:rsidR="004A324B">
        <w:t xml:space="preserve">la disposition spéciale 666, les piles au lithium doivent satisfaire aux prescriptions du </w:t>
      </w:r>
      <w:r w:rsidR="004A324B" w:rsidRPr="005C3962">
        <w:t>2.2.9.1.7</w:t>
      </w:r>
      <w:r w:rsidR="004A324B">
        <w:t>.</w:t>
      </w:r>
      <w:r w:rsidR="00EB16FF" w:rsidRPr="005C3962">
        <w:t>.</w:t>
      </w:r>
    </w:p>
    <w:p w:rsidR="00EB16FF" w:rsidRPr="001C29E2" w:rsidRDefault="005C3962" w:rsidP="005C3962">
      <w:pPr>
        <w:pStyle w:val="SingleTxtG"/>
        <w:tabs>
          <w:tab w:val="left" w:pos="1701"/>
        </w:tabs>
        <w:ind w:left="2268" w:hanging="1134"/>
      </w:pPr>
      <w:r>
        <w:tab/>
      </w:r>
      <w:r w:rsidR="00EB16FF" w:rsidRPr="001C29E2">
        <w:t>g)</w:t>
      </w:r>
      <w:r w:rsidR="00EB16FF" w:rsidRPr="001C29E2">
        <w:tab/>
        <w:t>Les moteurs et machines ne sont pas soumis à d</w:t>
      </w:r>
      <w:r w:rsidR="00EB16FF">
        <w:t>’</w:t>
      </w:r>
      <w:r w:rsidR="00EB16FF" w:rsidRPr="001C29E2">
        <w:t xml:space="preserve">autres prescriptions </w:t>
      </w:r>
      <w:r w:rsidR="00EB16FF">
        <w:t>de l’ADN</w:t>
      </w:r>
      <w:r w:rsidR="00EB16FF" w:rsidRPr="001C29E2">
        <w:t xml:space="preserve"> s</w:t>
      </w:r>
      <w:r w:rsidR="00EB16FF">
        <w:t>’</w:t>
      </w:r>
      <w:r w:rsidR="00EB16FF" w:rsidRPr="001C29E2">
        <w:t>ils satisfont aux prescriptions suivantes:</w:t>
      </w:r>
    </w:p>
    <w:p w:rsidR="00EB16FF" w:rsidRPr="004357DE" w:rsidRDefault="00EB16FF" w:rsidP="00C532C0">
      <w:pPr>
        <w:pStyle w:val="SingleTxtG"/>
        <w:ind w:left="2835" w:hanging="567"/>
        <w:rPr>
          <w:rFonts w:eastAsia="Calibri"/>
        </w:rPr>
      </w:pPr>
      <w:r>
        <w:t>i)</w:t>
      </w:r>
      <w:r>
        <w:tab/>
        <w:t xml:space="preserve">Le </w:t>
      </w:r>
      <w:r w:rsidRPr="004357DE">
        <w:rPr>
          <w:rFonts w:eastAsia="Calibri"/>
        </w:rPr>
        <w:t>moteur ou la machine, y compris le moyen de rétention contenant les marchandises dangereuses, doivent être conformes aux prescriptions de construction de l’autorité compétente du pays de fabrication</w:t>
      </w:r>
      <w:r w:rsidRPr="004357DE">
        <w:rPr>
          <w:rFonts w:eastAsia="Calibri"/>
        </w:rPr>
        <w:footnoteReference w:customMarkFollows="1" w:id="4"/>
        <w:t>2;</w:t>
      </w:r>
    </w:p>
    <w:p w:rsidR="00EB16FF" w:rsidRPr="004357DE" w:rsidRDefault="00EB16FF" w:rsidP="00C532C0">
      <w:pPr>
        <w:pStyle w:val="SingleTxtG"/>
        <w:ind w:left="2835" w:hanging="567"/>
        <w:rPr>
          <w:rFonts w:eastAsia="Calibri"/>
        </w:rPr>
      </w:pPr>
      <w:r w:rsidRPr="004357DE">
        <w:rPr>
          <w:rFonts w:eastAsia="Calibri"/>
        </w:rPr>
        <w:t>ii)</w:t>
      </w:r>
      <w:r w:rsidRPr="004357DE">
        <w:rPr>
          <w:rFonts w:eastAsia="Calibri"/>
        </w:rPr>
        <w:tab/>
        <w:t>Toute soupape ou ouverture (par exemple, dispositifs d’aération) doit être fermée pendant le transport;</w:t>
      </w:r>
    </w:p>
    <w:p w:rsidR="00EB16FF" w:rsidRPr="004357DE" w:rsidRDefault="00EB16FF" w:rsidP="00C532C0">
      <w:pPr>
        <w:pStyle w:val="SingleTxtG"/>
        <w:ind w:left="2835" w:hanging="567"/>
        <w:rPr>
          <w:rFonts w:eastAsia="Calibri"/>
        </w:rPr>
      </w:pPr>
      <w:r w:rsidRPr="004357DE">
        <w:rPr>
          <w:rFonts w:eastAsia="Calibri"/>
        </w:rPr>
        <w:t>iii)</w:t>
      </w:r>
      <w:r w:rsidRPr="004357DE">
        <w:rPr>
          <w:rFonts w:eastAsia="Calibri"/>
        </w:rPr>
        <w:tab/>
        <w:t>Le moteur ou la machine doivent être orientés de manière à éviter toute fuite accidentelle de marchandises dangereuses et être arrimés par des moyens permettant de retenir le moteur ou machine pour éviter tout mouvement pendant le transport qui pourrait modifier l’orientation ou les endommager;</w:t>
      </w:r>
    </w:p>
    <w:p w:rsidR="00EB16FF" w:rsidRPr="001C29E2" w:rsidRDefault="00EB16FF" w:rsidP="0000549F">
      <w:pPr>
        <w:pStyle w:val="SingleTxtG"/>
        <w:keepNext/>
        <w:keepLines/>
        <w:ind w:left="2835" w:hanging="567"/>
      </w:pPr>
      <w:r w:rsidRPr="004357DE">
        <w:rPr>
          <w:rFonts w:eastAsia="Calibri"/>
        </w:rPr>
        <w:lastRenderedPageBreak/>
        <w:t>iv)</w:t>
      </w:r>
      <w:r w:rsidRPr="004357DE">
        <w:rPr>
          <w:rFonts w:eastAsia="Calibri"/>
        </w:rPr>
        <w:tab/>
        <w:t>Pour les Nos ONU</w:t>
      </w:r>
      <w:r>
        <w:t xml:space="preserve"> 3528 et 3530:</w:t>
      </w:r>
    </w:p>
    <w:p w:rsidR="00EB16FF" w:rsidRPr="00827AE1" w:rsidRDefault="00EB16FF" w:rsidP="0000549F">
      <w:pPr>
        <w:pStyle w:val="SingleTxtG"/>
        <w:ind w:left="2835"/>
      </w:pPr>
      <w:r w:rsidRPr="00827AE1">
        <w:t xml:space="preserve">Si le moteur ou la machine contient une quantité de </w:t>
      </w:r>
      <w:r>
        <w:t>combustible</w:t>
      </w:r>
      <w:r w:rsidRPr="00827AE1">
        <w:t xml:space="preserve"> liquide supérieure à 60 </w:t>
      </w:r>
      <w:r>
        <w:t>l</w:t>
      </w:r>
      <w:r w:rsidRPr="00827AE1">
        <w:t xml:space="preserve"> pour une capacité </w:t>
      </w:r>
      <w:r w:rsidRPr="004357DE">
        <w:rPr>
          <w:rFonts w:eastAsia="Calibri"/>
        </w:rPr>
        <w:t>supérieure</w:t>
      </w:r>
      <w:r w:rsidRPr="00827AE1">
        <w:t xml:space="preserve"> à 450 </w:t>
      </w:r>
      <w:r>
        <w:t>l</w:t>
      </w:r>
      <w:r w:rsidRPr="00827AE1">
        <w:t xml:space="preserve"> mais ne dépassant pas 3000 </w:t>
      </w:r>
      <w:r>
        <w:t>l</w:t>
      </w:r>
      <w:r w:rsidRPr="00827AE1">
        <w:t xml:space="preserve">, une étiquette doit </w:t>
      </w:r>
      <w:r>
        <w:t xml:space="preserve">y </w:t>
      </w:r>
      <w:r w:rsidRPr="00827AE1">
        <w:t>être apposée sur deux côtés opposés conformément au 5.2.2;</w:t>
      </w:r>
    </w:p>
    <w:p w:rsidR="00EB16FF" w:rsidRPr="001C29E2" w:rsidRDefault="00EB16FF" w:rsidP="0000549F">
      <w:pPr>
        <w:pStyle w:val="SingleTxtG"/>
        <w:ind w:left="2835"/>
      </w:pPr>
      <w:r w:rsidRPr="00827AE1">
        <w:t xml:space="preserve">Si le moteur ou la machine contient une quantité de </w:t>
      </w:r>
      <w:r>
        <w:t>combustible</w:t>
      </w:r>
      <w:r w:rsidRPr="00827AE1">
        <w:t xml:space="preserve"> liquide supérieure à 60 </w:t>
      </w:r>
      <w:r>
        <w:t>l</w:t>
      </w:r>
      <w:r w:rsidRPr="00827AE1">
        <w:t xml:space="preserve"> pour une capacité supérieure à 3000 </w:t>
      </w:r>
      <w:r>
        <w:t>l</w:t>
      </w:r>
      <w:r w:rsidRPr="00827AE1">
        <w:t xml:space="preserve">, une plaque-étiquette doit </w:t>
      </w:r>
      <w:r>
        <w:t xml:space="preserve">y </w:t>
      </w:r>
      <w:r w:rsidRPr="00827AE1">
        <w:t>être apposée sur deux côtés opposés</w:t>
      </w:r>
      <w:r>
        <w:t xml:space="preserve">. </w:t>
      </w:r>
      <w:r w:rsidRPr="005A2C3A">
        <w:t>Les plaques-étiquettes doivent correspondre aux étiquettes prescrites dans la colonne (5) du tableau A du chapitre 3.2 et être conformes aux spécifications du 5.3.1.7. Les plaques-étiquettes doivent être appliquées sur un fond de couleur contrastante, ou être entourées d’une bordure en trait continu ou discontinu</w:t>
      </w:r>
      <w:r w:rsidRPr="00827AE1">
        <w:t>;</w:t>
      </w:r>
    </w:p>
    <w:p w:rsidR="00EB16FF" w:rsidRPr="001C29E2" w:rsidRDefault="00EB16FF" w:rsidP="0000549F">
      <w:pPr>
        <w:pStyle w:val="SingleTxtG"/>
        <w:keepNext/>
        <w:keepLines/>
        <w:ind w:left="2835" w:hanging="567"/>
      </w:pPr>
      <w:r>
        <w:t>v)</w:t>
      </w:r>
      <w:r w:rsidRPr="001C29E2">
        <w:tab/>
      </w:r>
      <w:r>
        <w:t>P</w:t>
      </w:r>
      <w:r w:rsidRPr="001C29E2">
        <w:t>our le N</w:t>
      </w:r>
      <w:r>
        <w:t>o </w:t>
      </w:r>
      <w:r w:rsidRPr="001C29E2">
        <w:t xml:space="preserve">ONU </w:t>
      </w:r>
      <w:r>
        <w:t>3529</w:t>
      </w:r>
      <w:r w:rsidRPr="001C29E2">
        <w:t>:</w:t>
      </w:r>
    </w:p>
    <w:p w:rsidR="00EB16FF" w:rsidRPr="001C29E2" w:rsidRDefault="00EB16FF" w:rsidP="0000549F">
      <w:pPr>
        <w:pStyle w:val="SingleTxtG"/>
        <w:ind w:left="2835"/>
      </w:pPr>
      <w:r w:rsidRPr="001C29E2">
        <w:t xml:space="preserve">Si le réservoir de </w:t>
      </w:r>
      <w:r>
        <w:t>combustible</w:t>
      </w:r>
      <w:r w:rsidRPr="001C29E2">
        <w:t xml:space="preserve"> du moteur ou de la machine a une contenance </w:t>
      </w:r>
      <w:r>
        <w:t xml:space="preserve">en eau </w:t>
      </w:r>
      <w:r w:rsidRPr="001C29E2">
        <w:t xml:space="preserve">supérieure à 450 </w:t>
      </w:r>
      <w:r>
        <w:t xml:space="preserve">l </w:t>
      </w:r>
      <w:r w:rsidRPr="001C29E2">
        <w:t xml:space="preserve">mais ne dépassant pas 1000 </w:t>
      </w:r>
      <w:r>
        <w:t>l</w:t>
      </w:r>
      <w:r w:rsidRPr="001C29E2">
        <w:t xml:space="preserve">, une étiquette doit être apposée sur deux côtés </w:t>
      </w:r>
      <w:r>
        <w:t>opposés conformément au 5.2.2;</w:t>
      </w:r>
    </w:p>
    <w:p w:rsidR="00EB16FF" w:rsidRPr="001C29E2" w:rsidRDefault="00EB16FF" w:rsidP="0000549F">
      <w:pPr>
        <w:pStyle w:val="SingleTxtG"/>
        <w:ind w:left="2835"/>
      </w:pPr>
      <w:r w:rsidRPr="001C29E2">
        <w:t xml:space="preserve">Si le réservoir de </w:t>
      </w:r>
      <w:r>
        <w:t>combustible</w:t>
      </w:r>
      <w:r w:rsidRPr="001C29E2">
        <w:t xml:space="preserve"> du moteur ou de la machine a une contenance </w:t>
      </w:r>
      <w:r>
        <w:t xml:space="preserve">en eau </w:t>
      </w:r>
      <w:r w:rsidRPr="001C29E2">
        <w:t xml:space="preserve">supérieure à 1000 </w:t>
      </w:r>
      <w:r>
        <w:t>l</w:t>
      </w:r>
      <w:r w:rsidRPr="001C29E2">
        <w:t>, une plaque-étiquette doit être apposée sur deux côtés opposés</w:t>
      </w:r>
      <w:r>
        <w:t>.</w:t>
      </w:r>
      <w:r w:rsidRPr="00D40906">
        <w:t xml:space="preserve"> </w:t>
      </w:r>
      <w:r w:rsidRPr="005A2C3A">
        <w:t>Les plaques-étiquettes doivent correspondre aux étiquettes prescrites dans la colonne (5) du tableau A du chapitre 3.2 et être conformes aux spécifications du 5.3.1.7. Les plaques-étiquettes doivent être appliquées sur un fond de couleur contrastante, ou être entourées d’une bordure en trait continu ou discontinu</w:t>
      </w:r>
      <w:r w:rsidRPr="00827AE1">
        <w:t>;</w:t>
      </w:r>
    </w:p>
    <w:p w:rsidR="004A324B" w:rsidRPr="004A324B" w:rsidRDefault="00EB16FF" w:rsidP="0000549F">
      <w:pPr>
        <w:pStyle w:val="SingleTxtG"/>
        <w:keepNext/>
        <w:keepLines/>
        <w:ind w:left="2835" w:hanging="567"/>
      </w:pPr>
      <w:r>
        <w:t>vi)</w:t>
      </w:r>
      <w:r w:rsidRPr="001C29E2">
        <w:tab/>
      </w:r>
      <w:r w:rsidR="004A324B" w:rsidRPr="004A324B">
        <w:t xml:space="preserve">Un document de transport conforme au 5.4.1 n’est requis que lorsque le moteur ou la machine contient une quantité de combustible liquide supérieure à 1000 l pour les Nos ONU 3528 et 3530, ou le réservoir du combustible a une contenance en eau supérieure à 1000 l pour le No ONU 3529. </w:t>
      </w:r>
    </w:p>
    <w:p w:rsidR="004A324B" w:rsidRPr="004A324B" w:rsidRDefault="004A324B" w:rsidP="0000549F">
      <w:pPr>
        <w:pStyle w:val="SingleTxtG"/>
        <w:keepNext/>
        <w:keepLines/>
        <w:ind w:left="2835"/>
        <w:rPr>
          <w:lang w:val="fr-FR"/>
        </w:rPr>
      </w:pPr>
      <w:r w:rsidRPr="004A324B">
        <w:t xml:space="preserve">Ce document de transport doit contenir la mention suivante: </w:t>
      </w:r>
      <w:r w:rsidR="00D932E6" w:rsidRPr="009E34E5">
        <w:rPr>
          <w:lang w:val="fr-FR"/>
        </w:rPr>
        <w:t>«</w:t>
      </w:r>
      <w:r w:rsidRPr="004A324B">
        <w:t>Transport selon la disposition spéc</w:t>
      </w:r>
      <w:r>
        <w:t>iale 363</w:t>
      </w:r>
      <w:r w:rsidR="00D932E6" w:rsidRPr="00A1622E">
        <w:t>»</w:t>
      </w:r>
      <w:r>
        <w:t>.</w:t>
      </w:r>
    </w:p>
    <w:p w:rsidR="00E1236D" w:rsidRPr="00A1622E" w:rsidRDefault="00E1236D" w:rsidP="00E1236D">
      <w:pPr>
        <w:pStyle w:val="SingleTxtG"/>
      </w:pPr>
      <w:r w:rsidRPr="008B40FC">
        <w:rPr>
          <w:lang w:val="fr-FR"/>
        </w:rPr>
        <w:t>Disposition spéciale</w:t>
      </w:r>
      <w:r w:rsidRPr="00A1622E">
        <w:t xml:space="preserve"> 369</w:t>
      </w:r>
      <w:r w:rsidRPr="00A1622E">
        <w:tab/>
        <w:t>Modifier le premier paragraphe pour lire comme suit:</w:t>
      </w:r>
    </w:p>
    <w:p w:rsidR="00E1236D" w:rsidRPr="00A1622E" w:rsidRDefault="00E1236D" w:rsidP="00E1236D">
      <w:pPr>
        <w:pStyle w:val="SingleTxtG"/>
      </w:pPr>
      <w:r w:rsidRPr="00A1622E">
        <w:t xml:space="preserve">«Conformément au </w:t>
      </w:r>
      <w:r w:rsidR="009E698E">
        <w:t>2.1.3.5.3 a)</w:t>
      </w:r>
      <w:r w:rsidRPr="00A1622E">
        <w:t xml:space="preserve">, cette matière radioactive dans un colis excepté présentant des propriétés toxiques et corrosives est classée dans la </w:t>
      </w:r>
      <w:r w:rsidR="009E698E">
        <w:t>classe</w:t>
      </w:r>
      <w:r w:rsidR="009E698E" w:rsidRPr="00A1622E">
        <w:t> </w:t>
      </w:r>
      <w:r w:rsidRPr="00A1622E">
        <w:t xml:space="preserve">6.1, assortie </w:t>
      </w:r>
      <w:r>
        <w:t>des</w:t>
      </w:r>
      <w:r w:rsidRPr="00A1622E">
        <w:t xml:space="preserve"> risque</w:t>
      </w:r>
      <w:r>
        <w:t>s</w:t>
      </w:r>
      <w:r w:rsidRPr="00A1622E">
        <w:t xml:space="preserve"> subsidiaire</w:t>
      </w:r>
      <w:r>
        <w:t>s</w:t>
      </w:r>
      <w:r w:rsidRPr="00A1622E">
        <w:t xml:space="preserve"> de matière radioactive et </w:t>
      </w:r>
      <w:r>
        <w:t>de corrosivité</w:t>
      </w:r>
      <w:r w:rsidRPr="00A1622E">
        <w:t>.».</w:t>
      </w:r>
    </w:p>
    <w:p w:rsidR="00E1236D" w:rsidRPr="00A1622E" w:rsidRDefault="00E1236D" w:rsidP="00E1236D">
      <w:pPr>
        <w:pStyle w:val="SingleTxtG"/>
      </w:pPr>
      <w:r w:rsidRPr="008B40FC">
        <w:rPr>
          <w:lang w:val="fr-FR"/>
        </w:rPr>
        <w:t>Disposition spéciale</w:t>
      </w:r>
      <w:r w:rsidRPr="00A1622E">
        <w:t xml:space="preserve"> 369</w:t>
      </w:r>
      <w:r w:rsidRPr="00A1622E">
        <w:tab/>
        <w:t>Modifier le troisième paragraphe pour lire comme suit:</w:t>
      </w:r>
    </w:p>
    <w:p w:rsidR="00E1236D" w:rsidRPr="00A1622E" w:rsidRDefault="00E1236D" w:rsidP="00E1236D">
      <w:pPr>
        <w:pStyle w:val="SingleTxtG"/>
      </w:pPr>
      <w:r w:rsidRPr="00A1622E">
        <w:t xml:space="preserve">«Outre les dispositions applicables au transport des matières de la </w:t>
      </w:r>
      <w:r w:rsidR="005F25D1">
        <w:t>classe</w:t>
      </w:r>
      <w:r w:rsidR="005F25D1" w:rsidRPr="00A1622E">
        <w:t> </w:t>
      </w:r>
      <w:r w:rsidRPr="00A1622E">
        <w:t>6.1</w:t>
      </w:r>
      <w:r>
        <w:t xml:space="preserve"> </w:t>
      </w:r>
      <w:r w:rsidRPr="00A1622E">
        <w:t xml:space="preserve">présentant un risque subsidiaire </w:t>
      </w:r>
      <w:r>
        <w:t>de corrosivité</w:t>
      </w:r>
      <w:r w:rsidRPr="00A1622E">
        <w:t xml:space="preserve">, les dispositions des 5.1.3.2, 5.1.5.2.2, 5.1.5.4.1 b), </w:t>
      </w:r>
      <w:r w:rsidR="005F25D1">
        <w:t>7.5.11 CW33/CV33 (3.1), (5.1) à (5.4) et (6)</w:t>
      </w:r>
      <w:r w:rsidRPr="00A1622E">
        <w:t xml:space="preserve"> </w:t>
      </w:r>
      <w:r w:rsidR="00F524AA">
        <w:t xml:space="preserve">de l'ADR </w:t>
      </w:r>
      <w:r w:rsidRPr="00A1622E">
        <w:t>s’appliquent.».</w:t>
      </w:r>
    </w:p>
    <w:p w:rsidR="00E1236D" w:rsidRDefault="00E1236D" w:rsidP="00E1236D">
      <w:pPr>
        <w:pStyle w:val="SingleTxtG"/>
      </w:pPr>
      <w:r w:rsidRPr="004357DE">
        <w:rPr>
          <w:lang w:val="fr-FR"/>
        </w:rPr>
        <w:t>Disposition spéciale</w:t>
      </w:r>
      <w:r w:rsidRPr="004357DE">
        <w:t xml:space="preserve"> 370</w:t>
      </w:r>
      <w:r w:rsidRPr="004357DE">
        <w:tab/>
        <w:t xml:space="preserve">Au deuxième tiret, </w:t>
      </w:r>
      <w:proofErr w:type="gramStart"/>
      <w:r w:rsidRPr="004357DE">
        <w:t>remplacer</w:t>
      </w:r>
      <w:proofErr w:type="gramEnd"/>
      <w:r w:rsidRPr="004357DE">
        <w:t xml:space="preserve"> «</w:t>
      </w:r>
      <w:r w:rsidRPr="004357DE">
        <w:rPr>
          <w:szCs w:val="22"/>
        </w:rPr>
        <w:t xml:space="preserve">lorsqu’il n'est pas trop sensible pour relever de la classe 1 selon les résultats de la série d'épreuves 2 (voir la Partie I du </w:t>
      </w:r>
      <w:r w:rsidRPr="004357DE">
        <w:rPr>
          <w:i/>
          <w:iCs/>
          <w:szCs w:val="22"/>
        </w:rPr>
        <w:t>Manuel d'épreuves et de critères</w:t>
      </w:r>
      <w:r w:rsidRPr="004357DE">
        <w:rPr>
          <w:szCs w:val="22"/>
        </w:rPr>
        <w:t xml:space="preserve">)» par «lorsqu’il donne un résultat positif selon la série d'épreuves 2 (voir la première partie du </w:t>
      </w:r>
      <w:r w:rsidRPr="004357DE">
        <w:rPr>
          <w:i/>
          <w:iCs/>
          <w:szCs w:val="22"/>
        </w:rPr>
        <w:t>Manuel d'épreuves et de critères</w:t>
      </w:r>
      <w:r w:rsidRPr="004357DE">
        <w:rPr>
          <w:szCs w:val="22"/>
        </w:rPr>
        <w:t>)».</w:t>
      </w:r>
    </w:p>
    <w:p w:rsidR="00E1236D" w:rsidRDefault="00E1236D" w:rsidP="00E1236D">
      <w:pPr>
        <w:pStyle w:val="SingleTxtG"/>
      </w:pPr>
      <w:r w:rsidRPr="008B40FC">
        <w:rPr>
          <w:lang w:val="fr-FR"/>
        </w:rPr>
        <w:t>Disposition spéciale</w:t>
      </w:r>
      <w:r>
        <w:t xml:space="preserve"> 373 b) i) et c) ii) </w:t>
      </w:r>
      <w:r>
        <w:tab/>
        <w:t xml:space="preserve">Ajouter </w:t>
      </w:r>
      <w:r>
        <w:rPr>
          <w:lang w:val="fr-FR"/>
        </w:rPr>
        <w:t>«</w:t>
      </w:r>
      <w:r>
        <w:t>ou adsorbant</w:t>
      </w:r>
      <w:r>
        <w:rPr>
          <w:lang w:val="fr-FR"/>
        </w:rPr>
        <w:t>»</w:t>
      </w:r>
      <w:r>
        <w:t xml:space="preserve"> après </w:t>
      </w:r>
      <w:r>
        <w:rPr>
          <w:lang w:val="fr-FR"/>
        </w:rPr>
        <w:t>«</w:t>
      </w:r>
      <w:r>
        <w:t>absorbant</w:t>
      </w:r>
      <w:r>
        <w:rPr>
          <w:lang w:val="fr-FR"/>
        </w:rPr>
        <w:t>»</w:t>
      </w:r>
      <w:r>
        <w:t xml:space="preserve">. Ajouter </w:t>
      </w:r>
      <w:r>
        <w:rPr>
          <w:lang w:val="fr-FR"/>
        </w:rPr>
        <w:t>«</w:t>
      </w:r>
      <w:r>
        <w:t>ou adsorber</w:t>
      </w:r>
      <w:r>
        <w:rPr>
          <w:lang w:val="fr-FR"/>
        </w:rPr>
        <w:t xml:space="preserve">» </w:t>
      </w:r>
      <w:r>
        <w:t xml:space="preserve">après </w:t>
      </w:r>
      <w:r>
        <w:rPr>
          <w:lang w:val="fr-FR"/>
        </w:rPr>
        <w:t>«</w:t>
      </w:r>
      <w:r>
        <w:t>absorber</w:t>
      </w:r>
      <w:r>
        <w:rPr>
          <w:lang w:val="fr-FR"/>
        </w:rPr>
        <w:t>»</w:t>
      </w:r>
      <w:r>
        <w:t>.</w:t>
      </w:r>
    </w:p>
    <w:p w:rsidR="002069D5" w:rsidRDefault="002069D5" w:rsidP="002069D5">
      <w:pPr>
        <w:pStyle w:val="SingleTxtG"/>
        <w:rPr>
          <w:lang w:val="fr-FR"/>
        </w:rPr>
      </w:pPr>
      <w:r>
        <w:rPr>
          <w:lang w:val="fr-FR"/>
        </w:rPr>
        <w:lastRenderedPageBreak/>
        <w:t>Disposition spéciale 373</w:t>
      </w:r>
      <w:r>
        <w:rPr>
          <w:lang w:val="fr-FR"/>
        </w:rPr>
        <w:tab/>
        <w:t>L’amendement à l’avant-dernier paragraphe ne s’applique pas au texte français.</w:t>
      </w:r>
    </w:p>
    <w:p w:rsidR="00E1236D" w:rsidRPr="00B24042" w:rsidRDefault="00E1236D" w:rsidP="00E1236D">
      <w:pPr>
        <w:pStyle w:val="SingleTxtG"/>
      </w:pPr>
      <w:r>
        <w:t>Ajouter les</w:t>
      </w:r>
      <w:r w:rsidRPr="00B24042">
        <w:t xml:space="preserve"> nouvelle</w:t>
      </w:r>
      <w:r>
        <w:t>s</w:t>
      </w:r>
      <w:r w:rsidRPr="00B24042">
        <w:t xml:space="preserve"> disposition</w:t>
      </w:r>
      <w:r>
        <w:t>s</w:t>
      </w:r>
      <w:r w:rsidRPr="00B24042">
        <w:t xml:space="preserve"> spéciale</w:t>
      </w:r>
      <w:r>
        <w:t>s</w:t>
      </w:r>
      <w:r w:rsidRPr="00B24042">
        <w:t xml:space="preserve"> suivante</w:t>
      </w:r>
      <w:r>
        <w:t>s</w:t>
      </w:r>
      <w:r w:rsidRPr="00B24042">
        <w:t>:</w:t>
      </w:r>
    </w:p>
    <w:p w:rsidR="00E1236D" w:rsidRPr="00B24042" w:rsidRDefault="00E1236D" w:rsidP="00E1236D">
      <w:pPr>
        <w:pStyle w:val="SingleTxtG"/>
        <w:rPr>
          <w:lang w:val="fr-FR"/>
        </w:rPr>
      </w:pPr>
      <w:r w:rsidRPr="00B24042">
        <w:rPr>
          <w:lang w:val="fr-FR"/>
        </w:rPr>
        <w:t>«378</w:t>
      </w:r>
      <w:r w:rsidRPr="00B24042">
        <w:rPr>
          <w:lang w:val="fr-FR"/>
        </w:rPr>
        <w:tab/>
        <w:t xml:space="preserve">Les détecteurs de rayonnement contenant ce gaz en récipients à pression non rechargeables ne répondant pas aux prescriptions du chapitre 6.2 et de l’instruction d’emballage P200 du 4.1.4.1 </w:t>
      </w:r>
      <w:r w:rsidR="00F524AA">
        <w:rPr>
          <w:lang w:val="fr-FR"/>
        </w:rPr>
        <w:t xml:space="preserve">de l'ADR </w:t>
      </w:r>
      <w:r w:rsidRPr="00B24042">
        <w:rPr>
          <w:lang w:val="fr-FR"/>
        </w:rPr>
        <w:t>peuvent être transportés au titre de cette rubrique à condition que:</w:t>
      </w:r>
    </w:p>
    <w:p w:rsidR="00E1236D" w:rsidRPr="004357DE" w:rsidRDefault="00E1236D" w:rsidP="0000549F">
      <w:pPr>
        <w:pStyle w:val="SingleTxtG"/>
        <w:ind w:left="1778"/>
      </w:pPr>
      <w:r w:rsidRPr="00B24042">
        <w:t>a)</w:t>
      </w:r>
      <w:r w:rsidRPr="00B24042">
        <w:tab/>
        <w:t xml:space="preserve">La pression de service de </w:t>
      </w:r>
      <w:r w:rsidRPr="004357DE">
        <w:t>chaque récipient ne soit pas supérieure à 50 bar;</w:t>
      </w:r>
    </w:p>
    <w:p w:rsidR="00E1236D" w:rsidRPr="004357DE" w:rsidRDefault="00E1236D" w:rsidP="0000549F">
      <w:pPr>
        <w:pStyle w:val="SingleTxtG"/>
        <w:ind w:left="1778"/>
      </w:pPr>
      <w:r w:rsidRPr="004357DE">
        <w:t>b)</w:t>
      </w:r>
      <w:r w:rsidRPr="004357DE">
        <w:tab/>
        <w:t>La contenance du récipient ne soit pas supérieure à 12 l;</w:t>
      </w:r>
    </w:p>
    <w:p w:rsidR="00E1236D" w:rsidRPr="004357DE" w:rsidRDefault="00E1236D" w:rsidP="0000549F">
      <w:pPr>
        <w:pStyle w:val="SingleTxtG"/>
        <w:ind w:left="1778"/>
      </w:pPr>
      <w:r w:rsidRPr="004357DE">
        <w:t>c)</w:t>
      </w:r>
      <w:r w:rsidRPr="004357DE">
        <w:tab/>
        <w:t>Chaque récipient ait une pression d’éclatement minimale d’au moins trois fois la pression de service lorsqu’il est muni d’un dispositif de décompression et d’au moins quatre fois la pression de service lorsqu’il ne comporte pas de dispositif de décompression;</w:t>
      </w:r>
    </w:p>
    <w:p w:rsidR="00E1236D" w:rsidRPr="004357DE" w:rsidRDefault="00E1236D" w:rsidP="0000549F">
      <w:pPr>
        <w:pStyle w:val="SingleTxtG"/>
        <w:ind w:left="1778"/>
      </w:pPr>
      <w:r w:rsidRPr="004357DE">
        <w:t>d)</w:t>
      </w:r>
      <w:r w:rsidRPr="004357DE">
        <w:tab/>
      </w:r>
      <w:r w:rsidR="00E15EC6" w:rsidRPr="004357DE">
        <w:t xml:space="preserve">Chaque </w:t>
      </w:r>
      <w:r w:rsidRPr="004357DE">
        <w:t xml:space="preserve">récipient soit fabriqué avec un matériau qui ne se fragmente pas en cas de rupture; </w:t>
      </w:r>
    </w:p>
    <w:p w:rsidR="00E1236D" w:rsidRPr="00B24042" w:rsidRDefault="00E1236D" w:rsidP="0000549F">
      <w:pPr>
        <w:pStyle w:val="SingleTxtG"/>
        <w:ind w:left="1778"/>
      </w:pPr>
      <w:r w:rsidRPr="004357DE">
        <w:t>e)</w:t>
      </w:r>
      <w:r w:rsidRPr="004357DE">
        <w:tab/>
        <w:t>Chaque détecteur soit fabriqué</w:t>
      </w:r>
      <w:r w:rsidRPr="00B24042">
        <w:t xml:space="preserve"> conformément à un programme d’assurance de la qualité enregistré.</w:t>
      </w:r>
    </w:p>
    <w:p w:rsidR="00E1236D" w:rsidRPr="00B24042" w:rsidRDefault="0000549F" w:rsidP="00E1236D">
      <w:pPr>
        <w:pStyle w:val="SingleTxtG"/>
      </w:pPr>
      <w:r>
        <w:rPr>
          <w:b/>
          <w:i/>
        </w:rPr>
        <w:tab/>
      </w:r>
      <w:r w:rsidR="00E1236D">
        <w:rPr>
          <w:b/>
          <w:i/>
        </w:rPr>
        <w:tab/>
      </w:r>
      <w:r w:rsidR="00E1236D" w:rsidRPr="001C1547">
        <w:rPr>
          <w:b/>
          <w:i/>
        </w:rPr>
        <w:t>NOTA:</w:t>
      </w:r>
      <w:r w:rsidR="00E1236D" w:rsidRPr="00B24042">
        <w:rPr>
          <w:i/>
        </w:rPr>
        <w:t xml:space="preserve"> La norme ISO 9001:2008 peut être utilisée à cette fin.</w:t>
      </w:r>
    </w:p>
    <w:p w:rsidR="00E1236D" w:rsidRPr="00B24042" w:rsidRDefault="00E1236D" w:rsidP="0000549F">
      <w:pPr>
        <w:pStyle w:val="SingleTxtG"/>
        <w:ind w:left="1778"/>
        <w:rPr>
          <w:iCs/>
          <w:szCs w:val="22"/>
        </w:rPr>
      </w:pPr>
      <w:r w:rsidRPr="00B24042">
        <w:rPr>
          <w:lang w:val="fr-FR"/>
        </w:rPr>
        <w:t>f)</w:t>
      </w:r>
      <w:r w:rsidRPr="00B24042">
        <w:rPr>
          <w:lang w:val="fr-FR"/>
        </w:rPr>
        <w:tab/>
        <w:t xml:space="preserve">Les détecteurs soient transportés </w:t>
      </w:r>
      <w:r w:rsidRPr="00B24042">
        <w:rPr>
          <w:iCs/>
          <w:szCs w:val="22"/>
        </w:rPr>
        <w:t xml:space="preserve">dans un </w:t>
      </w:r>
      <w:r>
        <w:rPr>
          <w:iCs/>
        </w:rPr>
        <w:t>emballage extérieur robuste. Le colis complet doit être capable de subir</w:t>
      </w:r>
      <w:r w:rsidRPr="00B24042">
        <w:rPr>
          <w:iCs/>
          <w:szCs w:val="22"/>
        </w:rPr>
        <w:t xml:space="preserve"> une épreuve de chute de 1,2 m sans rupture du détecteur ou de l’emballage extérieur. Les équipements contenant un détecteur doivent être emballés dans un emballage extérieur robuste à moins que l’équipement lui-même n’apporte au détecteur qu’il contient une protection équivalente; et</w:t>
      </w:r>
    </w:p>
    <w:p w:rsidR="00E1236D" w:rsidRPr="00B24042" w:rsidRDefault="00E1236D" w:rsidP="0000549F">
      <w:pPr>
        <w:pStyle w:val="SingleTxtG"/>
        <w:ind w:left="1778"/>
        <w:rPr>
          <w:iCs/>
          <w:szCs w:val="22"/>
        </w:rPr>
      </w:pPr>
      <w:r w:rsidRPr="00B24042">
        <w:rPr>
          <w:iCs/>
          <w:szCs w:val="22"/>
        </w:rPr>
        <w:t>g)</w:t>
      </w:r>
      <w:r w:rsidRPr="00B24042">
        <w:rPr>
          <w:iCs/>
          <w:szCs w:val="22"/>
        </w:rPr>
        <w:tab/>
        <w:t xml:space="preserve">Le document de transport </w:t>
      </w:r>
      <w:r>
        <w:rPr>
          <w:iCs/>
          <w:szCs w:val="22"/>
        </w:rPr>
        <w:t>contienne</w:t>
      </w:r>
      <w:r w:rsidRPr="00B24042">
        <w:rPr>
          <w:iCs/>
          <w:szCs w:val="22"/>
        </w:rPr>
        <w:t xml:space="preserve"> la mention suivante: </w:t>
      </w:r>
      <w:r w:rsidR="00D932E6">
        <w:rPr>
          <w:lang w:val="fr-FR"/>
        </w:rPr>
        <w:t>«</w:t>
      </w:r>
      <w:r w:rsidRPr="00B24042">
        <w:rPr>
          <w:iCs/>
          <w:szCs w:val="22"/>
        </w:rPr>
        <w:t xml:space="preserve">Transport </w:t>
      </w:r>
      <w:r>
        <w:rPr>
          <w:iCs/>
          <w:szCs w:val="22"/>
        </w:rPr>
        <w:t xml:space="preserve">selon </w:t>
      </w:r>
      <w:r w:rsidRPr="00B24042">
        <w:rPr>
          <w:iCs/>
          <w:szCs w:val="22"/>
        </w:rPr>
        <w:t>la disposition spéciale 378</w:t>
      </w:r>
      <w:r w:rsidR="00D932E6" w:rsidRPr="00A1622E">
        <w:t>»</w:t>
      </w:r>
      <w:r w:rsidRPr="00B24042">
        <w:rPr>
          <w:iCs/>
          <w:szCs w:val="22"/>
        </w:rPr>
        <w:t>.</w:t>
      </w:r>
    </w:p>
    <w:p w:rsidR="00E1236D" w:rsidRPr="00B24042" w:rsidRDefault="00E1236D" w:rsidP="00E1236D">
      <w:pPr>
        <w:pStyle w:val="SingleTxtG"/>
        <w:rPr>
          <w:lang w:val="fr-FR"/>
        </w:rPr>
      </w:pPr>
      <w:r w:rsidRPr="00B24042">
        <w:rPr>
          <w:lang w:val="fr-FR"/>
        </w:rPr>
        <w:t xml:space="preserve">Les détecteurs de rayonnement, y compris les détecteurs contenus dans des </w:t>
      </w:r>
      <w:r w:rsidRPr="00B24042">
        <w:rPr>
          <w:iCs/>
          <w:szCs w:val="22"/>
        </w:rPr>
        <w:t>systèmes de détection des rayonnements, ne sont soumis</w:t>
      </w:r>
      <w:r w:rsidRPr="00B24042">
        <w:t xml:space="preserve"> à aucune autre prescription </w:t>
      </w:r>
      <w:r w:rsidR="00625F01">
        <w:t>de l’ADN</w:t>
      </w:r>
      <w:r w:rsidRPr="00B24042">
        <w:rPr>
          <w:iCs/>
          <w:szCs w:val="22"/>
        </w:rPr>
        <w:t xml:space="preserve"> si les détecteurs répondent aux prescriptions des alinéas a) à f) ci-dessus et si la capacité des récipients de ces dé</w:t>
      </w:r>
      <w:r w:rsidR="003E5559">
        <w:rPr>
          <w:iCs/>
          <w:szCs w:val="22"/>
        </w:rPr>
        <w:t>tecteurs ne dépasse pas 50 ml.»</w:t>
      </w:r>
    </w:p>
    <w:p w:rsidR="00E1236D" w:rsidRPr="00576A6C" w:rsidRDefault="00E1236D" w:rsidP="00E1236D">
      <w:pPr>
        <w:pStyle w:val="SingleTxtG"/>
      </w:pPr>
      <w:r>
        <w:rPr>
          <w:lang w:val="fr-FR"/>
        </w:rPr>
        <w:t>«379</w:t>
      </w:r>
      <w:r>
        <w:rPr>
          <w:lang w:val="fr-FR"/>
        </w:rPr>
        <w:tab/>
      </w:r>
      <w:r w:rsidRPr="00576A6C">
        <w:t xml:space="preserve">L’ammoniac anhydre adsorbé </w:t>
      </w:r>
      <w:r>
        <w:t xml:space="preserve">ou absorbé </w:t>
      </w:r>
      <w:r w:rsidRPr="00576A6C">
        <w:t xml:space="preserve">dans un solide contenu dans des systèmes de génération d’ammoniac ou des récipients destinés à équiper ces systèmes n’est pas soumis aux autres dispositions </w:t>
      </w:r>
      <w:r w:rsidR="000472A1">
        <w:t>de l’ADN</w:t>
      </w:r>
      <w:r w:rsidR="000472A1" w:rsidDel="000472A1">
        <w:t xml:space="preserve"> </w:t>
      </w:r>
      <w:r w:rsidRPr="00576A6C">
        <w:t>si les condi</w:t>
      </w:r>
      <w:r>
        <w:t>tions suivantes sont respectées</w:t>
      </w:r>
      <w:r w:rsidRPr="00576A6C">
        <w:t>:</w:t>
      </w:r>
    </w:p>
    <w:p w:rsidR="00E1236D" w:rsidRPr="00576A6C" w:rsidRDefault="00E1236D" w:rsidP="00E1236D">
      <w:pPr>
        <w:pStyle w:val="SingleTxtG"/>
      </w:pPr>
      <w:r>
        <w:t>a)</w:t>
      </w:r>
      <w:r>
        <w:tab/>
      </w:r>
      <w:r w:rsidRPr="00576A6C">
        <w:t xml:space="preserve">L’adsorption </w:t>
      </w:r>
      <w:r>
        <w:t xml:space="preserve">ou absorption </w:t>
      </w:r>
      <w:r w:rsidRPr="00576A6C">
        <w:t>présente les caracté</w:t>
      </w:r>
      <w:r>
        <w:t>ristiques suivantes</w:t>
      </w:r>
      <w:r w:rsidRPr="00576A6C">
        <w:t>:</w:t>
      </w:r>
    </w:p>
    <w:p w:rsidR="00E1236D" w:rsidRPr="00576A6C" w:rsidRDefault="00E1236D" w:rsidP="00E1236D">
      <w:pPr>
        <w:pStyle w:val="SingleTxtG"/>
      </w:pPr>
      <w:r>
        <w:tab/>
      </w:r>
      <w:r w:rsidRPr="00576A6C">
        <w:t>i)</w:t>
      </w:r>
      <w:r w:rsidRPr="00576A6C">
        <w:tab/>
        <w:t>La pression engendrée par une température de 20</w:t>
      </w:r>
      <w:r>
        <w:t xml:space="preserve"> </w:t>
      </w:r>
      <w:r w:rsidRPr="00576A6C">
        <w:t>°C dans le récip</w:t>
      </w:r>
      <w:r>
        <w:t>ient est inférieure à 0,6 bar;</w:t>
      </w:r>
    </w:p>
    <w:p w:rsidR="00E1236D" w:rsidRPr="00576A6C" w:rsidRDefault="00E1236D" w:rsidP="00E1236D">
      <w:pPr>
        <w:pStyle w:val="SingleTxtG"/>
      </w:pPr>
      <w:r>
        <w:tab/>
      </w:r>
      <w:r w:rsidRPr="00576A6C">
        <w:t xml:space="preserve">ii) </w:t>
      </w:r>
      <w:r w:rsidRPr="00576A6C">
        <w:tab/>
        <w:t>La pression engendrée par une température de 35</w:t>
      </w:r>
      <w:r>
        <w:t xml:space="preserve"> </w:t>
      </w:r>
      <w:r w:rsidRPr="00576A6C">
        <w:t>°C dans le ré</w:t>
      </w:r>
      <w:r>
        <w:t>cipient est inférieure à 1 bar;</w:t>
      </w:r>
    </w:p>
    <w:p w:rsidR="00E1236D" w:rsidRPr="00576A6C" w:rsidRDefault="00E1236D" w:rsidP="00E1236D">
      <w:pPr>
        <w:pStyle w:val="SingleTxtG"/>
      </w:pPr>
      <w:r>
        <w:tab/>
      </w:r>
      <w:r w:rsidRPr="00576A6C">
        <w:t xml:space="preserve">iii) </w:t>
      </w:r>
      <w:r w:rsidRPr="00576A6C">
        <w:tab/>
        <w:t xml:space="preserve">La pression engendrée par une température de </w:t>
      </w:r>
      <w:r>
        <w:t xml:space="preserve">85 </w:t>
      </w:r>
      <w:r w:rsidRPr="00576A6C">
        <w:t xml:space="preserve">°C </w:t>
      </w:r>
      <w:r>
        <w:t>dans le récipient est inférieure à 12 bar.</w:t>
      </w:r>
    </w:p>
    <w:p w:rsidR="00E1236D" w:rsidRPr="00576A6C" w:rsidRDefault="00E1236D" w:rsidP="00E1236D">
      <w:pPr>
        <w:pStyle w:val="SingleTxtG"/>
      </w:pPr>
      <w:r>
        <w:t>b)</w:t>
      </w:r>
      <w:r>
        <w:tab/>
        <w:t xml:space="preserve">Le matériau adsorbant ou absorbant </w:t>
      </w:r>
      <w:r w:rsidRPr="00576A6C">
        <w:t xml:space="preserve">ne doit pas avoir des propriétés de danger </w:t>
      </w:r>
      <w:r>
        <w:t>correspondant aux classes 1 à 8;</w:t>
      </w:r>
    </w:p>
    <w:p w:rsidR="00E1236D" w:rsidRPr="00576A6C" w:rsidRDefault="00E1236D" w:rsidP="00E1236D">
      <w:pPr>
        <w:pStyle w:val="SingleTxtG"/>
      </w:pPr>
      <w:r>
        <w:t>c)</w:t>
      </w:r>
      <w:r>
        <w:tab/>
      </w:r>
      <w:r w:rsidR="00E15EC6" w:rsidRPr="008C1BBA">
        <w:t>Le contenu maximal d’ammoniac par récipient est de 10 kg</w:t>
      </w:r>
      <w:r>
        <w:t>; et</w:t>
      </w:r>
    </w:p>
    <w:p w:rsidR="00E1236D" w:rsidRPr="00576A6C" w:rsidRDefault="00E1236D" w:rsidP="00E1236D">
      <w:pPr>
        <w:pStyle w:val="SingleTxtG"/>
      </w:pPr>
      <w:r>
        <w:lastRenderedPageBreak/>
        <w:t>d)</w:t>
      </w:r>
      <w:r>
        <w:tab/>
      </w:r>
      <w:r w:rsidRPr="00576A6C">
        <w:t xml:space="preserve">Les récipients contenant l’ammoniac adsorbé </w:t>
      </w:r>
      <w:r>
        <w:t xml:space="preserve">ou absorbé </w:t>
      </w:r>
      <w:r w:rsidRPr="00576A6C">
        <w:t>doivent sati</w:t>
      </w:r>
      <w:r>
        <w:t>sfaire aux conditions suivantes</w:t>
      </w:r>
      <w:r w:rsidRPr="00576A6C">
        <w:t>:</w:t>
      </w:r>
    </w:p>
    <w:p w:rsidR="00E1236D" w:rsidRPr="000321A5" w:rsidRDefault="00E1236D" w:rsidP="00E1236D">
      <w:pPr>
        <w:pStyle w:val="SingleTxtG"/>
      </w:pPr>
      <w:r>
        <w:tab/>
        <w:t>i)</w:t>
      </w:r>
      <w:r w:rsidRPr="000321A5">
        <w:tab/>
        <w:t>Les récipients son</w:t>
      </w:r>
      <w:r>
        <w:t>t fabriqués en un matériau compatible avec l’ammoniac tel qu’indiqué dans la norme ISO 11114-1:2012;</w:t>
      </w:r>
    </w:p>
    <w:p w:rsidR="00E1236D" w:rsidRPr="000321A5" w:rsidRDefault="00E1236D" w:rsidP="00E1236D">
      <w:pPr>
        <w:pStyle w:val="SingleTxtG"/>
      </w:pPr>
      <w:r>
        <w:tab/>
        <w:t>ii)</w:t>
      </w:r>
      <w:r w:rsidRPr="000321A5">
        <w:tab/>
        <w:t>Les récipients et leurs moyens de fermeture sont hermétiques et sont capables</w:t>
      </w:r>
      <w:r>
        <w:t xml:space="preserve"> de contenir l'ammoniac généré</w:t>
      </w:r>
      <w:r w:rsidRPr="000321A5">
        <w:t>;</w:t>
      </w:r>
    </w:p>
    <w:p w:rsidR="00E1236D" w:rsidRPr="000321A5" w:rsidRDefault="00E1236D" w:rsidP="00E1236D">
      <w:pPr>
        <w:pStyle w:val="SingleTxtG"/>
      </w:pPr>
      <w:r>
        <w:tab/>
      </w:r>
      <w:r w:rsidRPr="000321A5">
        <w:t>iii)</w:t>
      </w:r>
      <w:r w:rsidRPr="000321A5">
        <w:tab/>
        <w:t xml:space="preserve">Chaque récipient doit être capable de résister </w:t>
      </w:r>
      <w:r>
        <w:t>à une pression générée par une température de 85 °C</w:t>
      </w:r>
      <w:r w:rsidRPr="000321A5">
        <w:t xml:space="preserve"> </w:t>
      </w:r>
      <w:r>
        <w:t xml:space="preserve">avec une expansion volumétrique non supérieure à </w:t>
      </w:r>
      <w:r w:rsidRPr="000321A5">
        <w:t>0,1</w:t>
      </w:r>
      <w:r>
        <w:t> </w:t>
      </w:r>
      <w:r w:rsidRPr="000321A5">
        <w:t>%;</w:t>
      </w:r>
    </w:p>
    <w:p w:rsidR="00E1236D" w:rsidRPr="000321A5" w:rsidRDefault="00E1236D" w:rsidP="00E1236D">
      <w:pPr>
        <w:pStyle w:val="SingleTxtG"/>
      </w:pPr>
      <w:r>
        <w:tab/>
      </w:r>
      <w:r w:rsidRPr="000321A5">
        <w:t>iv)</w:t>
      </w:r>
      <w:r w:rsidRPr="000321A5">
        <w:tab/>
        <w:t>Chaque récipient doit être équipé d'un dispos</w:t>
      </w:r>
      <w:r>
        <w:t xml:space="preserve">itif permettant à une pression </w:t>
      </w:r>
      <w:r w:rsidRPr="000321A5">
        <w:t>supérieure à 15 bar l'évacuation des gaz sans éclatement vi</w:t>
      </w:r>
      <w:r>
        <w:t>olent, explosion ni projection</w:t>
      </w:r>
      <w:r w:rsidRPr="000321A5">
        <w:t>;</w:t>
      </w:r>
      <w:r>
        <w:t xml:space="preserve"> et</w:t>
      </w:r>
    </w:p>
    <w:p w:rsidR="00E1236D" w:rsidRPr="000321A5" w:rsidRDefault="00E1236D" w:rsidP="00E1236D">
      <w:pPr>
        <w:pStyle w:val="SingleTxtG"/>
      </w:pPr>
      <w:r>
        <w:tab/>
      </w:r>
      <w:r w:rsidRPr="000321A5">
        <w:t xml:space="preserve">v) </w:t>
      </w:r>
      <w:r w:rsidRPr="000321A5">
        <w:tab/>
        <w:t>Chaque récipient doit être capable, lorsque le</w:t>
      </w:r>
      <w:r>
        <w:t xml:space="preserve"> dispositif de surpression est </w:t>
      </w:r>
      <w:r w:rsidRPr="000321A5">
        <w:t>désactivé, de résister à une pression de 20 bar sans fuite.</w:t>
      </w:r>
    </w:p>
    <w:p w:rsidR="00E1236D" w:rsidRPr="00576A6C" w:rsidRDefault="00E1236D" w:rsidP="00E1236D">
      <w:pPr>
        <w:pStyle w:val="SingleTxtG"/>
      </w:pPr>
      <w:r w:rsidRPr="00576A6C">
        <w:t>Lorsqu'ils sont transportés dans un générateur d'ammoniac les récipients doivent être connectés au générateur de telle sorte que l'ensemble présente les mêmes garanties de résistance qu'un récipient isolé.</w:t>
      </w:r>
    </w:p>
    <w:p w:rsidR="00E1236D" w:rsidRPr="00576A6C" w:rsidRDefault="00E1236D" w:rsidP="00E1236D">
      <w:pPr>
        <w:pStyle w:val="SingleTxtG"/>
      </w:pPr>
      <w:r w:rsidRPr="00576A6C">
        <w:t>Les propriétés de résistance mécaniques mentionnées dans cette disposition spéciale doivent faire l'objet d'une vérification s</w:t>
      </w:r>
      <w:r>
        <w:t xml:space="preserve">ur un prototype de récipient </w:t>
      </w:r>
      <w:r w:rsidRPr="00576A6C">
        <w:t>ou de générateur rempli à sa capacité nominale, par une épreuve d'élévation de température conduisant à l'atteinte de pressions mentionnées.</w:t>
      </w:r>
    </w:p>
    <w:p w:rsidR="00E1236D" w:rsidRDefault="00E1236D" w:rsidP="00E1236D">
      <w:pPr>
        <w:pStyle w:val="SingleTxtG"/>
        <w:rPr>
          <w:lang w:val="fr-FR"/>
        </w:rPr>
      </w:pPr>
      <w:r w:rsidRPr="00576A6C">
        <w:t>Les résultats d'épreuves doivent être documentés et traçables, et être communiqués aux autori</w:t>
      </w:r>
      <w:r>
        <w:t>tés compétentes à leur demande.</w:t>
      </w:r>
      <w:r w:rsidRPr="00576A6C">
        <w:t>»</w:t>
      </w:r>
    </w:p>
    <w:p w:rsidR="00E1236D" w:rsidRPr="00855A13" w:rsidRDefault="00E1236D" w:rsidP="00E1236D">
      <w:pPr>
        <w:pStyle w:val="SingleTxtG"/>
        <w:rPr>
          <w:lang w:val="fr-FR"/>
        </w:rPr>
      </w:pPr>
      <w:r w:rsidRPr="00855A13">
        <w:rPr>
          <w:lang w:val="fr-FR"/>
        </w:rPr>
        <w:t>«380</w:t>
      </w:r>
      <w:r w:rsidRPr="00855A13">
        <w:rPr>
          <w:lang w:val="fr-FR"/>
        </w:rPr>
        <w:tab/>
      </w:r>
      <w:r w:rsidR="009837CB" w:rsidRPr="009837CB">
        <w:rPr>
          <w:i/>
        </w:rPr>
        <w:t>Réservé.</w:t>
      </w:r>
      <w:r w:rsidRPr="00855A13">
        <w:rPr>
          <w:lang w:val="fr-FR"/>
        </w:rPr>
        <w:t>».</w:t>
      </w:r>
    </w:p>
    <w:p w:rsidR="00E1236D" w:rsidRPr="00A1622E" w:rsidRDefault="00E1236D" w:rsidP="00E1236D">
      <w:pPr>
        <w:pStyle w:val="SingleTxtG"/>
      </w:pPr>
      <w:r w:rsidRPr="00A1622E">
        <w:t>«381</w:t>
      </w:r>
      <w:r w:rsidRPr="00A1622E">
        <w:tab/>
      </w:r>
      <w:r w:rsidR="009837CB" w:rsidRPr="009837CB">
        <w:rPr>
          <w:i/>
        </w:rPr>
        <w:t>Réservé.</w:t>
      </w:r>
      <w:r w:rsidRPr="00A1622E">
        <w:rPr>
          <w:iCs/>
        </w:rPr>
        <w:t>».</w:t>
      </w:r>
    </w:p>
    <w:p w:rsidR="00E1236D" w:rsidRDefault="00E1236D" w:rsidP="00E1236D">
      <w:pPr>
        <w:pStyle w:val="SingleTxtG"/>
        <w:rPr>
          <w:iCs/>
          <w:lang w:val="fr-FR"/>
        </w:rPr>
      </w:pPr>
      <w:r w:rsidRPr="001E649D">
        <w:rPr>
          <w:iCs/>
          <w:lang w:val="fr-FR"/>
        </w:rPr>
        <w:t>«382</w:t>
      </w:r>
      <w:r w:rsidRPr="001E649D">
        <w:rPr>
          <w:iCs/>
          <w:lang w:val="fr-FR"/>
        </w:rPr>
        <w:tab/>
      </w:r>
      <w:r w:rsidRPr="001E649D">
        <w:rPr>
          <w:lang w:val="fr-FR" w:eastAsia="zh-CN"/>
        </w:rPr>
        <w:t xml:space="preserve">Les polymères en granulés peuvent être du polystyrène, du </w:t>
      </w:r>
      <w:proofErr w:type="gramStart"/>
      <w:r w:rsidRPr="001E649D">
        <w:rPr>
          <w:lang w:val="fr-FR" w:eastAsia="zh-CN"/>
        </w:rPr>
        <w:t>poly(</w:t>
      </w:r>
      <w:proofErr w:type="gramEnd"/>
      <w:r w:rsidRPr="001E649D">
        <w:rPr>
          <w:lang w:val="fr-FR" w:eastAsia="zh-CN"/>
        </w:rPr>
        <w:t xml:space="preserve">méthacrylate de méthyle) ou un autre matériau polymère. Il n’est pas nécessaire de classer </w:t>
      </w:r>
      <w:r w:rsidRPr="001E649D">
        <w:rPr>
          <w:lang w:val="fr-FR" w:eastAsia="nl-NL"/>
        </w:rPr>
        <w:t>les polymères en granulés expansibles sous ce numéro ONU l</w:t>
      </w:r>
      <w:r w:rsidRPr="001E649D">
        <w:rPr>
          <w:lang w:val="fr-FR" w:eastAsia="zh-CN"/>
        </w:rPr>
        <w:t xml:space="preserve">orsqu’il peut être démontré qu’il n’y a pas dégagement de vapeurs inflammables, résultant en une atmosphère inflammable, selon l’épreuve U1 (Méthode d’épreuve pour les matières susceptibles de dégager des vapeurs inflammables) de la sous-section 38.4.4 de la troisième partie du </w:t>
      </w:r>
      <w:r w:rsidRPr="001E649D">
        <w:rPr>
          <w:i/>
          <w:iCs/>
          <w:lang w:val="fr-FR" w:eastAsia="zh-CN"/>
        </w:rPr>
        <w:t>Manuel d’épreuves et de critères</w:t>
      </w:r>
      <w:r w:rsidRPr="001E649D">
        <w:rPr>
          <w:lang w:val="fr-FR"/>
        </w:rPr>
        <w:t>. Cette épreuve ne devrait être réalisée que lorsque la dé-classification de la matière est considérée.</w:t>
      </w:r>
      <w:r w:rsidRPr="001E649D">
        <w:rPr>
          <w:iCs/>
          <w:lang w:val="fr-FR"/>
        </w:rPr>
        <w:t>».</w:t>
      </w:r>
    </w:p>
    <w:p w:rsidR="00E1236D" w:rsidRDefault="00E1236D" w:rsidP="00E1236D">
      <w:pPr>
        <w:pStyle w:val="SingleTxtG"/>
      </w:pPr>
      <w:r>
        <w:t>«383</w:t>
      </w:r>
      <w:r w:rsidRPr="002F0BEB">
        <w:tab/>
      </w:r>
      <w:r>
        <w:t xml:space="preserve">Les balles de tennis de table fabriquées à partir de celluloïd ne sont pas soumises </w:t>
      </w:r>
      <w:r w:rsidR="009837CB">
        <w:t>à l’ADN</w:t>
      </w:r>
      <w:r w:rsidR="009837CB" w:rsidDel="009837CB">
        <w:t xml:space="preserve"> </w:t>
      </w:r>
      <w:r w:rsidRPr="00834016">
        <w:t>lorsque la masse nette de chaque balle ne dépasse pas 3,0 g et que la masse nette totale des</w:t>
      </w:r>
      <w:r>
        <w:t xml:space="preserve"> balles ne dépasse pas 500 g par colis.».</w:t>
      </w:r>
    </w:p>
    <w:p w:rsidR="00E1236D" w:rsidRDefault="00E1236D" w:rsidP="005C6014">
      <w:pPr>
        <w:pStyle w:val="SingleTxtG"/>
        <w:rPr>
          <w:lang w:val="fr-FR"/>
        </w:rPr>
      </w:pPr>
      <w:r w:rsidRPr="00A8178E">
        <w:rPr>
          <w:lang w:val="fr-FR"/>
        </w:rPr>
        <w:t>«384</w:t>
      </w:r>
      <w:r w:rsidRPr="00A8178E">
        <w:rPr>
          <w:lang w:val="fr-FR"/>
        </w:rPr>
        <w:tab/>
      </w:r>
      <w:r w:rsidR="005C6014" w:rsidRPr="009837CB">
        <w:rPr>
          <w:i/>
        </w:rPr>
        <w:t>Réservé.</w:t>
      </w:r>
      <w:r>
        <w:rPr>
          <w:lang w:val="fr-FR"/>
        </w:rPr>
        <w:t>».</w:t>
      </w:r>
    </w:p>
    <w:p w:rsidR="00E1236D" w:rsidRPr="009C16D0" w:rsidRDefault="00E1236D" w:rsidP="005C6014">
      <w:pPr>
        <w:pStyle w:val="SingleTxtG"/>
        <w:rPr>
          <w:iCs/>
        </w:rPr>
      </w:pPr>
      <w:r w:rsidRPr="009C16D0">
        <w:rPr>
          <w:iCs/>
        </w:rPr>
        <w:t>«385</w:t>
      </w:r>
      <w:r w:rsidRPr="009C16D0">
        <w:rPr>
          <w:iCs/>
        </w:rPr>
        <w:tab/>
      </w:r>
      <w:r w:rsidR="005C6014" w:rsidRPr="009837CB">
        <w:rPr>
          <w:i/>
        </w:rPr>
        <w:t>Réservé.</w:t>
      </w:r>
      <w:r w:rsidRPr="00EB39A6">
        <w:rPr>
          <w:iCs/>
        </w:rPr>
        <w:t>».</w:t>
      </w:r>
    </w:p>
    <w:p w:rsidR="00E1236D" w:rsidRDefault="00E1236D" w:rsidP="00E1236D">
      <w:pPr>
        <w:pStyle w:val="SingleTxtG"/>
        <w:rPr>
          <w:iCs/>
          <w:lang w:val="fr-FR"/>
        </w:rPr>
      </w:pPr>
      <w:r w:rsidRPr="001E649D">
        <w:rPr>
          <w:iCs/>
          <w:lang w:val="fr-FR"/>
        </w:rPr>
        <w:t>«386</w:t>
      </w:r>
      <w:r w:rsidRPr="001E649D">
        <w:tab/>
        <w:t xml:space="preserve">Si les matières sont stabilisées par régulation de température, ce sont les dispositions </w:t>
      </w:r>
      <w:r w:rsidR="009C2848">
        <w:t xml:space="preserve">du </w:t>
      </w:r>
      <w:r w:rsidR="009C2848" w:rsidRPr="00FB737F">
        <w:t xml:space="preserve">2.2.41.1.17, </w:t>
      </w:r>
      <w:r w:rsidR="009C2848">
        <w:t>de la disposition spéciale</w:t>
      </w:r>
      <w:r w:rsidR="009C2848" w:rsidRPr="00FB737F">
        <w:t xml:space="preserve"> V8 </w:t>
      </w:r>
      <w:r w:rsidR="009C2848">
        <w:t>du chapitre</w:t>
      </w:r>
      <w:r w:rsidR="009C2848" w:rsidRPr="00FB737F">
        <w:t xml:space="preserve"> 7.2</w:t>
      </w:r>
      <w:r w:rsidR="00F524AA">
        <w:t xml:space="preserve"> de l'ADR</w:t>
      </w:r>
      <w:r w:rsidR="009C2848" w:rsidRPr="00FB737F">
        <w:t xml:space="preserve">, </w:t>
      </w:r>
      <w:r w:rsidR="009C2848">
        <w:t>de la disposition spéciale</w:t>
      </w:r>
      <w:r w:rsidR="009C2848" w:rsidRPr="00FB737F">
        <w:t xml:space="preserve"> S4 </w:t>
      </w:r>
      <w:r w:rsidR="009C2848">
        <w:t>du chapitre</w:t>
      </w:r>
      <w:r w:rsidR="009C2848" w:rsidRPr="00FB737F">
        <w:t xml:space="preserve"> 8.5 </w:t>
      </w:r>
      <w:r w:rsidR="00F524AA">
        <w:t xml:space="preserve">de l'ADR </w:t>
      </w:r>
      <w:r w:rsidR="009C2848">
        <w:t>et les prescriptions du chapitre</w:t>
      </w:r>
      <w:r w:rsidR="009C2848" w:rsidRPr="00FB737F">
        <w:t xml:space="preserve"> 9.6 </w:t>
      </w:r>
      <w:r w:rsidRPr="001E649D">
        <w:t xml:space="preserve">qui s’appliquent. Si l’on a recours à la stabilisation chimique, la personne qui présente l’emballage, le GRV ou la citerne au transport doit veiller à ce que le niveau de stabilisation soit suffisant pour éviter une polymérisation dangereuse de la matière qui s’y trouve, à une température moyenne </w:t>
      </w:r>
      <w:r w:rsidR="00E15EC6">
        <w:rPr>
          <w:iCs/>
          <w:lang w:val="fr-FR"/>
        </w:rPr>
        <w:t>du chargement</w:t>
      </w:r>
      <w:r w:rsidR="00E15EC6" w:rsidRPr="001E649D">
        <w:t xml:space="preserve"> </w:t>
      </w:r>
      <w:r w:rsidRPr="001E649D">
        <w:t xml:space="preserve">de 50 °C, ou, dans le cas d’une citerne mobile, de 45 °C. Lorsqu’il se peut que la stabilisation chimique devienne inopérante à des températures inférieures pendant la durée anticipée du transport, une régulation de température s’impose. Pour ce faire, les facteurs dont il faut tenir compte sont, notamment, la contenance et la forme de </w:t>
      </w:r>
      <w:r w:rsidRPr="001E649D">
        <w:lastRenderedPageBreak/>
        <w:t xml:space="preserve">l’emballage, du GRV ou de la citerne, la présence éventuelle d’une isolation et ses effets, la température de la matière lorsqu’elle est présentée au transport, la durée du voyage et les conditions de température ambiante normalement attendues pendant le trajet (compte tenu de la saison de l’année), ainsi que l’efficacité et les autres propriétés du stabilisateur employé, les contrôles opérationnels applicables prescrits par la réglementation (par exemple </w:t>
      </w:r>
      <w:r w:rsidR="00E15EC6">
        <w:rPr>
          <w:iCs/>
          <w:lang w:val="fr-FR"/>
        </w:rPr>
        <w:t>prescriptions</w:t>
      </w:r>
      <w:r w:rsidR="00E15EC6" w:rsidRPr="001E649D">
        <w:t xml:space="preserve"> </w:t>
      </w:r>
      <w:r w:rsidRPr="001E649D">
        <w:t>concernant la protection contre les sources de chaleur, y compris d’autres chargements transportés à température supérieure à la température ambiante), entre autres facteurs pertinents.</w:t>
      </w:r>
      <w:r w:rsidR="00DF3207">
        <w:rPr>
          <w:iCs/>
          <w:lang w:val="fr-FR"/>
        </w:rPr>
        <w:t>»</w:t>
      </w:r>
    </w:p>
    <w:p w:rsidR="00563346" w:rsidRPr="0002681D" w:rsidRDefault="00563346" w:rsidP="00563346">
      <w:pPr>
        <w:pStyle w:val="H1G"/>
        <w:rPr>
          <w:lang w:val="fr-FR"/>
        </w:rPr>
      </w:pPr>
      <w:r>
        <w:rPr>
          <w:lang w:val="fr-FR"/>
        </w:rPr>
        <w:tab/>
      </w:r>
      <w:r>
        <w:rPr>
          <w:lang w:val="fr-FR"/>
        </w:rPr>
        <w:tab/>
      </w:r>
      <w:r w:rsidRPr="0002681D">
        <w:rPr>
          <w:lang w:val="fr-FR"/>
        </w:rPr>
        <w:t>Chapitre 3.4</w:t>
      </w:r>
    </w:p>
    <w:p w:rsidR="00563346" w:rsidRDefault="00563346" w:rsidP="00563346">
      <w:pPr>
        <w:pStyle w:val="SingleTxtG"/>
        <w:tabs>
          <w:tab w:val="left" w:pos="2268"/>
        </w:tabs>
      </w:pPr>
      <w:r>
        <w:t>3.4.7.1</w:t>
      </w:r>
      <w:r>
        <w:tab/>
      </w:r>
      <w:r>
        <w:tab/>
      </w:r>
      <w:r w:rsidRPr="004357DE">
        <w:t>Dans le premier paragraphe, remplacer «le marquage représenté» par «la marque représentée». Dans la légende de la figure 3.4.1, remplacer «Marquage des colis» par «Marque pour les colis». Dans l’avant dernier paragraphe, remplacer «Le marquage» par «La marque» et «être exposé» par «être exposée». Dans le dernier paragraphe, remplacer «Le marquage» par «La marque».</w:t>
      </w:r>
    </w:p>
    <w:p w:rsidR="00563346" w:rsidRPr="002E74FD" w:rsidRDefault="00563346" w:rsidP="00563346">
      <w:pPr>
        <w:pStyle w:val="SingleTxtG"/>
        <w:tabs>
          <w:tab w:val="left" w:pos="2268"/>
        </w:tabs>
        <w:rPr>
          <w:lang w:val="fr-FR"/>
        </w:rPr>
      </w:pPr>
      <w:r w:rsidRPr="002E74FD">
        <w:rPr>
          <w:lang w:val="fr-FR"/>
        </w:rPr>
        <w:t>3.4.7.2</w:t>
      </w:r>
      <w:r>
        <w:rPr>
          <w:lang w:val="fr-FR"/>
        </w:rPr>
        <w:tab/>
      </w:r>
      <w:r>
        <w:rPr>
          <w:lang w:val="fr-FR"/>
        </w:rPr>
        <w:tab/>
        <w:t>Dans la première phrase, remplacer «le marquage» par «la marque».</w:t>
      </w:r>
    </w:p>
    <w:p w:rsidR="00563346" w:rsidRDefault="00563346" w:rsidP="00563346">
      <w:pPr>
        <w:pStyle w:val="SingleTxtG"/>
        <w:tabs>
          <w:tab w:val="left" w:pos="2268"/>
        </w:tabs>
      </w:pPr>
      <w:r>
        <w:t>3.4.8.1</w:t>
      </w:r>
      <w:r>
        <w:tab/>
      </w:r>
      <w:r>
        <w:tab/>
      </w:r>
      <w:r w:rsidRPr="004357DE">
        <w:t>Dans le premier paragraphe, remplacer «le marquage représenté» par «la marque représentée». Dans la légende de la figure 3.4.2, remplacer «Marquage des colis» par «Marque pour les colis». Dans l’avant dernier paragraphe, remplacer «Le marquage» par «La marque» et «être exposé» par «être exposée». Dans le dernier paragraphe, remplacer «Le marquage» par «La marque».</w:t>
      </w:r>
    </w:p>
    <w:p w:rsidR="00563346" w:rsidRPr="002E74FD" w:rsidRDefault="00563346" w:rsidP="00563346">
      <w:pPr>
        <w:pStyle w:val="SingleTxtG"/>
        <w:tabs>
          <w:tab w:val="left" w:pos="2268"/>
        </w:tabs>
        <w:rPr>
          <w:lang w:val="fr-FR"/>
        </w:rPr>
      </w:pPr>
      <w:r w:rsidRPr="002E74FD">
        <w:rPr>
          <w:lang w:val="fr-FR"/>
        </w:rPr>
        <w:t>3.4.</w:t>
      </w:r>
      <w:r>
        <w:rPr>
          <w:lang w:val="fr-FR"/>
        </w:rPr>
        <w:t>8</w:t>
      </w:r>
      <w:r w:rsidRPr="002E74FD">
        <w:rPr>
          <w:lang w:val="fr-FR"/>
        </w:rPr>
        <w:t>.2</w:t>
      </w:r>
      <w:r>
        <w:rPr>
          <w:lang w:val="fr-FR"/>
        </w:rPr>
        <w:tab/>
      </w:r>
      <w:r>
        <w:rPr>
          <w:lang w:val="fr-FR"/>
        </w:rPr>
        <w:tab/>
        <w:t>Dans la première phrase, remplacer «le marquage» par «la marque».</w:t>
      </w:r>
    </w:p>
    <w:p w:rsidR="00563346" w:rsidRPr="0095481A" w:rsidRDefault="00563346" w:rsidP="00563346">
      <w:pPr>
        <w:pStyle w:val="SingleTxtG"/>
        <w:tabs>
          <w:tab w:val="left" w:pos="2268"/>
        </w:tabs>
        <w:rPr>
          <w:lang w:val="fr-FR"/>
        </w:rPr>
      </w:pPr>
      <w:r>
        <w:rPr>
          <w:lang w:val="fr-FR"/>
        </w:rPr>
        <w:t>3.4.9</w:t>
      </w:r>
      <w:r>
        <w:rPr>
          <w:lang w:val="fr-FR"/>
        </w:rPr>
        <w:tab/>
      </w:r>
      <w:r>
        <w:rPr>
          <w:lang w:val="fr-FR"/>
        </w:rPr>
        <w:tab/>
      </w:r>
      <w:r w:rsidRPr="004357DE">
        <w:t xml:space="preserve">Dans </w:t>
      </w:r>
      <w:r w:rsidRPr="004357DE">
        <w:rPr>
          <w:lang w:val="fr-FR"/>
        </w:rPr>
        <w:t>la première phrase</w:t>
      </w:r>
      <w:r w:rsidRPr="004357DE">
        <w:t>, remplacer «le marquage représenté» par «la marque représentée» et «marquages supplémentaires requis» par «marques supplémentaires requises». Dans la deuxième phrase, remplacer «le marquage représenté» par «la marque représentée».</w:t>
      </w:r>
    </w:p>
    <w:p w:rsidR="00563346" w:rsidRPr="0095481A" w:rsidRDefault="00563346" w:rsidP="00563346">
      <w:pPr>
        <w:pStyle w:val="SingleTxtG"/>
        <w:tabs>
          <w:tab w:val="left" w:pos="2268"/>
        </w:tabs>
        <w:rPr>
          <w:lang w:val="fr-FR"/>
        </w:rPr>
      </w:pPr>
      <w:r w:rsidRPr="0095481A">
        <w:rPr>
          <w:lang w:val="fr-FR"/>
        </w:rPr>
        <w:t>3.4.10</w:t>
      </w:r>
      <w:r w:rsidRPr="0095481A">
        <w:rPr>
          <w:lang w:val="fr-FR"/>
        </w:rPr>
        <w:tab/>
      </w:r>
      <w:r w:rsidRPr="0095481A">
        <w:rPr>
          <w:lang w:val="fr-FR"/>
        </w:rPr>
        <w:tab/>
      </w:r>
      <w:r>
        <w:t>Remplacer «le marquage représenté» par «la marque représentée».</w:t>
      </w:r>
    </w:p>
    <w:p w:rsidR="00563346" w:rsidRDefault="00563346" w:rsidP="00563346">
      <w:pPr>
        <w:pStyle w:val="SingleTxtG"/>
        <w:tabs>
          <w:tab w:val="left" w:pos="2268"/>
        </w:tabs>
      </w:pPr>
      <w:r>
        <w:t>3.4.11</w:t>
      </w:r>
      <w:r>
        <w:tab/>
      </w:r>
      <w:r>
        <w:tab/>
        <w:t>Modifier pour lire comme suit:</w:t>
      </w:r>
    </w:p>
    <w:p w:rsidR="00563346" w:rsidRPr="002224C0" w:rsidRDefault="00563346" w:rsidP="00563346">
      <w:pPr>
        <w:pStyle w:val="SingleTxtG"/>
        <w:tabs>
          <w:tab w:val="left" w:pos="2268"/>
        </w:tabs>
        <w:rPr>
          <w:b/>
          <w:lang w:val="fr-FR"/>
        </w:rPr>
      </w:pPr>
      <w:r>
        <w:rPr>
          <w:lang w:val="fr-FR"/>
        </w:rPr>
        <w:t>«</w:t>
      </w:r>
      <w:r w:rsidRPr="002224C0">
        <w:rPr>
          <w:b/>
          <w:lang w:val="fr-FR"/>
        </w:rPr>
        <w:t>3.4.11</w:t>
      </w:r>
      <w:r w:rsidRPr="002224C0">
        <w:rPr>
          <w:b/>
          <w:lang w:val="fr-FR"/>
        </w:rPr>
        <w:tab/>
        <w:t>Utilisation des suremballages</w:t>
      </w:r>
    </w:p>
    <w:p w:rsidR="00563346" w:rsidRDefault="00563346" w:rsidP="00563346">
      <w:pPr>
        <w:pStyle w:val="SingleTxtG"/>
      </w:pPr>
      <w:r>
        <w:t>Les dispositions suivantes s’appliquent pour un suremballage contenant des marchandises dangereuses emballées en quantités limitées:</w:t>
      </w:r>
    </w:p>
    <w:p w:rsidR="00563346" w:rsidRPr="00AE3941" w:rsidRDefault="00563346" w:rsidP="00563346">
      <w:pPr>
        <w:pStyle w:val="SingleTxtG"/>
      </w:pPr>
      <w:r w:rsidRPr="00AE3941">
        <w:t>À moins que les marques représentatives de toutes les marchandises dangereuses contenues dans le suremballage soient visibles, celui</w:t>
      </w:r>
      <w:r w:rsidRPr="00AE3941">
        <w:noBreakHyphen/>
        <w:t>ci doit:</w:t>
      </w:r>
    </w:p>
    <w:p w:rsidR="00563346" w:rsidRDefault="00563346" w:rsidP="00D36466">
      <w:pPr>
        <w:pStyle w:val="SingleTxtG"/>
        <w:spacing w:line="240" w:lineRule="auto"/>
        <w:ind w:left="1701" w:hanging="567"/>
      </w:pPr>
      <w:r>
        <w:t>-</w:t>
      </w:r>
      <w:r>
        <w:tab/>
      </w:r>
      <w:r w:rsidRPr="00AE3941">
        <w:t xml:space="preserve">Porter une marque indiquant le mot </w:t>
      </w:r>
      <w:r w:rsidR="00D932E6">
        <w:rPr>
          <w:lang w:val="fr-FR"/>
        </w:rPr>
        <w:t>«</w:t>
      </w:r>
      <w:r w:rsidRPr="00AE3941">
        <w:t>SUREMBALLAGE</w:t>
      </w:r>
      <w:r w:rsidR="00D932E6">
        <w:rPr>
          <w:lang w:val="fr-FR"/>
        </w:rPr>
        <w:t>»</w:t>
      </w:r>
      <w:r w:rsidRPr="00AE3941">
        <w:t xml:space="preserve">. Les lettres de la marque </w:t>
      </w:r>
      <w:r w:rsidR="00D932E6">
        <w:rPr>
          <w:lang w:val="fr-FR"/>
        </w:rPr>
        <w:t>«</w:t>
      </w:r>
      <w:r w:rsidRPr="00AE3941">
        <w:t>SUREMBALLAGE</w:t>
      </w:r>
      <w:r w:rsidR="00D932E6">
        <w:rPr>
          <w:lang w:val="fr-FR"/>
        </w:rPr>
        <w:t>»</w:t>
      </w:r>
      <w:r w:rsidRPr="00AE3941">
        <w:t xml:space="preserve"> doivent mesurer au moins 12 mm de hauteur</w:t>
      </w:r>
      <w:r w:rsidR="000C0699">
        <w:t xml:space="preserve">. La marque doit être </w:t>
      </w:r>
      <w:r w:rsidR="000C0699" w:rsidRPr="005A2C3A">
        <w:t xml:space="preserve">dans une langue officielle du pays d'origine et également, si cette langue n'est pas l'anglais, le français ou l'allemand, en </w:t>
      </w:r>
      <w:r w:rsidR="000C0699" w:rsidRPr="004357DE">
        <w:t>anglais</w:t>
      </w:r>
      <w:r w:rsidR="000C0699" w:rsidRPr="005A2C3A">
        <w:t>, français ou allemand à moins que des accords conclus entre les pays intéressés au transport, s'il en existe, n'en disposent autrement</w:t>
      </w:r>
      <w:r w:rsidRPr="00AE3941">
        <w:t>;</w:t>
      </w:r>
      <w:r>
        <w:t xml:space="preserve"> et</w:t>
      </w:r>
    </w:p>
    <w:p w:rsidR="00563346" w:rsidRPr="00AE3941" w:rsidRDefault="00563346" w:rsidP="00563346">
      <w:pPr>
        <w:pStyle w:val="SingleTxtG"/>
      </w:pPr>
      <w:r>
        <w:t>-</w:t>
      </w:r>
      <w:r>
        <w:tab/>
        <w:t>Porter les marques requises dans le présent chapitre.</w:t>
      </w:r>
    </w:p>
    <w:p w:rsidR="00563346" w:rsidRDefault="00563346" w:rsidP="00563346">
      <w:pPr>
        <w:pStyle w:val="SingleTxtG"/>
        <w:rPr>
          <w:lang w:val="fr-FR"/>
        </w:rPr>
      </w:pPr>
      <w:r w:rsidRPr="004F4FFE">
        <w:t>Sauf dans le cas du transport aérien, les autres dispositions énoncées au 5.1.2.1 sont applicables uniquement si d</w:t>
      </w:r>
      <w:r>
        <w:t>’</w:t>
      </w:r>
      <w:r w:rsidRPr="004F4FFE">
        <w:t>autres marchandises dangereuses, qui ne sont pas emballées en quantités limitées, sont contenues dans le suremballage. Ces dispositions s</w:t>
      </w:r>
      <w:r>
        <w:t>’</w:t>
      </w:r>
      <w:r w:rsidRPr="004F4FFE">
        <w:t>appliquent alors uniquement en relation avec ces autres marchandises dangereuses.</w:t>
      </w:r>
      <w:r>
        <w:rPr>
          <w:lang w:val="fr-FR"/>
        </w:rPr>
        <w:t>».</w:t>
      </w:r>
    </w:p>
    <w:p w:rsidR="00A71439" w:rsidRPr="00855A13" w:rsidRDefault="00A71439" w:rsidP="0085320F">
      <w:pPr>
        <w:pStyle w:val="H1G"/>
        <w:spacing w:before="240"/>
        <w:rPr>
          <w:lang w:val="fr-FR"/>
        </w:rPr>
      </w:pPr>
      <w:r w:rsidRPr="00855A13">
        <w:rPr>
          <w:lang w:val="fr-FR"/>
        </w:rPr>
        <w:lastRenderedPageBreak/>
        <w:tab/>
      </w:r>
      <w:r w:rsidRPr="00855A13">
        <w:rPr>
          <w:lang w:val="fr-FR"/>
        </w:rPr>
        <w:tab/>
        <w:t>Chapitre 3.5</w:t>
      </w:r>
    </w:p>
    <w:p w:rsidR="00D36466" w:rsidRDefault="00A71439" w:rsidP="00A71439">
      <w:pPr>
        <w:pStyle w:val="SingleTxtG"/>
        <w:rPr>
          <w:lang w:val="fr-FR"/>
        </w:rPr>
      </w:pPr>
      <w:proofErr w:type="gramStart"/>
      <w:r w:rsidRPr="00855A13">
        <w:rPr>
          <w:lang w:val="fr-FR"/>
        </w:rPr>
        <w:t>3.5.2 b</w:t>
      </w:r>
      <w:proofErr w:type="gramEnd"/>
      <w:r w:rsidRPr="00855A13">
        <w:rPr>
          <w:lang w:val="fr-FR"/>
        </w:rPr>
        <w:t>)</w:t>
      </w:r>
      <w:r w:rsidRPr="00855A13">
        <w:rPr>
          <w:lang w:val="fr-FR"/>
        </w:rPr>
        <w:tab/>
        <w:t xml:space="preserve">Transférer la deuxième phrase à la fin de l’alinéa b) et la modifier pour lire comme suit: </w:t>
      </w:r>
    </w:p>
    <w:p w:rsidR="00A71439" w:rsidRPr="004357DE" w:rsidRDefault="00A71439" w:rsidP="00A71439">
      <w:pPr>
        <w:pStyle w:val="SingleTxtG"/>
        <w:rPr>
          <w:lang w:val="fr-FR"/>
        </w:rPr>
      </w:pPr>
      <w:r w:rsidRPr="004357DE">
        <w:rPr>
          <w:lang w:val="fr-FR"/>
        </w:rPr>
        <w:t>«Le colis doit être capable de contenir la totalité du contenu en cas de rupture ou de fuite, quel que soit le sens dans lequel il est placé.».</w:t>
      </w:r>
    </w:p>
    <w:p w:rsidR="00A71439" w:rsidRPr="00855A13" w:rsidRDefault="00A71439" w:rsidP="00A71439">
      <w:pPr>
        <w:pStyle w:val="SingleTxtG"/>
      </w:pPr>
      <w:r w:rsidRPr="004357DE">
        <w:t>Dans la troisième phrase actuelle, remplacer «l’emballage intermédiaire» par «l’emballage intermédiaire ou extérieur». Dans la quatrième phrase actuelle, remplacer «</w:t>
      </w:r>
      <w:r w:rsidRPr="004357DE">
        <w:rPr>
          <w:lang w:val="fr-FR"/>
        </w:rPr>
        <w:t>Dans ce cas-là,</w:t>
      </w:r>
      <w:r w:rsidRPr="004357DE">
        <w:t>» par «Lorsqu’il est placé dans l’emballage intermédiaire,».</w:t>
      </w:r>
    </w:p>
    <w:p w:rsidR="00A71439" w:rsidRDefault="00A71439" w:rsidP="00A71439">
      <w:pPr>
        <w:pStyle w:val="SingleTxtG"/>
      </w:pPr>
      <w:r>
        <w:t>3.5.2 e) et 3.5.4.2</w:t>
      </w:r>
      <w:r>
        <w:tab/>
      </w:r>
      <w:r w:rsidR="001F3CC1">
        <w:rPr>
          <w:lang w:val="fr-FR"/>
        </w:rPr>
        <w:t xml:space="preserve">L’amendement </w:t>
      </w:r>
      <w:r w:rsidR="001F3CC1">
        <w:t>ne s’applique pas au texte français.</w:t>
      </w:r>
    </w:p>
    <w:p w:rsidR="002D3B2E" w:rsidRDefault="00A71439" w:rsidP="00D36466">
      <w:pPr>
        <w:pStyle w:val="SingleTxtG"/>
        <w:tabs>
          <w:tab w:val="left" w:pos="2268"/>
        </w:tabs>
      </w:pPr>
      <w:r>
        <w:rPr>
          <w:lang w:val="fr-FR"/>
        </w:rPr>
        <w:t>3.5.4.3</w:t>
      </w:r>
      <w:r>
        <w:rPr>
          <w:lang w:val="fr-FR"/>
        </w:rPr>
        <w:tab/>
      </w:r>
      <w:r w:rsidR="00D36466">
        <w:t>Modifier pour lire comme suit:</w:t>
      </w:r>
    </w:p>
    <w:p w:rsidR="00A71439" w:rsidRDefault="00A71439" w:rsidP="00A71439">
      <w:pPr>
        <w:pStyle w:val="SingleTxtG"/>
      </w:pPr>
      <w:r>
        <w:t>«</w:t>
      </w:r>
      <w:r w:rsidRPr="00CF187B">
        <w:rPr>
          <w:b/>
          <w:lang w:val="fr-FR"/>
        </w:rPr>
        <w:t>3.5.4.3</w:t>
      </w:r>
      <w:r w:rsidRPr="002224C0">
        <w:rPr>
          <w:b/>
          <w:lang w:val="fr-FR"/>
        </w:rPr>
        <w:tab/>
      </w:r>
      <w:r w:rsidRPr="00CF187B">
        <w:rPr>
          <w:b/>
          <w:i/>
          <w:lang w:val="fr-FR"/>
        </w:rPr>
        <w:t>Utilisation des suremballages</w:t>
      </w:r>
    </w:p>
    <w:p w:rsidR="00A71439" w:rsidRDefault="00A71439" w:rsidP="00A71439">
      <w:pPr>
        <w:pStyle w:val="SingleTxtG"/>
      </w:pPr>
      <w:r>
        <w:t>Les dispositions suivantes s’appliquent pour un suremballage contenant des marchandises dangereuses emballées en quantités exceptées:</w:t>
      </w:r>
    </w:p>
    <w:p w:rsidR="00A71439" w:rsidRPr="00AE3941" w:rsidRDefault="00A71439" w:rsidP="00A71439">
      <w:pPr>
        <w:pStyle w:val="SingleTxtG"/>
      </w:pPr>
      <w:r w:rsidRPr="00AE3941">
        <w:t>À moins que les marques représentatives de toutes les marchandises dangereuses contenues dans le suremballage soient visibles, celui</w:t>
      </w:r>
      <w:r>
        <w:t>-</w:t>
      </w:r>
      <w:r w:rsidRPr="00AE3941">
        <w:t>ci doit:</w:t>
      </w:r>
    </w:p>
    <w:p w:rsidR="00A71439" w:rsidRDefault="00A71439" w:rsidP="00D36466">
      <w:pPr>
        <w:pStyle w:val="SingleTxtG"/>
        <w:spacing w:line="200" w:lineRule="atLeast"/>
        <w:ind w:left="1701" w:hanging="567"/>
      </w:pPr>
      <w:r>
        <w:t>-</w:t>
      </w:r>
      <w:r>
        <w:tab/>
      </w:r>
      <w:r w:rsidRPr="00AE3941">
        <w:t xml:space="preserve">Porter une marque indiquant le mot </w:t>
      </w:r>
      <w:r w:rsidR="00D932E6">
        <w:rPr>
          <w:lang w:val="fr-FR"/>
        </w:rPr>
        <w:t>«</w:t>
      </w:r>
      <w:r w:rsidRPr="00AE3941">
        <w:t xml:space="preserve">SUREMBALLAGE. Les lettres de la marque </w:t>
      </w:r>
      <w:r w:rsidR="00D932E6">
        <w:t>«</w:t>
      </w:r>
      <w:r w:rsidRPr="00AE3941">
        <w:t>SUREMBALLAGE</w:t>
      </w:r>
      <w:r w:rsidR="00D932E6">
        <w:t>»</w:t>
      </w:r>
      <w:r w:rsidRPr="00AE3941">
        <w:t xml:space="preserve"> doivent mesurer au moins 12 mm de hauteur</w:t>
      </w:r>
      <w:r w:rsidR="001551B7">
        <w:t xml:space="preserve">. La marque doit être </w:t>
      </w:r>
      <w:r w:rsidR="001551B7" w:rsidRPr="005A2C3A">
        <w:t>dans une langue officielle du pays d'origine et également, si cette langue n'est pas l'anglais, le français ou l'allemand, en anglais, français ou allemand à moins que des accords conclus entre les pays intéressés au transport, s'il en existe, n'en disposent autrement</w:t>
      </w:r>
      <w:r w:rsidRPr="00AE3941">
        <w:t>;</w:t>
      </w:r>
      <w:r>
        <w:t xml:space="preserve"> et</w:t>
      </w:r>
    </w:p>
    <w:p w:rsidR="00A71439" w:rsidRPr="00AE3941" w:rsidRDefault="00A71439" w:rsidP="00A71439">
      <w:pPr>
        <w:pStyle w:val="SingleTxtG"/>
      </w:pPr>
      <w:r>
        <w:t>-</w:t>
      </w:r>
      <w:r>
        <w:tab/>
        <w:t>Porter les marques requises dans le présent chapitre.</w:t>
      </w:r>
    </w:p>
    <w:p w:rsidR="00A71439" w:rsidRDefault="00A71439" w:rsidP="00A71439">
      <w:pPr>
        <w:pStyle w:val="SingleTxtG"/>
      </w:pPr>
      <w:r w:rsidRPr="007454A2">
        <w:t>Les autres dispositions énoncées au 5.1.2.1 sont applicables uniquement si d’autres marchandises dangereuses, qui ne sont pas emballées en quantités exceptées, sont contenues dans le suremballage.</w:t>
      </w:r>
      <w:r>
        <w:t xml:space="preserve"> Ces dispositions s’appliquent alors uniquement en relation avec ces autres marchandises dangereuses.».</w:t>
      </w:r>
    </w:p>
    <w:p w:rsidR="00742FD7" w:rsidRDefault="00742FD7" w:rsidP="0085320F">
      <w:pPr>
        <w:pStyle w:val="H1G"/>
        <w:spacing w:before="240"/>
        <w:rPr>
          <w:lang w:val="fr-FR"/>
        </w:rPr>
      </w:pPr>
      <w:r>
        <w:rPr>
          <w:lang w:val="fr-FR"/>
        </w:rPr>
        <w:tab/>
      </w:r>
      <w:r>
        <w:rPr>
          <w:lang w:val="fr-FR"/>
        </w:rPr>
        <w:tab/>
        <w:t>Chapitre 5.1</w:t>
      </w:r>
    </w:p>
    <w:p w:rsidR="00742FD7" w:rsidRDefault="00742FD7" w:rsidP="00742FD7">
      <w:pPr>
        <w:tabs>
          <w:tab w:val="left" w:pos="2268"/>
        </w:tabs>
        <w:suppressAutoHyphens w:val="0"/>
        <w:autoSpaceDE w:val="0"/>
        <w:autoSpaceDN w:val="0"/>
        <w:adjustRightInd w:val="0"/>
        <w:spacing w:after="120" w:line="240" w:lineRule="auto"/>
        <w:ind w:left="1134"/>
        <w:jc w:val="both"/>
      </w:pPr>
      <w:r>
        <w:t>5.1.2.1</w:t>
      </w:r>
      <w:r w:rsidR="00491EC7">
        <w:t xml:space="preserve"> a)</w:t>
      </w:r>
      <w:r>
        <w:tab/>
      </w:r>
      <w:r>
        <w:tab/>
        <w:t>Modifier pour lire comme suit:</w:t>
      </w:r>
    </w:p>
    <w:p w:rsidR="00E15EC6" w:rsidRPr="00E15EC6" w:rsidRDefault="00742FD7" w:rsidP="00E15EC6">
      <w:pPr>
        <w:pStyle w:val="SingleTxtG"/>
        <w:tabs>
          <w:tab w:val="left" w:pos="1701"/>
        </w:tabs>
      </w:pPr>
      <w:r>
        <w:rPr>
          <w:lang w:val="fr-FR"/>
        </w:rPr>
        <w:t>«</w:t>
      </w:r>
      <w:proofErr w:type="gramStart"/>
      <w:r w:rsidR="00E15EC6" w:rsidRPr="00E15EC6">
        <w:rPr>
          <w:lang w:val="fr-FR"/>
        </w:rPr>
        <w:t>a</w:t>
      </w:r>
      <w:proofErr w:type="gramEnd"/>
      <w:r w:rsidR="00E15EC6" w:rsidRPr="00E15EC6">
        <w:rPr>
          <w:lang w:val="fr-FR"/>
        </w:rPr>
        <w:t>)</w:t>
      </w:r>
      <w:r w:rsidR="00E15EC6" w:rsidRPr="00E15EC6">
        <w:rPr>
          <w:lang w:val="fr-FR"/>
        </w:rPr>
        <w:tab/>
      </w:r>
      <w:r w:rsidR="00E15EC6" w:rsidRPr="00E15EC6">
        <w:t>À moins que les marques et les étiquettes prescrites au chapitre 5.2, à l’exception de celles prescrites aux 5.2.1.3 à 5.2.1.6, 5.2.1.7.2 à 5.2.1.7.8 et 5.2.1.10, représentatives de toutes les marchandises dangereuses contenues dans le suremballage soient visibles, celui</w:t>
      </w:r>
      <w:r w:rsidR="00E15EC6" w:rsidRPr="00E15EC6">
        <w:noBreakHyphen/>
        <w:t>ci doit:</w:t>
      </w:r>
    </w:p>
    <w:p w:rsidR="00E15EC6" w:rsidRPr="00E15EC6" w:rsidRDefault="00E15EC6" w:rsidP="00E15EC6">
      <w:pPr>
        <w:tabs>
          <w:tab w:val="left" w:pos="1701"/>
        </w:tabs>
        <w:spacing w:after="120"/>
        <w:ind w:left="1134" w:right="1134"/>
        <w:jc w:val="both"/>
      </w:pPr>
      <w:r w:rsidRPr="00E15EC6">
        <w:t>i)</w:t>
      </w:r>
      <w:r w:rsidRPr="00E15EC6">
        <w:tab/>
        <w:t xml:space="preserve">Porter une marque indiquant le mot </w:t>
      </w:r>
      <w:r w:rsidR="00D932E6">
        <w:rPr>
          <w:lang w:val="fr-FR"/>
        </w:rPr>
        <w:t>«</w:t>
      </w:r>
      <w:r w:rsidRPr="00E15EC6">
        <w:t>SUREMBALLAGE</w:t>
      </w:r>
      <w:r w:rsidR="00D932E6">
        <w:rPr>
          <w:lang w:val="fr-FR"/>
        </w:rPr>
        <w:t>»</w:t>
      </w:r>
      <w:r w:rsidRPr="00E15EC6">
        <w:t xml:space="preserve">. Les lettres de la marque </w:t>
      </w:r>
      <w:r w:rsidR="00D932E6">
        <w:rPr>
          <w:lang w:val="fr-FR"/>
        </w:rPr>
        <w:t>«</w:t>
      </w:r>
      <w:r w:rsidRPr="00E15EC6">
        <w:t>SUREMBALLAGE</w:t>
      </w:r>
      <w:r w:rsidR="00D932E6">
        <w:rPr>
          <w:lang w:val="fr-FR"/>
        </w:rPr>
        <w:t>»</w:t>
      </w:r>
      <w:r w:rsidRPr="00E15EC6">
        <w:t xml:space="preserve"> doivent mesurer au moins 12 mm de hauteur. La marque doit être dans une langue officielle du pays d'origine et également, si cette langue n'est pas l'anglais, le français ou l'allemand, en anglais, français ou allemand à moins que des accords conclus entre les pays intéressés au transport, s'il en existe, n'en disposent autrement;</w:t>
      </w:r>
    </w:p>
    <w:p w:rsidR="00E15EC6" w:rsidRPr="00E15EC6" w:rsidRDefault="00E15EC6" w:rsidP="00E15EC6">
      <w:pPr>
        <w:spacing w:after="120"/>
        <w:ind w:left="1134" w:right="1134"/>
        <w:jc w:val="both"/>
      </w:pPr>
      <w:r w:rsidRPr="00E15EC6">
        <w:t>ii)</w:t>
      </w:r>
      <w:r w:rsidRPr="00E15EC6">
        <w:tab/>
        <w:t>Porter une marque indiquant le numéro ONU, ainsi que les étiquettes et autres marques prescrites pour les colis au chapitre 5.2 à l’exception de celles prescrites aux 5.2.1.3 à 5.2.1.6, 5.2.1.7.2 à 5.2.1.7.8 et 5.2.1.10, pour chacune des marchandises dangereuses qu’il contient. Il est suffisant d’appliquer chaque marque et étiquette applicable une seule fois.</w:t>
      </w:r>
    </w:p>
    <w:p w:rsidR="00742FD7" w:rsidRDefault="00E15EC6" w:rsidP="00E15EC6">
      <w:pPr>
        <w:pStyle w:val="SingleTxtG"/>
        <w:tabs>
          <w:tab w:val="left" w:pos="2268"/>
        </w:tabs>
      </w:pPr>
      <w:r w:rsidRPr="00E15EC6">
        <w:lastRenderedPageBreak/>
        <w:t>Les suremballages contenant des matières radioactives doivent être étiquetés conformément au 5.2.2.1.11.</w:t>
      </w:r>
    </w:p>
    <w:p w:rsidR="00491EC7" w:rsidRDefault="00491EC7" w:rsidP="00742FD7">
      <w:pPr>
        <w:pStyle w:val="SingleTxtG"/>
      </w:pPr>
      <w:r>
        <w:t>La modification du 5.1.2.1 b) ne s’applique pas au texte français.</w:t>
      </w:r>
    </w:p>
    <w:p w:rsidR="00742FD7" w:rsidRDefault="00742FD7" w:rsidP="00742FD7">
      <w:pPr>
        <w:pStyle w:val="SingleTxtG"/>
      </w:pPr>
      <w:r>
        <w:t>5.1.2.3</w:t>
      </w:r>
      <w:r>
        <w:tab/>
      </w:r>
      <w:r w:rsidR="00AE69A8">
        <w:tab/>
      </w:r>
      <w:r w:rsidR="001F3CC1">
        <w:rPr>
          <w:lang w:val="fr-FR"/>
        </w:rPr>
        <w:t>L’ame</w:t>
      </w:r>
      <w:bookmarkStart w:id="0" w:name="_GoBack"/>
      <w:bookmarkEnd w:id="0"/>
      <w:r w:rsidR="001F3CC1">
        <w:rPr>
          <w:lang w:val="fr-FR"/>
        </w:rPr>
        <w:t xml:space="preserve">ndement </w:t>
      </w:r>
      <w:r w:rsidR="001F3CC1">
        <w:t>ne s’applique pas au texte français.</w:t>
      </w:r>
    </w:p>
    <w:p w:rsidR="00742FD7" w:rsidRPr="0002681D" w:rsidRDefault="00742FD7" w:rsidP="00E43AB1">
      <w:pPr>
        <w:pStyle w:val="H1G"/>
        <w:spacing w:before="240"/>
        <w:rPr>
          <w:lang w:val="fr-FR"/>
        </w:rPr>
      </w:pPr>
      <w:r>
        <w:rPr>
          <w:lang w:val="fr-FR"/>
        </w:rPr>
        <w:tab/>
      </w:r>
      <w:r>
        <w:rPr>
          <w:lang w:val="fr-FR"/>
        </w:rPr>
        <w:tab/>
      </w:r>
      <w:r w:rsidRPr="0002681D">
        <w:rPr>
          <w:lang w:val="fr-FR"/>
        </w:rPr>
        <w:t>Chapitre 5.2</w:t>
      </w:r>
    </w:p>
    <w:p w:rsidR="004005D0" w:rsidRDefault="004005D0" w:rsidP="00742FD7">
      <w:pPr>
        <w:pStyle w:val="SingleTxtG"/>
        <w:tabs>
          <w:tab w:val="left" w:pos="2268"/>
        </w:tabs>
        <w:rPr>
          <w:lang w:val="fr-FR"/>
        </w:rPr>
      </w:pPr>
      <w:r>
        <w:rPr>
          <w:lang w:val="fr-FR"/>
        </w:rPr>
        <w:t>5.2.1</w:t>
      </w:r>
      <w:r>
        <w:rPr>
          <w:lang w:val="fr-FR"/>
        </w:rPr>
        <w:tab/>
        <w:t xml:space="preserve">L’amendement au Nota </w:t>
      </w:r>
      <w:r>
        <w:t>ne s’applique pas au texte français.</w:t>
      </w:r>
    </w:p>
    <w:p w:rsidR="00742FD7" w:rsidRDefault="00742FD7" w:rsidP="00742FD7">
      <w:pPr>
        <w:pStyle w:val="SingleTxtG"/>
        <w:tabs>
          <w:tab w:val="left" w:pos="2268"/>
        </w:tabs>
        <w:rPr>
          <w:lang w:val="fr-FR"/>
        </w:rPr>
      </w:pPr>
      <w:r>
        <w:rPr>
          <w:lang w:val="fr-FR"/>
        </w:rPr>
        <w:t>5.2.1.1</w:t>
      </w:r>
      <w:r>
        <w:rPr>
          <w:lang w:val="fr-FR"/>
        </w:rPr>
        <w:tab/>
      </w:r>
      <w:r>
        <w:rPr>
          <w:lang w:val="fr-FR"/>
        </w:rPr>
        <w:tab/>
      </w:r>
      <w:r w:rsidR="001F3CC1">
        <w:rPr>
          <w:lang w:val="fr-FR"/>
        </w:rPr>
        <w:t xml:space="preserve">L’amendement </w:t>
      </w:r>
      <w:r w:rsidR="001F3CC1">
        <w:t>ne s’applique pas au texte français.</w:t>
      </w:r>
    </w:p>
    <w:p w:rsidR="00742FD7" w:rsidRDefault="00742FD7" w:rsidP="00742FD7">
      <w:pPr>
        <w:pStyle w:val="SingleTxtG"/>
        <w:tabs>
          <w:tab w:val="left" w:pos="2268"/>
        </w:tabs>
      </w:pPr>
      <w:r>
        <w:t>5.2.1.2</w:t>
      </w:r>
      <w:r>
        <w:tab/>
      </w:r>
      <w:r>
        <w:tab/>
      </w:r>
      <w:r w:rsidR="001F3CC1">
        <w:rPr>
          <w:lang w:val="fr-FR"/>
        </w:rPr>
        <w:t xml:space="preserve">L’amendement </w:t>
      </w:r>
      <w:r w:rsidR="001F3CC1">
        <w:t>ne s’applique pas au texte français.</w:t>
      </w:r>
    </w:p>
    <w:p w:rsidR="00742FD7" w:rsidRDefault="00742FD7" w:rsidP="00742FD7">
      <w:pPr>
        <w:pStyle w:val="SingleTxtG"/>
        <w:tabs>
          <w:tab w:val="left" w:pos="2268"/>
        </w:tabs>
        <w:rPr>
          <w:lang w:val="fr-FR"/>
        </w:rPr>
      </w:pPr>
      <w:r>
        <w:rPr>
          <w:lang w:val="fr-FR"/>
        </w:rPr>
        <w:t>5.2.1.3</w:t>
      </w:r>
      <w:r>
        <w:rPr>
          <w:lang w:val="fr-FR"/>
        </w:rPr>
        <w:tab/>
      </w:r>
      <w:r>
        <w:rPr>
          <w:lang w:val="fr-FR"/>
        </w:rPr>
        <w:tab/>
        <w:t>Dans la</w:t>
      </w:r>
      <w:r w:rsidR="00DB6D92">
        <w:rPr>
          <w:lang w:val="fr-FR"/>
        </w:rPr>
        <w:t xml:space="preserve"> deuxième phrase</w:t>
      </w:r>
      <w:r>
        <w:rPr>
          <w:lang w:val="fr-FR"/>
        </w:rPr>
        <w:t>, remplacer «du marquage» par «de la marque».</w:t>
      </w:r>
    </w:p>
    <w:p w:rsidR="00033A63" w:rsidRDefault="000131A5" w:rsidP="000131A5">
      <w:pPr>
        <w:pStyle w:val="SingleTxtG"/>
        <w:tabs>
          <w:tab w:val="left" w:pos="2268"/>
        </w:tabs>
        <w:rPr>
          <w:lang w:val="fr-FR"/>
        </w:rPr>
      </w:pPr>
      <w:r>
        <w:rPr>
          <w:lang w:val="fr-FR"/>
        </w:rPr>
        <w:t>5.2.1.5</w:t>
      </w:r>
      <w:r w:rsidR="00033A63">
        <w:rPr>
          <w:lang w:val="fr-FR"/>
        </w:rPr>
        <w:tab/>
        <w:t xml:space="preserve">L’amendement </w:t>
      </w:r>
      <w:r w:rsidR="00033A63">
        <w:t>ne s’applique pas au texte français.</w:t>
      </w:r>
    </w:p>
    <w:p w:rsidR="00742FD7" w:rsidRDefault="00033A63" w:rsidP="00742FD7">
      <w:pPr>
        <w:pStyle w:val="SingleTxtG"/>
        <w:rPr>
          <w:lang w:val="fr-FR"/>
        </w:rPr>
      </w:pPr>
      <w:r>
        <w:rPr>
          <w:lang w:val="fr-FR"/>
        </w:rPr>
        <w:t>5.2.1.7.1</w:t>
      </w:r>
      <w:r w:rsidR="00742FD7">
        <w:rPr>
          <w:lang w:val="fr-FR"/>
        </w:rPr>
        <w:tab/>
        <w:t>Dans la deuxième phrase, remplacer «ces marquages» par «ces marques».</w:t>
      </w:r>
    </w:p>
    <w:p w:rsidR="00742FD7" w:rsidRDefault="00033A63" w:rsidP="00742FD7">
      <w:pPr>
        <w:pStyle w:val="SingleTxtG"/>
      </w:pPr>
      <w:r>
        <w:rPr>
          <w:lang w:val="fr-FR"/>
        </w:rPr>
        <w:t>5.2.1.7.7, 5.2.1.8.2, 5.2.1.8.3</w:t>
      </w:r>
      <w:r w:rsidR="00742FD7">
        <w:rPr>
          <w:lang w:val="fr-FR"/>
        </w:rPr>
        <w:tab/>
      </w:r>
      <w:r w:rsidR="001F3CC1">
        <w:rPr>
          <w:lang w:val="fr-FR"/>
        </w:rPr>
        <w:t xml:space="preserve">L’amendement </w:t>
      </w:r>
      <w:r w:rsidR="001F3CC1">
        <w:t>ne s’applique pas au texte français.</w:t>
      </w:r>
    </w:p>
    <w:p w:rsidR="00742FD7" w:rsidRPr="00E16DCF" w:rsidRDefault="00742FD7" w:rsidP="00742FD7">
      <w:pPr>
        <w:pStyle w:val="SingleTxtG"/>
        <w:tabs>
          <w:tab w:val="left" w:pos="2268"/>
        </w:tabs>
        <w:rPr>
          <w:lang w:val="fr-FR"/>
        </w:rPr>
      </w:pPr>
      <w:r>
        <w:rPr>
          <w:lang w:val="fr-FR"/>
        </w:rPr>
        <w:t>Ajouter un nouveau 5.2.1.9 pour lire comme suit:</w:t>
      </w:r>
    </w:p>
    <w:p w:rsidR="00742FD7" w:rsidRPr="00E16DCF" w:rsidRDefault="00D932E6" w:rsidP="00742FD7">
      <w:pPr>
        <w:pStyle w:val="SingleTxtG"/>
        <w:rPr>
          <w:i/>
          <w:lang w:val="fr-FR"/>
        </w:rPr>
      </w:pPr>
      <w:r>
        <w:rPr>
          <w:lang w:val="fr-FR"/>
        </w:rPr>
        <w:t>«</w:t>
      </w:r>
      <w:r w:rsidR="00742FD7" w:rsidRPr="00E16DCF">
        <w:rPr>
          <w:b/>
          <w:lang w:val="fr-FR"/>
        </w:rPr>
        <w:t>5.2.1.9</w:t>
      </w:r>
      <w:r w:rsidR="00742FD7" w:rsidRPr="00E16DCF">
        <w:rPr>
          <w:b/>
          <w:lang w:val="fr-FR"/>
        </w:rPr>
        <w:tab/>
      </w:r>
      <w:r w:rsidR="00742FD7">
        <w:rPr>
          <w:b/>
          <w:i/>
          <w:lang w:val="fr-FR"/>
        </w:rPr>
        <w:t>Marque pour les batteries au lithium</w:t>
      </w:r>
    </w:p>
    <w:p w:rsidR="00742FD7" w:rsidRDefault="00742FD7" w:rsidP="00742FD7">
      <w:pPr>
        <w:pStyle w:val="SingleTxtG"/>
        <w:rPr>
          <w:lang w:val="fr-FR"/>
        </w:rPr>
      </w:pPr>
      <w:r w:rsidRPr="00E16DCF">
        <w:rPr>
          <w:lang w:val="fr-FR"/>
        </w:rPr>
        <w:t>5.2.1.9.1</w:t>
      </w:r>
      <w:r w:rsidRPr="00E16DCF">
        <w:rPr>
          <w:lang w:val="fr-FR"/>
        </w:rPr>
        <w:tab/>
      </w:r>
      <w:r>
        <w:rPr>
          <w:lang w:val="fr-FR"/>
        </w:rPr>
        <w:t xml:space="preserve">Les colis contenant des piles ou batteries au lithium préparés conformément à la disposition spéciale 188 du chapitre 3.3 doivent porter la marque présentée dans la figure </w:t>
      </w:r>
      <w:r w:rsidR="00033A63">
        <w:rPr>
          <w:lang w:val="fr-FR"/>
        </w:rPr>
        <w:t>5.2.1.9.2</w:t>
      </w:r>
      <w:r>
        <w:rPr>
          <w:lang w:val="fr-FR"/>
        </w:rPr>
        <w:t>.</w:t>
      </w:r>
    </w:p>
    <w:p w:rsidR="00742FD7" w:rsidRPr="00753BDA" w:rsidRDefault="00742FD7" w:rsidP="00753BDA">
      <w:pPr>
        <w:pStyle w:val="SingleTxtG"/>
        <w:tabs>
          <w:tab w:val="left" w:pos="2127"/>
        </w:tabs>
      </w:pPr>
      <w:r w:rsidRPr="00124E42">
        <w:rPr>
          <w:lang w:val="fr-FR"/>
        </w:rPr>
        <w:t>5.2.1.9.2</w:t>
      </w:r>
      <w:r w:rsidRPr="00124E42">
        <w:rPr>
          <w:lang w:val="fr-FR"/>
        </w:rPr>
        <w:tab/>
      </w:r>
      <w:r w:rsidR="00753BDA">
        <w:t xml:space="preserve">Le numéro ONU </w:t>
      </w:r>
      <w:r w:rsidR="00753BDA" w:rsidRPr="00351E4E">
        <w:t xml:space="preserve">précédé des lettres </w:t>
      </w:r>
      <w:r w:rsidR="00D932E6">
        <w:rPr>
          <w:lang w:val="fr-FR"/>
        </w:rPr>
        <w:t>«</w:t>
      </w:r>
      <w:r w:rsidR="00753BDA" w:rsidRPr="00351E4E">
        <w:t>UN</w:t>
      </w:r>
      <w:r w:rsidR="00D932E6">
        <w:rPr>
          <w:lang w:val="fr-FR"/>
        </w:rPr>
        <w:t>»</w:t>
      </w:r>
      <w:r w:rsidR="00753BDA">
        <w:t xml:space="preserve">, </w:t>
      </w:r>
      <w:r w:rsidR="00D932E6">
        <w:rPr>
          <w:lang w:val="fr-FR"/>
        </w:rPr>
        <w:t>«</w:t>
      </w:r>
      <w:r w:rsidR="00753BDA">
        <w:t>UN 3090</w:t>
      </w:r>
      <w:r w:rsidR="00D932E6">
        <w:rPr>
          <w:lang w:val="fr-FR"/>
        </w:rPr>
        <w:t>»</w:t>
      </w:r>
      <w:r w:rsidR="00753BDA">
        <w:t xml:space="preserve"> pour les piles ou batteries au lithium métal ou </w:t>
      </w:r>
      <w:r w:rsidR="00D932E6">
        <w:rPr>
          <w:lang w:val="fr-FR"/>
        </w:rPr>
        <w:t>«</w:t>
      </w:r>
      <w:r w:rsidR="00753BDA">
        <w:t>UN 3480</w:t>
      </w:r>
      <w:r w:rsidR="00D932E6">
        <w:rPr>
          <w:lang w:val="fr-FR"/>
        </w:rPr>
        <w:t>»</w:t>
      </w:r>
      <w:r w:rsidR="00753BDA">
        <w:t xml:space="preserve"> pour les piles ou batteries au lithium ionique, doit être indiqué sur la marque. Lorsque les piles ou batteries sont contenues dans ou emballées avec un équipement, le numéro ONU approprié </w:t>
      </w:r>
      <w:r w:rsidR="00753BDA" w:rsidRPr="00351E4E">
        <w:t xml:space="preserve">précédé des lettres </w:t>
      </w:r>
      <w:r w:rsidR="00D932E6">
        <w:rPr>
          <w:lang w:val="fr-FR"/>
        </w:rPr>
        <w:t>«</w:t>
      </w:r>
      <w:r w:rsidR="00753BDA" w:rsidRPr="00351E4E">
        <w:t>UN</w:t>
      </w:r>
      <w:r w:rsidR="00D932E6">
        <w:rPr>
          <w:lang w:val="fr-FR"/>
        </w:rPr>
        <w:t>»</w:t>
      </w:r>
      <w:r w:rsidR="00753BDA">
        <w:t xml:space="preserve">, </w:t>
      </w:r>
      <w:r w:rsidR="00D932E6">
        <w:rPr>
          <w:lang w:val="fr-FR"/>
        </w:rPr>
        <w:t>«</w:t>
      </w:r>
      <w:r w:rsidR="00753BDA">
        <w:t>UN 3091</w:t>
      </w:r>
      <w:r w:rsidR="00D932E6">
        <w:rPr>
          <w:lang w:val="fr-FR"/>
        </w:rPr>
        <w:t>»</w:t>
      </w:r>
      <w:r w:rsidR="00753BDA">
        <w:t xml:space="preserve"> ou </w:t>
      </w:r>
      <w:r w:rsidR="00D932E6">
        <w:rPr>
          <w:lang w:val="fr-FR"/>
        </w:rPr>
        <w:t>«</w:t>
      </w:r>
      <w:r w:rsidR="00753BDA">
        <w:t>UN 3481</w:t>
      </w:r>
      <w:r w:rsidR="00D932E6">
        <w:rPr>
          <w:lang w:val="fr-FR"/>
        </w:rPr>
        <w:t>»</w:t>
      </w:r>
      <w:r w:rsidR="00753BDA">
        <w:t xml:space="preserve">, doit être indiqué. Lorsqu’un colis contient des piles ou batteries au lithium affectées à différents numéros ONU, tous les numéros ONU applicables doivent être indiqués sur une ou plusieurs marques. </w:t>
      </w:r>
    </w:p>
    <w:p w:rsidR="00742FD7" w:rsidRDefault="00742FD7" w:rsidP="00742FD7">
      <w:pPr>
        <w:pStyle w:val="SingleTxtG"/>
        <w:spacing w:before="120"/>
        <w:jc w:val="center"/>
        <w:rPr>
          <w:b/>
          <w:lang w:val="fr-FR"/>
        </w:rPr>
      </w:pPr>
      <w:r w:rsidRPr="00E16DCF">
        <w:rPr>
          <w:b/>
          <w:lang w:val="fr-FR"/>
        </w:rPr>
        <w:t xml:space="preserve">Figure </w:t>
      </w:r>
      <w:r w:rsidR="00033A63">
        <w:rPr>
          <w:b/>
          <w:lang w:val="fr-FR"/>
        </w:rPr>
        <w:t>5.2.1.9.2</w:t>
      </w:r>
    </w:p>
    <w:p w:rsidR="00033A63" w:rsidRDefault="001703B7" w:rsidP="00742FD7">
      <w:pPr>
        <w:pStyle w:val="SingleTxtG"/>
        <w:spacing w:before="120"/>
        <w:jc w:val="center"/>
        <w:rPr>
          <w:b/>
          <w:lang w:val="fr-FR"/>
        </w:rPr>
      </w:pPr>
      <w:r>
        <w:rPr>
          <w:b/>
          <w:noProof/>
          <w:lang w:val="en-GB" w:eastAsia="en-GB"/>
        </w:rPr>
        <w:drawing>
          <wp:inline distT="0" distB="0" distL="0" distR="0" wp14:anchorId="72F99EF9" wp14:editId="6D54B622">
            <wp:extent cx="3057525" cy="2181225"/>
            <wp:effectExtent l="0" t="0" r="9525" b="9525"/>
            <wp:docPr id="6" name="Picture 2" descr="Damaged-batteries-label-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maged-batteries-label-frenc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7525" cy="2181225"/>
                    </a:xfrm>
                    <a:prstGeom prst="rect">
                      <a:avLst/>
                    </a:prstGeom>
                    <a:noFill/>
                    <a:ln>
                      <a:noFill/>
                    </a:ln>
                  </pic:spPr>
                </pic:pic>
              </a:graphicData>
            </a:graphic>
          </wp:inline>
        </w:drawing>
      </w:r>
    </w:p>
    <w:p w:rsidR="00742FD7" w:rsidRPr="009503F8" w:rsidRDefault="00742FD7" w:rsidP="00742FD7">
      <w:pPr>
        <w:pStyle w:val="SingleTxtG"/>
        <w:jc w:val="center"/>
        <w:rPr>
          <w:lang w:val="fr-FR"/>
        </w:rPr>
      </w:pPr>
      <w:r w:rsidRPr="009503F8">
        <w:rPr>
          <w:lang w:val="fr-FR"/>
        </w:rPr>
        <w:t>Marque pour les batteries au lithium</w:t>
      </w:r>
    </w:p>
    <w:p w:rsidR="00742FD7" w:rsidRPr="00E16DCF" w:rsidRDefault="00742FD7" w:rsidP="00E43AB1">
      <w:pPr>
        <w:pStyle w:val="SingleTxtG"/>
        <w:spacing w:after="60" w:line="220" w:lineRule="exact"/>
        <w:jc w:val="left"/>
        <w:rPr>
          <w:lang w:val="fr-FR"/>
        </w:rPr>
      </w:pPr>
      <w:r w:rsidRPr="00E16DCF">
        <w:rPr>
          <w:lang w:val="fr-FR"/>
        </w:rPr>
        <w:t>*</w:t>
      </w:r>
      <w:r w:rsidRPr="00E16DCF">
        <w:rPr>
          <w:lang w:val="fr-FR"/>
        </w:rPr>
        <w:tab/>
      </w:r>
      <w:r>
        <w:rPr>
          <w:lang w:val="fr-FR"/>
        </w:rPr>
        <w:t>Emplacement pour le ou les numéro(s) ONU</w:t>
      </w:r>
    </w:p>
    <w:p w:rsidR="00742FD7" w:rsidRDefault="00742FD7" w:rsidP="00E43AB1">
      <w:pPr>
        <w:pStyle w:val="SingleTxtG"/>
        <w:spacing w:after="0" w:line="220" w:lineRule="exact"/>
        <w:jc w:val="left"/>
        <w:rPr>
          <w:lang w:val="fr-FR"/>
        </w:rPr>
      </w:pPr>
      <w:r w:rsidRPr="00124E42">
        <w:rPr>
          <w:lang w:val="fr-FR"/>
        </w:rPr>
        <w:t>**</w:t>
      </w:r>
      <w:r w:rsidRPr="00E16DCF">
        <w:rPr>
          <w:lang w:val="fr-FR"/>
        </w:rPr>
        <w:tab/>
      </w:r>
      <w:r>
        <w:rPr>
          <w:lang w:val="fr-FR"/>
        </w:rPr>
        <w:t>Emplacement pour un numéro de téléphone où l’on peut obtenir des informations complémentaires</w:t>
      </w:r>
    </w:p>
    <w:p w:rsidR="00742FD7" w:rsidRDefault="00742FD7" w:rsidP="00742FD7">
      <w:pPr>
        <w:pStyle w:val="SingleTxtG"/>
        <w:rPr>
          <w:lang w:val="fr-FR"/>
        </w:rPr>
      </w:pPr>
      <w:r w:rsidRPr="00410994">
        <w:rPr>
          <w:lang w:val="fr-FR"/>
        </w:rPr>
        <w:lastRenderedPageBreak/>
        <w:t xml:space="preserve">La marque doit avoir la forme d’un rectangle aux bords hachurés. </w:t>
      </w:r>
      <w:r w:rsidRPr="00410994">
        <w:t xml:space="preserve">Les dimensions </w:t>
      </w:r>
      <w:r>
        <w:t xml:space="preserve">minimales </w:t>
      </w:r>
      <w:r w:rsidRPr="00410994">
        <w:t xml:space="preserve">doivent être de </w:t>
      </w:r>
      <w:r>
        <w:rPr>
          <w:lang w:val="fr-FR"/>
        </w:rPr>
        <w:t>120 mm de largeur x 110 mm</w:t>
      </w:r>
      <w:r w:rsidRPr="00410994">
        <w:rPr>
          <w:lang w:val="fr-FR"/>
        </w:rPr>
        <w:t xml:space="preserve"> </w:t>
      </w:r>
      <w:r>
        <w:rPr>
          <w:lang w:val="fr-FR"/>
        </w:rPr>
        <w:t xml:space="preserve">de hauteur </w:t>
      </w:r>
      <w:r w:rsidRPr="00410994">
        <w:t xml:space="preserve">et l’épaisseur minimale de la ligne hachurée doit être de 5 </w:t>
      </w:r>
      <w:proofErr w:type="spellStart"/>
      <w:r w:rsidRPr="00410994">
        <w:t>mm.</w:t>
      </w:r>
      <w:proofErr w:type="spellEnd"/>
      <w:r w:rsidRPr="00410994">
        <w:t xml:space="preserve"> Le </w:t>
      </w:r>
      <w:r>
        <w:t>symbole</w:t>
      </w:r>
      <w:r w:rsidRPr="00410994">
        <w:t xml:space="preserve"> (groupe de batteries, l’une endommagée, avec une flamme</w:t>
      </w:r>
      <w:r>
        <w:t>, au-dessus du numéro ONU pour les piles ou batteries au lithium métal ou au lithium ionique</w:t>
      </w:r>
      <w:r w:rsidRPr="00410994">
        <w:t xml:space="preserve">) doit être noir sur un fond blanc. Le hachurage doit être </w:t>
      </w:r>
      <w:r>
        <w:t>rouge</w:t>
      </w:r>
      <w:r w:rsidRPr="00410994">
        <w:t>. Si la taille du colis l’exige, les dimensions/l’épaisseur de</w:t>
      </w:r>
      <w:r>
        <w:t xml:space="preserve"> la ligne peuvent être réduites sans dépasser </w:t>
      </w:r>
      <w:r>
        <w:rPr>
          <w:lang w:val="fr-FR"/>
        </w:rPr>
        <w:t>105 mm de largeur x 74 mm</w:t>
      </w:r>
      <w:r w:rsidRPr="00410994">
        <w:rPr>
          <w:lang w:val="fr-FR"/>
        </w:rPr>
        <w:t xml:space="preserve"> </w:t>
      </w:r>
      <w:r>
        <w:rPr>
          <w:lang w:val="fr-FR"/>
        </w:rPr>
        <w:t>de hauteur</w:t>
      </w:r>
      <w:r w:rsidRPr="00410994">
        <w:rPr>
          <w:lang w:val="fr-FR"/>
        </w:rPr>
        <w:t>.</w:t>
      </w:r>
      <w:r>
        <w:rPr>
          <w:lang w:val="fr-FR"/>
        </w:rPr>
        <w:t xml:space="preserve"> </w:t>
      </w:r>
      <w:r w:rsidRPr="004E0C26">
        <w:t xml:space="preserve">Lorsque les dimensions ne </w:t>
      </w:r>
      <w:r w:rsidRPr="006251CA">
        <w:t>sont pas spécifiées, tous les éléments doivent respecter approximativement les proportions représentées</w:t>
      </w:r>
      <w:r>
        <w:t xml:space="preserve"> </w:t>
      </w:r>
      <w:r w:rsidRPr="004E0C26">
        <w:t>ci-dessus.</w:t>
      </w:r>
      <w:r w:rsidR="00D36466">
        <w:rPr>
          <w:lang w:val="fr-FR"/>
        </w:rPr>
        <w:t>»</w:t>
      </w:r>
    </w:p>
    <w:p w:rsidR="006A2631" w:rsidRPr="00D36466" w:rsidRDefault="000121D3" w:rsidP="00D36466">
      <w:pPr>
        <w:pStyle w:val="SingleTxtG"/>
        <w:rPr>
          <w:lang w:val="fr-FR"/>
        </w:rPr>
      </w:pPr>
      <w:r>
        <w:rPr>
          <w:lang w:val="fr-FR"/>
        </w:rPr>
        <w:t>Renuméroter 5.2.1.9 en tant que 5.2.1.10 et renuméroter en conséquence les paragraphes suivants et les références et</w:t>
      </w:r>
      <w:r w:rsidR="00D36466">
        <w:rPr>
          <w:lang w:val="fr-FR"/>
        </w:rPr>
        <w:t xml:space="preserve"> figures de cette sous-section.</w:t>
      </w:r>
    </w:p>
    <w:p w:rsidR="000121D3" w:rsidRPr="00C45121" w:rsidRDefault="000121D3" w:rsidP="00742FD7">
      <w:pPr>
        <w:pStyle w:val="SingleTxtG"/>
        <w:rPr>
          <w:i/>
          <w:lang w:val="fr-FR"/>
        </w:rPr>
      </w:pPr>
      <w:r w:rsidRPr="00C45121">
        <w:rPr>
          <w:i/>
          <w:lang w:val="fr-FR"/>
        </w:rPr>
        <w:t>Amendement de conséquence:</w:t>
      </w:r>
    </w:p>
    <w:p w:rsidR="000121D3" w:rsidRDefault="000121D3" w:rsidP="000121D3">
      <w:pPr>
        <w:pStyle w:val="SingleTxtG"/>
        <w:ind w:left="1701" w:right="521"/>
        <w:rPr>
          <w:rFonts w:ascii="TimesNewRomanPSMT" w:hAnsi="TimesNewRomanPSMT" w:cs="TimesNewRomanPSMT"/>
          <w:lang w:eastAsia="fr-FR"/>
        </w:rPr>
      </w:pPr>
      <w:r>
        <w:rPr>
          <w:rFonts w:ascii="TimesNewRomanPSMT" w:hAnsi="TimesNewRomanPSMT" w:cs="TimesNewRomanPSMT"/>
          <w:lang w:eastAsia="fr-FR"/>
        </w:rPr>
        <w:t>1.7.1.5.1 a), 3.4.1 e), et 5.1.2.3</w:t>
      </w:r>
      <w:r>
        <w:rPr>
          <w:rFonts w:ascii="TimesNewRomanPSMT" w:hAnsi="TimesNewRomanPSMT" w:cs="TimesNewRomanPSMT"/>
          <w:lang w:eastAsia="fr-FR"/>
        </w:rPr>
        <w:tab/>
        <w:t>Remplacer «5.2.1.9» par «5.2.1.10».</w:t>
      </w:r>
    </w:p>
    <w:p w:rsidR="000121D3" w:rsidRDefault="000121D3" w:rsidP="000121D3">
      <w:pPr>
        <w:pStyle w:val="SingleTxtG"/>
        <w:ind w:left="1701" w:right="521"/>
      </w:pPr>
      <w:r>
        <w:rPr>
          <w:rFonts w:ascii="TimesNewRomanPSMT" w:hAnsi="TimesNewRomanPSMT" w:cs="TimesNewRomanPSMT"/>
          <w:lang w:eastAsia="fr-FR"/>
        </w:rPr>
        <w:t>5.1.2.1 b)</w:t>
      </w:r>
      <w:r>
        <w:rPr>
          <w:rFonts w:ascii="TimesNewRomanPSMT" w:hAnsi="TimesNewRomanPSMT" w:cs="TimesNewRomanPSMT"/>
          <w:lang w:eastAsia="fr-FR"/>
        </w:rPr>
        <w:tab/>
        <w:t>Remplacer «5.2.1.9» par «5.2.1.10» et  «5.2.1.9.1» par «5.2.1.10.1».</w:t>
      </w:r>
    </w:p>
    <w:p w:rsidR="00C45121" w:rsidRDefault="00C45121" w:rsidP="00C45121">
      <w:pPr>
        <w:pStyle w:val="SingleTxtG"/>
        <w:rPr>
          <w:lang w:val="fr-FR"/>
        </w:rPr>
      </w:pPr>
      <w:r>
        <w:rPr>
          <w:lang w:val="fr-FR"/>
        </w:rPr>
        <w:t>5.2.2.1.2</w:t>
      </w:r>
      <w:r>
        <w:rPr>
          <w:lang w:val="fr-FR"/>
        </w:rPr>
        <w:tab/>
        <w:t xml:space="preserve">L’amendement </w:t>
      </w:r>
      <w:r>
        <w:t>ne s’applique pas au texte français.</w:t>
      </w:r>
    </w:p>
    <w:p w:rsidR="00742FD7" w:rsidRDefault="00742FD7" w:rsidP="00742FD7">
      <w:pPr>
        <w:pStyle w:val="SingleTxtG"/>
      </w:pPr>
      <w:r>
        <w:rPr>
          <w:lang w:val="fr-FR"/>
        </w:rPr>
        <w:t>5.2.2.1.6 b)</w:t>
      </w:r>
      <w:r>
        <w:rPr>
          <w:lang w:val="fr-FR"/>
        </w:rPr>
        <w:tab/>
      </w:r>
      <w:r w:rsidR="00C45121">
        <w:rPr>
          <w:lang w:val="fr-FR"/>
        </w:rPr>
        <w:t xml:space="preserve">L’amendement </w:t>
      </w:r>
      <w:r w:rsidR="00C45121">
        <w:t>ne s’applique pas au texte français.</w:t>
      </w:r>
    </w:p>
    <w:p w:rsidR="00742FD7" w:rsidRDefault="00C45121" w:rsidP="00742FD7">
      <w:pPr>
        <w:pStyle w:val="SingleTxtG"/>
      </w:pPr>
      <w:r>
        <w:rPr>
          <w:lang w:val="fr-FR"/>
        </w:rPr>
        <w:t>5.2.2.1.11.1</w:t>
      </w:r>
      <w:r w:rsidR="00742FD7">
        <w:rPr>
          <w:lang w:val="fr-FR"/>
        </w:rPr>
        <w:tab/>
      </w:r>
      <w:r w:rsidR="001F3CC1">
        <w:rPr>
          <w:lang w:val="fr-FR"/>
        </w:rPr>
        <w:t xml:space="preserve">L’amendement </w:t>
      </w:r>
      <w:r w:rsidR="001F3CC1">
        <w:t>ne s’applique pas au texte français.</w:t>
      </w:r>
    </w:p>
    <w:p w:rsidR="00742FD7" w:rsidRPr="00E16DCF" w:rsidRDefault="00742FD7" w:rsidP="00742FD7">
      <w:pPr>
        <w:pStyle w:val="SingleTxtG"/>
        <w:rPr>
          <w:i/>
          <w:lang w:val="fr-FR"/>
        </w:rPr>
      </w:pPr>
      <w:r w:rsidRPr="0039551E">
        <w:rPr>
          <w:lang w:val="fr-FR"/>
        </w:rPr>
        <w:t>5.2.2.2.1.1</w:t>
      </w:r>
      <w:r w:rsidRPr="0039551E">
        <w:rPr>
          <w:lang w:val="fr-FR"/>
        </w:rPr>
        <w:tab/>
        <w:t xml:space="preserve">Figure </w:t>
      </w:r>
      <w:r w:rsidR="00C45121">
        <w:rPr>
          <w:lang w:val="fr-FR"/>
        </w:rPr>
        <w:t>5.2.2.2.1.1</w:t>
      </w:r>
      <w:r w:rsidRPr="0039551E">
        <w:rPr>
          <w:lang w:val="fr-FR"/>
        </w:rPr>
        <w:t xml:space="preserve">, dans la légende, pour **, remplacer </w:t>
      </w:r>
      <w:r w:rsidR="00C45121">
        <w:rPr>
          <w:lang w:val="fr-FR"/>
        </w:rPr>
        <w:t>«</w:t>
      </w:r>
      <w:r w:rsidRPr="0039551E">
        <w:rPr>
          <w:lang w:val="fr-FR"/>
        </w:rPr>
        <w:t xml:space="preserve">Les mentions, numéros ou lettres» par «Les mentions, numéros, lettres ou </w:t>
      </w:r>
      <w:r w:rsidRPr="0039551E">
        <w:t>signes conventionnels</w:t>
      </w:r>
      <w:r w:rsidRPr="0039551E">
        <w:rPr>
          <w:lang w:val="fr-FR"/>
        </w:rPr>
        <w:t>».</w:t>
      </w:r>
      <w:r>
        <w:rPr>
          <w:lang w:val="fr-FR"/>
        </w:rPr>
        <w:t xml:space="preserve"> </w:t>
      </w:r>
    </w:p>
    <w:p w:rsidR="00742FD7" w:rsidRDefault="00742FD7" w:rsidP="00742FD7">
      <w:pPr>
        <w:suppressAutoHyphens w:val="0"/>
        <w:autoSpaceDE w:val="0"/>
        <w:autoSpaceDN w:val="0"/>
        <w:adjustRightInd w:val="0"/>
        <w:spacing w:after="120" w:line="240" w:lineRule="auto"/>
        <w:ind w:left="1134"/>
        <w:jc w:val="both"/>
      </w:pPr>
      <w:r>
        <w:t>5.2.2.2.1.2</w:t>
      </w:r>
      <w:r>
        <w:tab/>
        <w:t xml:space="preserve">Ajouter le nouveau Nota suivant </w:t>
      </w:r>
      <w:r w:rsidR="00502D1A">
        <w:t>après le premier paragraphe</w:t>
      </w:r>
      <w:r>
        <w:t>:</w:t>
      </w:r>
    </w:p>
    <w:p w:rsidR="00742FD7" w:rsidRDefault="00742FD7" w:rsidP="00742FD7">
      <w:pPr>
        <w:pStyle w:val="SingleTxtG"/>
      </w:pPr>
      <w:r>
        <w:t>«</w:t>
      </w:r>
      <w:r w:rsidRPr="00457A6A">
        <w:rPr>
          <w:b/>
          <w:i/>
        </w:rPr>
        <w:t>NOTA:</w:t>
      </w:r>
      <w:r w:rsidRPr="00457A6A">
        <w:rPr>
          <w:i/>
        </w:rPr>
        <w:t xml:space="preserve"> </w:t>
      </w:r>
      <w:r w:rsidRPr="00457A6A">
        <w:rPr>
          <w:i/>
        </w:rPr>
        <w:tab/>
        <w:t xml:space="preserve">Lorsque la bouteille est d’un diamètre trop petit pour permettre d’apposer </w:t>
      </w:r>
      <w:r>
        <w:rPr>
          <w:i/>
        </w:rPr>
        <w:t>des</w:t>
      </w:r>
      <w:r w:rsidRPr="00457A6A">
        <w:rPr>
          <w:i/>
        </w:rPr>
        <w:t xml:space="preserve"> étiquette</w:t>
      </w:r>
      <w:r>
        <w:rPr>
          <w:i/>
        </w:rPr>
        <w:t>s</w:t>
      </w:r>
      <w:r w:rsidRPr="00457A6A">
        <w:rPr>
          <w:i/>
        </w:rPr>
        <w:t xml:space="preserve"> de dimensions réduites sur sa partie supérieure non cylindrique, </w:t>
      </w:r>
      <w:r>
        <w:rPr>
          <w:i/>
        </w:rPr>
        <w:t>des</w:t>
      </w:r>
      <w:r w:rsidRPr="00457A6A">
        <w:rPr>
          <w:i/>
        </w:rPr>
        <w:t xml:space="preserve"> étiquette</w:t>
      </w:r>
      <w:r>
        <w:rPr>
          <w:i/>
        </w:rPr>
        <w:t>s</w:t>
      </w:r>
      <w:r w:rsidRPr="00457A6A">
        <w:rPr>
          <w:i/>
        </w:rPr>
        <w:t xml:space="preserve"> de dimensions réduites peu</w:t>
      </w:r>
      <w:r>
        <w:rPr>
          <w:i/>
        </w:rPr>
        <w:t>ven</w:t>
      </w:r>
      <w:r w:rsidRPr="00457A6A">
        <w:rPr>
          <w:i/>
        </w:rPr>
        <w:t>t être apposée sur sa partie cylindrique.</w:t>
      </w:r>
      <w:r>
        <w:t>».</w:t>
      </w:r>
    </w:p>
    <w:p w:rsidR="00E15EC6" w:rsidRPr="00E15EC6" w:rsidRDefault="00E15EC6" w:rsidP="00E15EC6">
      <w:pPr>
        <w:pStyle w:val="SingleTxtG"/>
        <w:rPr>
          <w:color w:val="000000"/>
          <w:lang w:val="fr-FR"/>
        </w:rPr>
      </w:pPr>
      <w:r w:rsidRPr="00E15EC6">
        <w:rPr>
          <w:color w:val="000000"/>
          <w:lang w:val="fr-FR"/>
        </w:rPr>
        <w:t>«5.2.2.2.1.3</w:t>
      </w:r>
      <w:r w:rsidRPr="00E15EC6">
        <w:rPr>
          <w:color w:val="000000"/>
          <w:lang w:val="fr-FR"/>
        </w:rPr>
        <w:tab/>
        <w:t>Ajouter le paragraphe suivant après l’alinéa c):</w:t>
      </w:r>
    </w:p>
    <w:p w:rsidR="00E15EC6" w:rsidRPr="00E15EC6" w:rsidRDefault="00E15EC6" w:rsidP="00E15EC6">
      <w:pPr>
        <w:pStyle w:val="SingleTxtG"/>
        <w:rPr>
          <w:color w:val="000000"/>
          <w:lang w:val="fr-FR"/>
        </w:rPr>
      </w:pPr>
      <w:r w:rsidRPr="00E15EC6">
        <w:rPr>
          <w:color w:val="000000"/>
          <w:lang w:val="fr-FR"/>
        </w:rPr>
        <w:t xml:space="preserve">«Toutefois, pour l'étiquette du modèle No 9A, la moitié supérieure de l’étiquette ne doit contenir que les sept lignes verticales du signe conventionnel et la moitié inférieure doit contenir le groupe de </w:t>
      </w:r>
      <w:r w:rsidR="007C0CF9">
        <w:rPr>
          <w:color w:val="000000"/>
          <w:lang w:val="fr-FR"/>
        </w:rPr>
        <w:t>piles</w:t>
      </w:r>
      <w:r w:rsidRPr="00E15EC6">
        <w:rPr>
          <w:color w:val="000000"/>
          <w:lang w:val="fr-FR"/>
        </w:rPr>
        <w:t xml:space="preserve"> du signe conventionnel et le numéro de la classe.».</w:t>
      </w:r>
    </w:p>
    <w:p w:rsidR="00E15EC6" w:rsidRPr="00E15EC6" w:rsidRDefault="00E15EC6" w:rsidP="00E15EC6">
      <w:pPr>
        <w:pStyle w:val="SingleTxtG"/>
        <w:rPr>
          <w:color w:val="000000"/>
          <w:lang w:val="fr-FR"/>
        </w:rPr>
      </w:pPr>
      <w:r w:rsidRPr="00E15EC6">
        <w:rPr>
          <w:color w:val="000000"/>
          <w:lang w:val="fr-FR"/>
        </w:rPr>
        <w:t>Au début du dernier paragraphe, ajouter: «Sauf pour le modèle No 9A,»</w:t>
      </w:r>
    </w:p>
    <w:p w:rsidR="00742FD7" w:rsidRPr="00F657E2" w:rsidRDefault="00742FD7" w:rsidP="00742FD7">
      <w:pPr>
        <w:pStyle w:val="SingleTxtG"/>
        <w:rPr>
          <w:b/>
          <w:lang w:val="fr-FR"/>
        </w:rPr>
      </w:pPr>
      <w:r w:rsidRPr="00F657E2">
        <w:rPr>
          <w:lang w:val="fr-FR"/>
        </w:rPr>
        <w:t>5.2.2.2.2</w:t>
      </w:r>
      <w:r w:rsidRPr="00F657E2">
        <w:rPr>
          <w:lang w:val="fr-FR"/>
        </w:rPr>
        <w:tab/>
        <w:t>Sous «</w:t>
      </w:r>
      <w:r w:rsidR="00ED265E" w:rsidRPr="00ED265E">
        <w:rPr>
          <w:b/>
          <w:lang w:val="fr-FR"/>
        </w:rPr>
        <w:t>DANGER DE</w:t>
      </w:r>
      <w:r w:rsidR="00ED265E">
        <w:rPr>
          <w:lang w:val="fr-FR"/>
        </w:rPr>
        <w:t xml:space="preserve"> </w:t>
      </w:r>
      <w:r w:rsidRPr="00F657E2">
        <w:rPr>
          <w:b/>
          <w:bCs/>
          <w:lang w:val="fr-FR"/>
        </w:rPr>
        <w:t>CLASSE 9 Matières et objets dangereux divers</w:t>
      </w:r>
      <w:r>
        <w:rPr>
          <w:b/>
          <w:bCs/>
          <w:lang w:val="fr-FR"/>
        </w:rPr>
        <w:t>»</w:t>
      </w:r>
      <w:r>
        <w:rPr>
          <w:lang w:val="fr-FR"/>
        </w:rPr>
        <w:t xml:space="preserve">, </w:t>
      </w:r>
      <w:r w:rsidR="00ED265E">
        <w:rPr>
          <w:lang w:val="fr-FR"/>
        </w:rPr>
        <w:t xml:space="preserve">après le modèle No 9, </w:t>
      </w:r>
      <w:r w:rsidRPr="00F657E2">
        <w:rPr>
          <w:lang w:val="fr-FR"/>
        </w:rPr>
        <w:t>ajouter le nouveau modèle d’étiquette</w:t>
      </w:r>
      <w:r>
        <w:rPr>
          <w:lang w:val="fr-FR"/>
        </w:rPr>
        <w:t xml:space="preserve"> suivant:</w:t>
      </w:r>
    </w:p>
    <w:p w:rsidR="00742FD7" w:rsidRPr="00E16DCF" w:rsidRDefault="001703B7" w:rsidP="00742FD7">
      <w:pPr>
        <w:pStyle w:val="SingleTxtG"/>
        <w:jc w:val="center"/>
        <w:rPr>
          <w:b/>
          <w:lang w:val="fr-FR"/>
        </w:rPr>
      </w:pPr>
      <w:r>
        <w:rPr>
          <w:rFonts w:ascii="Arial" w:hAnsi="Arial" w:cs="Arial"/>
          <w:noProof/>
          <w:lang w:val="en-GB" w:eastAsia="en-GB"/>
        </w:rPr>
        <w:drawing>
          <wp:inline distT="0" distB="0" distL="0" distR="0" wp14:anchorId="4A2F0CB3" wp14:editId="0A071CE0">
            <wp:extent cx="2314575" cy="2324100"/>
            <wp:effectExtent l="0" t="0" r="9525" b="0"/>
            <wp:docPr id="5" name="Picture 3" descr="Label 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el 9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4575" cy="2324100"/>
                    </a:xfrm>
                    <a:prstGeom prst="rect">
                      <a:avLst/>
                    </a:prstGeom>
                    <a:noFill/>
                    <a:ln>
                      <a:noFill/>
                    </a:ln>
                  </pic:spPr>
                </pic:pic>
              </a:graphicData>
            </a:graphic>
          </wp:inline>
        </w:drawing>
      </w:r>
    </w:p>
    <w:p w:rsidR="00742FD7" w:rsidRPr="00636D77" w:rsidRDefault="00742FD7" w:rsidP="00742FD7">
      <w:pPr>
        <w:pStyle w:val="SingleTxtG"/>
        <w:spacing w:before="120"/>
        <w:jc w:val="center"/>
        <w:rPr>
          <w:lang w:val="fr-FR"/>
        </w:rPr>
      </w:pPr>
      <w:r w:rsidRPr="00636D77">
        <w:rPr>
          <w:lang w:val="fr-FR"/>
        </w:rPr>
        <w:lastRenderedPageBreak/>
        <w:t>(No 9A)</w:t>
      </w:r>
    </w:p>
    <w:p w:rsidR="00742FD7" w:rsidRPr="007B61C1" w:rsidRDefault="00742FD7" w:rsidP="00742FD7">
      <w:pPr>
        <w:pStyle w:val="SingleTxtG"/>
        <w:jc w:val="center"/>
      </w:pPr>
      <w:r>
        <w:t>Signe conventionnel</w:t>
      </w:r>
      <w:r w:rsidRPr="007B61C1">
        <w:t xml:space="preserve"> (sept lignes verticales </w:t>
      </w:r>
      <w:r>
        <w:t xml:space="preserve">noires </w:t>
      </w:r>
      <w:r w:rsidRPr="007B61C1">
        <w:t xml:space="preserve">dans la moitié supérieure; </w:t>
      </w:r>
      <w:r w:rsidRPr="00410994">
        <w:t xml:space="preserve">groupe de </w:t>
      </w:r>
      <w:r w:rsidR="007C0CF9">
        <w:t>piles</w:t>
      </w:r>
      <w:r w:rsidRPr="00410994">
        <w:t>, l’une endommagée, avec une flamme</w:t>
      </w:r>
      <w:r>
        <w:t>,</w:t>
      </w:r>
      <w:r w:rsidRPr="007B61C1">
        <w:t xml:space="preserve"> </w:t>
      </w:r>
      <w:r>
        <w:t>dans la moitié inférieure</w:t>
      </w:r>
      <w:r w:rsidRPr="007B61C1">
        <w:t xml:space="preserve">): </w:t>
      </w:r>
      <w:r>
        <w:t>noir</w:t>
      </w:r>
      <w:r w:rsidRPr="007B61C1">
        <w:t xml:space="preserve"> sur fond blanc;</w:t>
      </w:r>
      <w:r>
        <w:t xml:space="preserve"> </w:t>
      </w:r>
      <w:r w:rsidRPr="007B61C1">
        <w:t>chiffre '9' souligné dans le coin inférieur</w:t>
      </w:r>
    </w:p>
    <w:p w:rsidR="00742FD7" w:rsidRPr="0002681D" w:rsidRDefault="00742FD7" w:rsidP="00742FD7">
      <w:pPr>
        <w:pStyle w:val="H1G"/>
        <w:rPr>
          <w:lang w:val="fr-FR"/>
        </w:rPr>
      </w:pPr>
      <w:r>
        <w:rPr>
          <w:lang w:val="fr-FR"/>
        </w:rPr>
        <w:tab/>
      </w:r>
      <w:r>
        <w:rPr>
          <w:lang w:val="fr-FR"/>
        </w:rPr>
        <w:tab/>
      </w:r>
      <w:r w:rsidRPr="0002681D">
        <w:rPr>
          <w:lang w:val="fr-FR"/>
        </w:rPr>
        <w:t>Chapitre 5.3</w:t>
      </w:r>
    </w:p>
    <w:p w:rsidR="00742FD7" w:rsidRDefault="006A4F1F" w:rsidP="00742FD7">
      <w:pPr>
        <w:pStyle w:val="SingleTxtG"/>
        <w:tabs>
          <w:tab w:val="left" w:pos="2268"/>
        </w:tabs>
      </w:pPr>
      <w:r>
        <w:t>5.3.1.2</w:t>
      </w:r>
      <w:r w:rsidR="00742FD7">
        <w:tab/>
        <w:t xml:space="preserve">Ajouter </w:t>
      </w:r>
      <w:r>
        <w:t>la</w:t>
      </w:r>
      <w:r w:rsidR="00742FD7">
        <w:t xml:space="preserve"> nouvelle phrase suivante à la fin:</w:t>
      </w:r>
    </w:p>
    <w:p w:rsidR="00742FD7" w:rsidRDefault="00742FD7" w:rsidP="00742FD7">
      <w:pPr>
        <w:pStyle w:val="SingleTxtG"/>
        <w:tabs>
          <w:tab w:val="left" w:pos="2268"/>
        </w:tabs>
      </w:pPr>
      <w:r w:rsidRPr="00C20FF7">
        <w:t>«</w:t>
      </w:r>
      <w:r>
        <w:t xml:space="preserve">Si tous les compartiments doivent porter les mêmes plaques-étiquettes, </w:t>
      </w:r>
      <w:r w:rsidR="00E15EC6" w:rsidRPr="00E15EC6">
        <w:t>il est possible de ne les apposer</w:t>
      </w:r>
      <w:r>
        <w:t xml:space="preserve"> qu’une fois de chaque côté </w:t>
      </w:r>
      <w:r w:rsidR="003338E5">
        <w:t xml:space="preserve">et à chaque extrémité </w:t>
      </w:r>
      <w:r w:rsidR="006A4F1F">
        <w:t>du conteneur citerne ou de la citerne mobile</w:t>
      </w:r>
      <w:r>
        <w:t>.</w:t>
      </w:r>
      <w:r w:rsidRPr="00C20FF7">
        <w:t>».</w:t>
      </w:r>
    </w:p>
    <w:p w:rsidR="00A963DD" w:rsidRDefault="00B35B4C" w:rsidP="00A963DD">
      <w:pPr>
        <w:pStyle w:val="SingleTxtG"/>
        <w:spacing w:line="240" w:lineRule="auto"/>
        <w:rPr>
          <w:rFonts w:eastAsia="Calibri"/>
        </w:rPr>
      </w:pPr>
      <w:r>
        <w:rPr>
          <w:rFonts w:eastAsia="Calibri"/>
        </w:rPr>
        <w:t>5.3.1.4.1</w:t>
      </w:r>
      <w:r w:rsidR="00A963DD">
        <w:rPr>
          <w:rFonts w:eastAsia="Calibri"/>
        </w:rPr>
        <w:tab/>
        <w:t xml:space="preserve">Dans la dernière phrase du </w:t>
      </w:r>
      <w:r>
        <w:rPr>
          <w:rFonts w:eastAsia="Calibri"/>
        </w:rPr>
        <w:t>deuxième</w:t>
      </w:r>
      <w:r w:rsidR="00A963DD">
        <w:rPr>
          <w:rFonts w:eastAsia="Calibri"/>
        </w:rPr>
        <w:t xml:space="preserve"> paragraphe, au début, supprimer «Dans ce cas, toutefois,».</w:t>
      </w:r>
    </w:p>
    <w:p w:rsidR="00742FD7" w:rsidRDefault="006A4F1F" w:rsidP="00742FD7">
      <w:pPr>
        <w:pStyle w:val="SingleTxtG"/>
        <w:tabs>
          <w:tab w:val="left" w:pos="2268"/>
        </w:tabs>
      </w:pPr>
      <w:r>
        <w:t>5.3.3</w:t>
      </w:r>
      <w:r w:rsidR="00742FD7">
        <w:tab/>
      </w:r>
      <w:r w:rsidR="00742FD7">
        <w:tab/>
        <w:t>Dans le dernier paragraphe avant le Nota, au début, remplacer «Le marquage doit être un» par «La marque doit avoir la forme d’un» et ajouter une nouvelle quatrième phrase après «</w:t>
      </w:r>
      <w:r w:rsidR="00742FD7" w:rsidRPr="00F04842">
        <w:t>Les côtés doivent</w:t>
      </w:r>
      <w:r w:rsidR="00742FD7">
        <w:t xml:space="preserve"> </w:t>
      </w:r>
      <w:r w:rsidR="00742FD7" w:rsidRPr="00F04842">
        <w:t xml:space="preserve">mesurer au moins 250 </w:t>
      </w:r>
      <w:proofErr w:type="spellStart"/>
      <w:r w:rsidR="00742FD7" w:rsidRPr="00F04842">
        <w:t>mm.</w:t>
      </w:r>
      <w:proofErr w:type="spellEnd"/>
      <w:r w:rsidR="00742FD7">
        <w:t>» pour lire comme suit: «</w:t>
      </w:r>
      <w:r w:rsidR="00742FD7" w:rsidRPr="00F04842">
        <w:t xml:space="preserve">Il est possible, sur les </w:t>
      </w:r>
      <w:r>
        <w:t xml:space="preserve">conteneurs-citernes ou les </w:t>
      </w:r>
      <w:r w:rsidR="00742FD7" w:rsidRPr="00F04842">
        <w:t xml:space="preserve">citernes mobiles d’une contenance n’excédant pas 3 000 litres et dont la surface disponible ne suffit pas à apposer les </w:t>
      </w:r>
      <w:r w:rsidR="00742FD7">
        <w:t xml:space="preserve">marques </w:t>
      </w:r>
      <w:r w:rsidR="00742FD7" w:rsidRPr="00F04842">
        <w:t>prescrites, de réduire les dimensions minimales des côtés à 100 </w:t>
      </w:r>
      <w:proofErr w:type="spellStart"/>
      <w:r w:rsidR="00742FD7" w:rsidRPr="00F04842">
        <w:t>mm.</w:t>
      </w:r>
      <w:proofErr w:type="spellEnd"/>
      <w:r w:rsidR="00742FD7">
        <w:t>».</w:t>
      </w:r>
    </w:p>
    <w:p w:rsidR="008870C3" w:rsidRDefault="006A4F1F" w:rsidP="00742FD7">
      <w:pPr>
        <w:pStyle w:val="SingleTxtG"/>
        <w:tabs>
          <w:tab w:val="left" w:pos="2268"/>
        </w:tabs>
        <w:spacing w:after="60"/>
      </w:pPr>
      <w:r>
        <w:t>5.3.6.2</w:t>
      </w:r>
      <w:r w:rsidR="00742FD7" w:rsidRPr="00D565D5">
        <w:tab/>
        <w:t xml:space="preserve">Ajouter la nouvelle phrase suivante </w:t>
      </w:r>
      <w:r>
        <w:t>avant la dernière phrase</w:t>
      </w:r>
      <w:r w:rsidR="00742FD7" w:rsidRPr="00D565D5">
        <w:t xml:space="preserve">: </w:t>
      </w:r>
    </w:p>
    <w:p w:rsidR="00742FD7" w:rsidRPr="00D565D5" w:rsidRDefault="00742FD7" w:rsidP="00742FD7">
      <w:pPr>
        <w:pStyle w:val="SingleTxtG"/>
        <w:tabs>
          <w:tab w:val="left" w:pos="2268"/>
        </w:tabs>
        <w:spacing w:after="60"/>
      </w:pPr>
      <w:r w:rsidRPr="00D565D5">
        <w:t xml:space="preserve">«Il est possible, sur les </w:t>
      </w:r>
      <w:r w:rsidR="006A4F1F">
        <w:t xml:space="preserve">conteneurs-citernes ou les </w:t>
      </w:r>
      <w:r w:rsidRPr="00D565D5">
        <w:t>citernes mobiles d’une contenance n’excédant pas 3 000 litres et dont la surface disponible ne suffit pas à apposer les marques prescrites, de réduire les dimensions minimales à 100 mm x 100 </w:t>
      </w:r>
      <w:proofErr w:type="spellStart"/>
      <w:r w:rsidRPr="00D565D5">
        <w:t>mm.</w:t>
      </w:r>
      <w:proofErr w:type="spellEnd"/>
      <w:r w:rsidRPr="00D565D5">
        <w:t>».</w:t>
      </w:r>
    </w:p>
    <w:p w:rsidR="00742FD7" w:rsidRPr="005940F6" w:rsidRDefault="00742FD7" w:rsidP="00742FD7">
      <w:pPr>
        <w:pStyle w:val="H1G"/>
        <w:rPr>
          <w:lang w:val="fr-FR"/>
        </w:rPr>
      </w:pPr>
      <w:r w:rsidRPr="0002681D">
        <w:rPr>
          <w:lang w:val="fr-FR"/>
        </w:rPr>
        <w:tab/>
      </w:r>
      <w:r w:rsidRPr="0002681D">
        <w:rPr>
          <w:lang w:val="fr-FR"/>
        </w:rPr>
        <w:tab/>
      </w:r>
      <w:r w:rsidRPr="005940F6">
        <w:rPr>
          <w:lang w:val="fr-FR"/>
        </w:rPr>
        <w:t xml:space="preserve">Chapitre </w:t>
      </w:r>
      <w:r>
        <w:rPr>
          <w:lang w:val="fr-FR"/>
        </w:rPr>
        <w:t>5.4</w:t>
      </w:r>
    </w:p>
    <w:p w:rsidR="00742FD7" w:rsidRDefault="00742FD7" w:rsidP="00742FD7">
      <w:pPr>
        <w:pStyle w:val="SingleTxtG"/>
        <w:rPr>
          <w:lang w:val="fr-FR"/>
        </w:rPr>
      </w:pPr>
      <w:r>
        <w:rPr>
          <w:lang w:val="fr-FR"/>
        </w:rPr>
        <w:t xml:space="preserve">Ajouter un nouveau </w:t>
      </w:r>
      <w:r w:rsidR="00B62922">
        <w:rPr>
          <w:lang w:val="fr-FR"/>
        </w:rPr>
        <w:t>5.4.1.1.20</w:t>
      </w:r>
      <w:r>
        <w:rPr>
          <w:lang w:val="fr-FR"/>
        </w:rPr>
        <w:t xml:space="preserve"> pour lire comme suit:</w:t>
      </w:r>
    </w:p>
    <w:p w:rsidR="00742FD7" w:rsidRDefault="00742FD7" w:rsidP="00742FD7">
      <w:pPr>
        <w:pStyle w:val="SingleTxtG"/>
        <w:tabs>
          <w:tab w:val="left" w:pos="2268"/>
        </w:tabs>
        <w:rPr>
          <w:i/>
          <w:iCs/>
          <w:lang w:val="fr-FR"/>
        </w:rPr>
      </w:pPr>
      <w:r>
        <w:rPr>
          <w:lang w:val="fr-FR"/>
        </w:rPr>
        <w:t>«</w:t>
      </w:r>
      <w:r w:rsidR="00B62922">
        <w:rPr>
          <w:lang w:val="fr-FR"/>
        </w:rPr>
        <w:t>5.4.1.1.20</w:t>
      </w:r>
      <w:r w:rsidR="00B62922">
        <w:rPr>
          <w:lang w:val="fr-FR"/>
        </w:rPr>
        <w:tab/>
      </w:r>
      <w:r>
        <w:rPr>
          <w:lang w:val="fr-FR"/>
        </w:rPr>
        <w:tab/>
      </w:r>
      <w:r w:rsidR="00B62922">
        <w:rPr>
          <w:i/>
          <w:lang w:val="fr-FR"/>
        </w:rPr>
        <w:t xml:space="preserve">Dispositions spéciales pour le transport des matières classées </w:t>
      </w:r>
      <w:r w:rsidR="00CB2BEA">
        <w:rPr>
          <w:i/>
          <w:lang w:val="fr-FR"/>
        </w:rPr>
        <w:t>conformément au</w:t>
      </w:r>
      <w:r w:rsidR="00B62922">
        <w:rPr>
          <w:i/>
          <w:lang w:val="fr-FR"/>
        </w:rPr>
        <w:t xml:space="preserve"> 2.1.2.8</w:t>
      </w:r>
    </w:p>
    <w:p w:rsidR="00742FD7" w:rsidRDefault="00742FD7" w:rsidP="00742FD7">
      <w:pPr>
        <w:pStyle w:val="SingleTxtG"/>
        <w:rPr>
          <w:lang w:val="fr-FR"/>
        </w:rPr>
      </w:pPr>
      <w:r>
        <w:rPr>
          <w:lang w:val="fr-FR"/>
        </w:rPr>
        <w:t xml:space="preserve">Pour le transport conformément au </w:t>
      </w:r>
      <w:r w:rsidR="00CB2BEA">
        <w:rPr>
          <w:lang w:val="fr-FR"/>
        </w:rPr>
        <w:t>2.1.2.8</w:t>
      </w:r>
      <w:r>
        <w:rPr>
          <w:lang w:val="fr-FR"/>
        </w:rPr>
        <w:t xml:space="preserve">, </w:t>
      </w:r>
      <w:r w:rsidRPr="00D71D04">
        <w:rPr>
          <w:lang w:val="fr-FR"/>
        </w:rPr>
        <w:t>une mention doit</w:t>
      </w:r>
      <w:r>
        <w:rPr>
          <w:lang w:val="fr-FR"/>
        </w:rPr>
        <w:t xml:space="preserve"> </w:t>
      </w:r>
      <w:r w:rsidRPr="00D71D04">
        <w:rPr>
          <w:lang w:val="fr-FR"/>
        </w:rPr>
        <w:t>figurer dans le document de transport</w:t>
      </w:r>
      <w:r>
        <w:rPr>
          <w:lang w:val="fr-FR"/>
        </w:rPr>
        <w:t xml:space="preserve"> comme suit: </w:t>
      </w:r>
      <w:r w:rsidR="00D932E6">
        <w:rPr>
          <w:lang w:val="fr-FR"/>
        </w:rPr>
        <w:t>«</w:t>
      </w:r>
      <w:r>
        <w:rPr>
          <w:lang w:val="fr-FR"/>
        </w:rPr>
        <w:t xml:space="preserve">Classé conformément au </w:t>
      </w:r>
      <w:r w:rsidR="00CB2BEA">
        <w:rPr>
          <w:lang w:val="fr-FR"/>
        </w:rPr>
        <w:t>2.1.2.8</w:t>
      </w:r>
      <w:r w:rsidR="00D932E6">
        <w:rPr>
          <w:iCs/>
        </w:rPr>
        <w:t>»</w:t>
      </w:r>
      <w:r w:rsidR="008870C3">
        <w:rPr>
          <w:lang w:val="fr-FR"/>
        </w:rPr>
        <w:t>.»</w:t>
      </w:r>
    </w:p>
    <w:p w:rsidR="00742FD7" w:rsidRPr="00963712" w:rsidRDefault="00742FD7" w:rsidP="00742FD7">
      <w:pPr>
        <w:pStyle w:val="SingleTxtG"/>
        <w:tabs>
          <w:tab w:val="left" w:pos="2694"/>
        </w:tabs>
        <w:rPr>
          <w:lang w:val="fr-FR"/>
        </w:rPr>
      </w:pPr>
      <w:r>
        <w:rPr>
          <w:lang w:val="fr-FR"/>
        </w:rPr>
        <w:t>Ajouter un nouveau</w:t>
      </w:r>
      <w:r w:rsidRPr="00963712">
        <w:rPr>
          <w:lang w:val="fr-FR"/>
        </w:rPr>
        <w:t xml:space="preserve"> </w:t>
      </w:r>
      <w:r w:rsidR="000A7EC2">
        <w:rPr>
          <w:lang w:val="fr-FR"/>
        </w:rPr>
        <w:t>5.4.1.1.21</w:t>
      </w:r>
      <w:r w:rsidRPr="00963712">
        <w:rPr>
          <w:lang w:val="fr-FR"/>
        </w:rPr>
        <w:t xml:space="preserve"> </w:t>
      </w:r>
      <w:r>
        <w:rPr>
          <w:lang w:val="fr-FR"/>
        </w:rPr>
        <w:t>pour lire comme suit:</w:t>
      </w:r>
    </w:p>
    <w:p w:rsidR="00742FD7" w:rsidRPr="00E16DCF" w:rsidRDefault="00742FD7" w:rsidP="00742FD7">
      <w:pPr>
        <w:pStyle w:val="SingleTxtG"/>
        <w:rPr>
          <w:i/>
          <w:lang w:val="fr-FR"/>
        </w:rPr>
      </w:pPr>
      <w:r>
        <w:rPr>
          <w:lang w:val="fr-FR"/>
        </w:rPr>
        <w:t>«</w:t>
      </w:r>
      <w:r w:rsidR="000A7EC2">
        <w:rPr>
          <w:lang w:val="fr-FR"/>
        </w:rPr>
        <w:t>5.4.1.1.21</w:t>
      </w:r>
      <w:r w:rsidRPr="00BC6B18">
        <w:rPr>
          <w:lang w:val="fr-FR"/>
        </w:rPr>
        <w:tab/>
      </w:r>
      <w:r w:rsidR="000A7EC2">
        <w:rPr>
          <w:i/>
          <w:lang w:val="fr-FR"/>
        </w:rPr>
        <w:t xml:space="preserve">Dispositions spéciales pour le transport </w:t>
      </w:r>
      <w:proofErr w:type="spellStart"/>
      <w:r>
        <w:rPr>
          <w:i/>
          <w:lang w:val="fr-FR"/>
        </w:rPr>
        <w:t>des</w:t>
      </w:r>
      <w:proofErr w:type="spellEnd"/>
      <w:r>
        <w:rPr>
          <w:i/>
          <w:lang w:val="fr-FR"/>
        </w:rPr>
        <w:t xml:space="preserve"> Nos ONU</w:t>
      </w:r>
      <w:r w:rsidRPr="00E16DCF">
        <w:rPr>
          <w:i/>
          <w:lang w:val="fr-FR"/>
        </w:rPr>
        <w:t xml:space="preserve"> 352</w:t>
      </w:r>
      <w:r>
        <w:rPr>
          <w:i/>
          <w:lang w:val="fr-FR"/>
        </w:rPr>
        <w:t>8</w:t>
      </w:r>
      <w:r w:rsidRPr="00E16DCF">
        <w:rPr>
          <w:i/>
          <w:lang w:val="fr-FR"/>
        </w:rPr>
        <w:t xml:space="preserve">, </w:t>
      </w:r>
      <w:r>
        <w:rPr>
          <w:i/>
          <w:lang w:val="fr-FR"/>
        </w:rPr>
        <w:t>3529</w:t>
      </w:r>
      <w:r w:rsidRPr="00E16DCF">
        <w:rPr>
          <w:i/>
          <w:lang w:val="fr-FR"/>
        </w:rPr>
        <w:t xml:space="preserve"> </w:t>
      </w:r>
      <w:r>
        <w:rPr>
          <w:i/>
          <w:lang w:val="fr-FR"/>
        </w:rPr>
        <w:t>et</w:t>
      </w:r>
      <w:r w:rsidRPr="00E16DCF">
        <w:rPr>
          <w:i/>
          <w:lang w:val="fr-FR"/>
        </w:rPr>
        <w:t xml:space="preserve"> </w:t>
      </w:r>
      <w:r>
        <w:rPr>
          <w:i/>
          <w:lang w:val="fr-FR"/>
        </w:rPr>
        <w:t>3530</w:t>
      </w:r>
    </w:p>
    <w:p w:rsidR="008C1BBA" w:rsidRDefault="00475DD2" w:rsidP="008C1BBA">
      <w:pPr>
        <w:pStyle w:val="SingleTxtG"/>
        <w:rPr>
          <w:iCs/>
        </w:rPr>
      </w:pPr>
      <w:r w:rsidRPr="003E012D">
        <w:rPr>
          <w:iCs/>
        </w:rPr>
        <w:t xml:space="preserve">Pour le transport </w:t>
      </w:r>
      <w:proofErr w:type="spellStart"/>
      <w:r w:rsidRPr="003E012D">
        <w:rPr>
          <w:iCs/>
        </w:rPr>
        <w:t>des</w:t>
      </w:r>
      <w:proofErr w:type="spellEnd"/>
      <w:r w:rsidRPr="003E012D">
        <w:rPr>
          <w:iCs/>
        </w:rPr>
        <w:t xml:space="preserve"> Nos ONU 3528, 3529 et 3530, lorsque qu’un document de transport est requis par la disposition spéciale 363, celui-ci doit contenir la mention suivante: </w:t>
      </w:r>
      <w:r w:rsidR="00D932E6">
        <w:rPr>
          <w:lang w:val="fr-FR"/>
        </w:rPr>
        <w:t>«</w:t>
      </w:r>
      <w:r w:rsidRPr="003E012D">
        <w:rPr>
          <w:iCs/>
        </w:rPr>
        <w:t>Transport selon la disposition spéciale 363</w:t>
      </w:r>
      <w:r w:rsidR="00D932E6">
        <w:rPr>
          <w:iCs/>
        </w:rPr>
        <w:t>»</w:t>
      </w:r>
      <w:r w:rsidRPr="003E012D">
        <w:rPr>
          <w:iCs/>
        </w:rPr>
        <w:t>.</w:t>
      </w:r>
      <w:r w:rsidR="00742FD7" w:rsidRPr="00132953">
        <w:rPr>
          <w:iCs/>
        </w:rPr>
        <w:t>».</w:t>
      </w:r>
    </w:p>
    <w:p w:rsidR="00E31C61" w:rsidRPr="00E31C61" w:rsidRDefault="00E31C61" w:rsidP="00E31C61">
      <w:pPr>
        <w:spacing w:after="120"/>
        <w:ind w:left="1134" w:right="1134"/>
        <w:jc w:val="both"/>
      </w:pPr>
      <w:r w:rsidRPr="00E31C61">
        <w:t>Renuméroter le 5.4.1.1.20 actuel en tant que 5.4.1.1.22.</w:t>
      </w:r>
    </w:p>
    <w:p w:rsidR="00742FD7" w:rsidRPr="00855A13" w:rsidRDefault="00742FD7" w:rsidP="00742FD7">
      <w:pPr>
        <w:pStyle w:val="H1G"/>
        <w:rPr>
          <w:lang w:val="fr-FR"/>
        </w:rPr>
      </w:pPr>
      <w:r w:rsidRPr="00855A13">
        <w:rPr>
          <w:lang w:val="fr-FR"/>
        </w:rPr>
        <w:tab/>
      </w:r>
      <w:r w:rsidRPr="00855A13">
        <w:rPr>
          <w:lang w:val="fr-FR"/>
        </w:rPr>
        <w:tab/>
        <w:t xml:space="preserve">Chapitre </w:t>
      </w:r>
      <w:r>
        <w:rPr>
          <w:lang w:val="fr-FR"/>
        </w:rPr>
        <w:t>5.5</w:t>
      </w:r>
    </w:p>
    <w:p w:rsidR="00742FD7" w:rsidRDefault="00742FD7" w:rsidP="00742FD7">
      <w:pPr>
        <w:pStyle w:val="SingleTxtG"/>
      </w:pPr>
      <w:r>
        <w:t>5.5.2.3.2</w:t>
      </w:r>
      <w:r>
        <w:tab/>
        <w:t xml:space="preserve">Dans le dernier paragraphe avant le Nota, au début, </w:t>
      </w:r>
      <w:proofErr w:type="gramStart"/>
      <w:r>
        <w:t>remplacer</w:t>
      </w:r>
      <w:proofErr w:type="gramEnd"/>
      <w:r>
        <w:t xml:space="preserve"> «Le marquage doit être de forme» par «La marque doit avoir une forme».</w:t>
      </w:r>
    </w:p>
    <w:p w:rsidR="00742FD7" w:rsidRDefault="00742FD7" w:rsidP="00742FD7">
      <w:pPr>
        <w:pStyle w:val="SingleTxtG"/>
        <w:tabs>
          <w:tab w:val="left" w:pos="3261"/>
        </w:tabs>
      </w:pPr>
      <w:r>
        <w:t xml:space="preserve">5.5.3.4.2 </w:t>
      </w:r>
      <w:proofErr w:type="gramStart"/>
      <w:r>
        <w:t>et</w:t>
      </w:r>
      <w:proofErr w:type="gramEnd"/>
      <w:r>
        <w:t xml:space="preserve"> 5.5.3.6.2</w:t>
      </w:r>
      <w:r>
        <w:tab/>
      </w:r>
      <w:r w:rsidR="001F3CC1">
        <w:rPr>
          <w:lang w:val="fr-FR"/>
        </w:rPr>
        <w:t xml:space="preserve">L’amendement </w:t>
      </w:r>
      <w:r w:rsidR="001F3CC1">
        <w:t>ne s’applique pas au texte français.</w:t>
      </w:r>
    </w:p>
    <w:p w:rsidR="008D0723" w:rsidRPr="00D440EE" w:rsidRDefault="00D440EE" w:rsidP="00D440EE">
      <w:pPr>
        <w:spacing w:before="240"/>
        <w:ind w:left="1134" w:right="1134"/>
        <w:jc w:val="center"/>
        <w:rPr>
          <w:u w:val="single"/>
        </w:rPr>
      </w:pPr>
      <w:r>
        <w:rPr>
          <w:u w:val="single"/>
        </w:rPr>
        <w:tab/>
      </w:r>
      <w:r>
        <w:rPr>
          <w:u w:val="single"/>
        </w:rPr>
        <w:tab/>
      </w:r>
      <w:r>
        <w:rPr>
          <w:u w:val="single"/>
        </w:rPr>
        <w:tab/>
      </w:r>
    </w:p>
    <w:sectPr w:rsidR="008D0723" w:rsidRPr="00D440EE" w:rsidSect="0029776B">
      <w:headerReference w:type="even" r:id="rId21"/>
      <w:headerReference w:type="default" r:id="rId22"/>
      <w:footerReference w:type="even" r:id="rId23"/>
      <w:footerReference w:type="default" r:id="rId24"/>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49F" w:rsidRDefault="0000549F"/>
  </w:endnote>
  <w:endnote w:type="continuationSeparator" w:id="0">
    <w:p w:rsidR="0000549F" w:rsidRDefault="0000549F"/>
  </w:endnote>
  <w:endnote w:type="continuationNotice" w:id="1">
    <w:p w:rsidR="0000549F" w:rsidRDefault="00005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9F" w:rsidRPr="00C4302B" w:rsidRDefault="0000549F" w:rsidP="00C4302B">
    <w:pPr>
      <w:pStyle w:val="Footer"/>
      <w:tabs>
        <w:tab w:val="right" w:pos="9638"/>
      </w:tabs>
      <w:rPr>
        <w:sz w:val="18"/>
      </w:rPr>
    </w:pPr>
    <w:r w:rsidRPr="00C4302B">
      <w:rPr>
        <w:b/>
        <w:sz w:val="18"/>
      </w:rPr>
      <w:fldChar w:fldCharType="begin"/>
    </w:r>
    <w:r w:rsidRPr="00C4302B">
      <w:rPr>
        <w:b/>
        <w:sz w:val="18"/>
      </w:rPr>
      <w:instrText xml:space="preserve"> PAGE  \* MERGEFORMAT </w:instrText>
    </w:r>
    <w:r w:rsidRPr="00C4302B">
      <w:rPr>
        <w:b/>
        <w:sz w:val="18"/>
      </w:rPr>
      <w:fldChar w:fldCharType="separate"/>
    </w:r>
    <w:r w:rsidR="0085320F">
      <w:rPr>
        <w:b/>
        <w:noProof/>
        <w:sz w:val="18"/>
      </w:rPr>
      <w:t>10</w:t>
    </w:r>
    <w:r w:rsidRPr="00C4302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9F" w:rsidRPr="00C4302B" w:rsidRDefault="0000549F" w:rsidP="00C4302B">
    <w:pPr>
      <w:pStyle w:val="Footer"/>
      <w:tabs>
        <w:tab w:val="right" w:pos="9638"/>
      </w:tabs>
      <w:rPr>
        <w:sz w:val="18"/>
      </w:rPr>
    </w:pPr>
    <w:r>
      <w:tab/>
    </w:r>
    <w:r w:rsidRPr="00C4302B">
      <w:rPr>
        <w:b/>
        <w:sz w:val="18"/>
      </w:rPr>
      <w:fldChar w:fldCharType="begin"/>
    </w:r>
    <w:r w:rsidRPr="00C4302B">
      <w:rPr>
        <w:b/>
        <w:sz w:val="18"/>
      </w:rPr>
      <w:instrText xml:space="preserve"> PAGE  \* MERGEFORMAT </w:instrText>
    </w:r>
    <w:r w:rsidRPr="00C4302B">
      <w:rPr>
        <w:b/>
        <w:sz w:val="18"/>
      </w:rPr>
      <w:fldChar w:fldCharType="separate"/>
    </w:r>
    <w:r w:rsidR="0085320F">
      <w:rPr>
        <w:b/>
        <w:noProof/>
        <w:sz w:val="18"/>
      </w:rPr>
      <w:t>11</w:t>
    </w:r>
    <w:r w:rsidRPr="00C4302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9F" w:rsidRPr="0029776B" w:rsidRDefault="0000549F" w:rsidP="002977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9F" w:rsidRPr="0029776B" w:rsidRDefault="0000549F" w:rsidP="002977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9F" w:rsidRPr="0029776B" w:rsidRDefault="0000549F"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85320F">
      <w:rPr>
        <w:b/>
        <w:noProof/>
        <w:sz w:val="18"/>
      </w:rPr>
      <w:t>24</w:t>
    </w:r>
    <w:r w:rsidRPr="0029776B">
      <w:rPr>
        <w:b/>
        <w:sz w:val="18"/>
      </w:rPr>
      <w:fldChar w:fldCharType="end"/>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9F" w:rsidRPr="0029776B" w:rsidRDefault="0000549F"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85320F">
      <w:rPr>
        <w:b/>
        <w:noProof/>
        <w:sz w:val="18"/>
      </w:rPr>
      <w:t>23</w:t>
    </w:r>
    <w:r w:rsidRPr="0029776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49F" w:rsidRPr="00D27D5E" w:rsidRDefault="0000549F" w:rsidP="00D27D5E">
      <w:pPr>
        <w:tabs>
          <w:tab w:val="right" w:pos="2155"/>
        </w:tabs>
        <w:spacing w:after="80"/>
        <w:ind w:left="680"/>
        <w:rPr>
          <w:u w:val="single"/>
        </w:rPr>
      </w:pPr>
      <w:r>
        <w:rPr>
          <w:u w:val="single"/>
        </w:rPr>
        <w:tab/>
      </w:r>
    </w:p>
  </w:footnote>
  <w:footnote w:type="continuationSeparator" w:id="0">
    <w:p w:rsidR="0000549F" w:rsidRPr="00A80554" w:rsidRDefault="0000549F" w:rsidP="00A80554">
      <w:pPr>
        <w:tabs>
          <w:tab w:val="left" w:pos="2155"/>
        </w:tabs>
        <w:spacing w:after="80"/>
        <w:ind w:left="680"/>
        <w:rPr>
          <w:u w:val="single"/>
        </w:rPr>
      </w:pPr>
      <w:r w:rsidRPr="00A80554">
        <w:rPr>
          <w:u w:val="single"/>
        </w:rPr>
        <w:tab/>
      </w:r>
    </w:p>
  </w:footnote>
  <w:footnote w:type="continuationNotice" w:id="1">
    <w:p w:rsidR="0000549F" w:rsidRDefault="0000549F"/>
  </w:footnote>
  <w:footnote w:id="2">
    <w:p w:rsidR="0000549F" w:rsidRDefault="0000549F" w:rsidP="002D3B2E">
      <w:pPr>
        <w:pStyle w:val="FootnoteText"/>
        <w:widowControl w:val="0"/>
        <w:tabs>
          <w:tab w:val="clear" w:pos="1021"/>
          <w:tab w:val="right" w:pos="1020"/>
        </w:tabs>
      </w:pPr>
      <w:r>
        <w:tab/>
      </w:r>
      <w:r>
        <w:rPr>
          <w:rStyle w:val="FootnoteReference"/>
        </w:rPr>
        <w:footnoteRef/>
      </w:r>
      <w:r>
        <w:tab/>
      </w:r>
      <w:r w:rsidRPr="00950A22">
        <w:t>Diffusé en langue allemande par la Commission centrale pour la navigation du Rhin sous la cote CCNR/ZKR/ADN/WP.15/AC.2/2016/</w:t>
      </w:r>
      <w:r>
        <w:t>1</w:t>
      </w:r>
      <w:r w:rsidRPr="00950A22">
        <w:t>.</w:t>
      </w:r>
      <w:r>
        <w:t xml:space="preserve"> </w:t>
      </w:r>
    </w:p>
  </w:footnote>
  <w:footnote w:id="3">
    <w:p w:rsidR="0000549F" w:rsidRDefault="0000549F" w:rsidP="00AF7AD3">
      <w:pPr>
        <w:pStyle w:val="FootnoteText"/>
      </w:pPr>
      <w:r>
        <w:tab/>
      </w:r>
      <w:r w:rsidRPr="004357DE">
        <w:rPr>
          <w:rStyle w:val="FootnoteReference"/>
        </w:rPr>
        <w:footnoteRef/>
      </w:r>
      <w:r w:rsidRPr="004357DE">
        <w:t xml:space="preserve"> </w:t>
      </w:r>
      <w:r w:rsidRPr="004357DE">
        <w:tab/>
      </w:r>
      <w:r w:rsidRPr="004357DE">
        <w:rPr>
          <w:lang w:val="fr-FR"/>
        </w:rPr>
        <w:t xml:space="preserve">Le terme combustible inclut également les </w:t>
      </w:r>
      <w:r w:rsidRPr="004357DE">
        <w:t>carburants</w:t>
      </w:r>
      <w:r w:rsidRPr="004357DE">
        <w:rPr>
          <w:lang w:val="fr-FR"/>
        </w:rPr>
        <w:t>.</w:t>
      </w:r>
    </w:p>
  </w:footnote>
  <w:footnote w:id="4">
    <w:p w:rsidR="0000549F" w:rsidRPr="006D0621" w:rsidRDefault="0000549F" w:rsidP="0000549F">
      <w:pPr>
        <w:pStyle w:val="FootnoteText"/>
      </w:pPr>
      <w:r w:rsidRPr="006D0621">
        <w:tab/>
      </w:r>
      <w:r w:rsidRPr="004357DE">
        <w:rPr>
          <w:rStyle w:val="FootnoteReference"/>
          <w:sz w:val="20"/>
        </w:rPr>
        <w:t>2</w:t>
      </w:r>
      <w:r w:rsidRPr="004357DE">
        <w:tab/>
        <w:t>Par</w:t>
      </w:r>
      <w:r w:rsidRPr="006D0621">
        <w:t xml:space="preserve"> exemple, conformité avec les dispositions appropriées de la Directive 2006/42/CE du Parlement Européen </w:t>
      </w:r>
      <w:r w:rsidRPr="0000549F">
        <w:t>et</w:t>
      </w:r>
      <w:r w:rsidRPr="006D0621">
        <w:t xml:space="preserve"> du Conseil du 17 mai 2006 relative aux machines et modifiant la directive 95/16/CE (Journal officiel de l'Union européenne No L 157 du 9.06.2006, p. 0024 – 0086).</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9F" w:rsidRPr="00565A49" w:rsidRDefault="0000549F">
    <w:pPr>
      <w:pStyle w:val="Header"/>
      <w:rPr>
        <w:lang w:val="en-GB"/>
      </w:rPr>
    </w:pPr>
    <w:r w:rsidRPr="00565A49">
      <w:rPr>
        <w:lang w:val="en-GB"/>
      </w:rPr>
      <w:t>ECE/TRANS/WP.15/AC.</w:t>
    </w:r>
    <w:r>
      <w:rPr>
        <w:lang w:val="en-GB"/>
      </w:rPr>
      <w:t>2/2016/1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9F" w:rsidRPr="00565A49" w:rsidRDefault="0000549F" w:rsidP="00C4302B">
    <w:pPr>
      <w:pStyle w:val="Header"/>
      <w:jc w:val="right"/>
      <w:rPr>
        <w:lang w:val="en-GB"/>
      </w:rPr>
    </w:pPr>
    <w:r w:rsidRPr="00565A49">
      <w:rPr>
        <w:lang w:val="en-GB"/>
      </w:rPr>
      <w:t>ECE/TRANS/WP.15/AC.</w:t>
    </w:r>
    <w:r>
      <w:rPr>
        <w:lang w:val="en-GB"/>
      </w:rPr>
      <w:t>2/2016/1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9F" w:rsidRPr="0029776B" w:rsidRDefault="0000549F" w:rsidP="0029776B">
    <w:r>
      <w:rPr>
        <w:noProof/>
        <w:lang w:val="en-GB" w:eastAsia="en-GB"/>
      </w:rPr>
      <mc:AlternateContent>
        <mc:Choice Requires="wps">
          <w:drawing>
            <wp:anchor distT="0" distB="0" distL="114300" distR="114300" simplePos="0" relativeHeight="251657728" behindDoc="0" locked="0" layoutInCell="1" allowOverlap="1" wp14:anchorId="4BABEFF6" wp14:editId="1E218124">
              <wp:simplePos x="0" y="0"/>
              <wp:positionH relativeFrom="margin">
                <wp:posOffset>-431800</wp:posOffset>
              </wp:positionH>
              <wp:positionV relativeFrom="margin">
                <wp:posOffset>0</wp:posOffset>
              </wp:positionV>
              <wp:extent cx="222885" cy="6120130"/>
              <wp:effectExtent l="0" t="0" r="0" b="444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49F" w:rsidRPr="00C4302B" w:rsidRDefault="0000549F" w:rsidP="0029776B">
                          <w:pPr>
                            <w:pStyle w:val="Footer"/>
                            <w:tabs>
                              <w:tab w:val="right" w:pos="9638"/>
                            </w:tabs>
                            <w:rPr>
                              <w:sz w:val="18"/>
                            </w:rPr>
                          </w:pPr>
                          <w:r w:rsidRPr="00C4302B">
                            <w:rPr>
                              <w:b/>
                              <w:sz w:val="18"/>
                            </w:rPr>
                            <w:fldChar w:fldCharType="begin"/>
                          </w:r>
                          <w:r w:rsidRPr="00C4302B">
                            <w:rPr>
                              <w:b/>
                              <w:sz w:val="18"/>
                            </w:rPr>
                            <w:instrText xml:space="preserve"> PAGE  \* MERGEFORMAT </w:instrText>
                          </w:r>
                          <w:r w:rsidRPr="00C4302B">
                            <w:rPr>
                              <w:b/>
                              <w:sz w:val="18"/>
                            </w:rPr>
                            <w:fldChar w:fldCharType="separate"/>
                          </w:r>
                          <w:r w:rsidR="0085320F">
                            <w:rPr>
                              <w:b/>
                              <w:noProof/>
                              <w:sz w:val="18"/>
                            </w:rPr>
                            <w:t>12</w:t>
                          </w:r>
                          <w:r w:rsidRPr="00C4302B">
                            <w:rPr>
                              <w:b/>
                              <w:sz w:val="18"/>
                            </w:rPr>
                            <w:fldChar w:fldCharType="end"/>
                          </w:r>
                          <w:r>
                            <w:rPr>
                              <w:sz w:val="18"/>
                            </w:rPr>
                            <w:tab/>
                          </w:r>
                        </w:p>
                        <w:p w:rsidR="0000549F" w:rsidRDefault="0000549F"/>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4pt;margin-top:0;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" stroked="f">
              <v:textbox style="layout-flow:vertical" inset="0,0,0,0">
                <w:txbxContent>
                  <w:p w:rsidR="0000549F" w:rsidRPr="00C4302B" w:rsidRDefault="0000549F" w:rsidP="0029776B">
                    <w:pPr>
                      <w:pStyle w:val="Footer"/>
                      <w:tabs>
                        <w:tab w:val="right" w:pos="9638"/>
                      </w:tabs>
                      <w:rPr>
                        <w:sz w:val="18"/>
                      </w:rPr>
                    </w:pPr>
                    <w:r w:rsidRPr="00C4302B">
                      <w:rPr>
                        <w:b/>
                        <w:sz w:val="18"/>
                      </w:rPr>
                      <w:fldChar w:fldCharType="begin"/>
                    </w:r>
                    <w:r w:rsidRPr="00C4302B">
                      <w:rPr>
                        <w:b/>
                        <w:sz w:val="18"/>
                      </w:rPr>
                      <w:instrText xml:space="preserve"> PAGE  \* MERGEFORMAT </w:instrText>
                    </w:r>
                    <w:r w:rsidRPr="00C4302B">
                      <w:rPr>
                        <w:b/>
                        <w:sz w:val="18"/>
                      </w:rPr>
                      <w:fldChar w:fldCharType="separate"/>
                    </w:r>
                    <w:r w:rsidR="0085320F">
                      <w:rPr>
                        <w:b/>
                        <w:noProof/>
                        <w:sz w:val="18"/>
                      </w:rPr>
                      <w:t>12</w:t>
                    </w:r>
                    <w:r w:rsidRPr="00C4302B">
                      <w:rPr>
                        <w:b/>
                        <w:sz w:val="18"/>
                      </w:rPr>
                      <w:fldChar w:fldCharType="end"/>
                    </w:r>
                    <w:r>
                      <w:rPr>
                        <w:sz w:val="18"/>
                      </w:rPr>
                      <w:tab/>
                    </w:r>
                  </w:p>
                  <w:p w:rsidR="0000549F" w:rsidRDefault="0000549F"/>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06641494" wp14:editId="487624B7">
              <wp:simplePos x="0" y="0"/>
              <wp:positionH relativeFrom="page">
                <wp:posOffset>9791700</wp:posOffset>
              </wp:positionH>
              <wp:positionV relativeFrom="margin">
                <wp:posOffset>0</wp:posOffset>
              </wp:positionV>
              <wp:extent cx="215900" cy="6120130"/>
              <wp:effectExtent l="0" t="0" r="3175"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49F" w:rsidRPr="00565A49" w:rsidRDefault="0000549F" w:rsidP="0029776B">
                          <w:pPr>
                            <w:pStyle w:val="Header"/>
                            <w:rPr>
                              <w:lang w:val="en-GB"/>
                            </w:rPr>
                          </w:pPr>
                          <w:r w:rsidRPr="00565A49">
                            <w:rPr>
                              <w:lang w:val="en-GB"/>
                            </w:rPr>
                            <w:t>ECE/TRANS/WP.15/AC.1/2015/23/Add.1</w:t>
                          </w:r>
                        </w:p>
                        <w:p w:rsidR="0000549F" w:rsidRPr="00565A49" w:rsidRDefault="0000549F">
                          <w:pPr>
                            <w:rPr>
                              <w:lang w:val="en-GB"/>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71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VAegIAAAY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mUtlQHoCAAAG&#10;BQAADgAAAAAAAAAAAAAAAAAuAgAAZHJzL2Uyb0RvYy54bWxQSwECLQAUAAYACAAAACEAWb6kY+EA&#10;AAAKAQAADwAAAAAAAAAAAAAAAADUBAAAZHJzL2Rvd25yZXYueG1sUEsFBgAAAAAEAAQA8wAAAOIF&#10;AAAAAA==&#10;" stroked="f">
              <v:textbox style="layout-flow:vertical" inset="0,0,0,0">
                <w:txbxContent>
                  <w:p w:rsidR="0000549F" w:rsidRPr="00565A49" w:rsidRDefault="0000549F" w:rsidP="0029776B">
                    <w:pPr>
                      <w:pStyle w:val="Header"/>
                      <w:rPr>
                        <w:lang w:val="en-GB"/>
                      </w:rPr>
                    </w:pPr>
                    <w:r w:rsidRPr="00565A49">
                      <w:rPr>
                        <w:lang w:val="en-GB"/>
                      </w:rPr>
                      <w:t>ECE/TRANS/WP.15/AC.1/2015/23/Add.1</w:t>
                    </w:r>
                  </w:p>
                  <w:p w:rsidR="0000549F" w:rsidRPr="00565A49" w:rsidRDefault="0000549F">
                    <w:pPr>
                      <w:rPr>
                        <w:lang w:val="en-GB"/>
                      </w:rPr>
                    </w:pP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9F" w:rsidRPr="0029776B" w:rsidRDefault="0000549F" w:rsidP="0029776B">
    <w:r>
      <w:rPr>
        <w:noProof/>
        <w:lang w:val="en-GB" w:eastAsia="en-GB"/>
      </w:rPr>
      <mc:AlternateContent>
        <mc:Choice Requires="wps">
          <w:drawing>
            <wp:anchor distT="0" distB="0" distL="114300" distR="114300" simplePos="0" relativeHeight="251659776" behindDoc="0" locked="0" layoutInCell="1" allowOverlap="1" wp14:anchorId="776B6E19" wp14:editId="6F6BAB51">
              <wp:simplePos x="0" y="0"/>
              <wp:positionH relativeFrom="margin">
                <wp:posOffset>-431800</wp:posOffset>
              </wp:positionH>
              <wp:positionV relativeFrom="margin">
                <wp:posOffset>0</wp:posOffset>
              </wp:positionV>
              <wp:extent cx="222885" cy="6120130"/>
              <wp:effectExtent l="0" t="0" r="0" b="444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49F" w:rsidRPr="00C4302B" w:rsidRDefault="0000549F" w:rsidP="0029776B">
                          <w:pPr>
                            <w:pStyle w:val="Footer"/>
                            <w:tabs>
                              <w:tab w:val="right" w:pos="9638"/>
                            </w:tabs>
                            <w:rPr>
                              <w:sz w:val="18"/>
                            </w:rPr>
                          </w:pPr>
                          <w:r>
                            <w:tab/>
                          </w:r>
                          <w:r w:rsidRPr="00C4302B">
                            <w:rPr>
                              <w:b/>
                              <w:sz w:val="18"/>
                            </w:rPr>
                            <w:fldChar w:fldCharType="begin"/>
                          </w:r>
                          <w:r w:rsidRPr="00C4302B">
                            <w:rPr>
                              <w:b/>
                              <w:sz w:val="18"/>
                            </w:rPr>
                            <w:instrText xml:space="preserve"> PAGE  \* MERGEFORMAT </w:instrText>
                          </w:r>
                          <w:r w:rsidRPr="00C4302B">
                            <w:rPr>
                              <w:b/>
                              <w:sz w:val="18"/>
                            </w:rPr>
                            <w:fldChar w:fldCharType="separate"/>
                          </w:r>
                          <w:r w:rsidR="00DB6D92">
                            <w:rPr>
                              <w:b/>
                              <w:noProof/>
                              <w:sz w:val="18"/>
                            </w:rPr>
                            <w:t>13</w:t>
                          </w:r>
                          <w:r w:rsidRPr="00C4302B">
                            <w:rPr>
                              <w:b/>
                              <w:sz w:val="18"/>
                            </w:rPr>
                            <w:fldChar w:fldCharType="end"/>
                          </w:r>
                        </w:p>
                        <w:p w:rsidR="0000549F" w:rsidRDefault="0000549F"/>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34pt;margin-top:0;width:17.55pt;height:48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gAewIAAAc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BLosgAewIAAAcF&#10;AAAOAAAAAAAAAAAAAAAAAC4CAABkcnMvZTJvRG9jLnhtbFBLAQItABQABgAIAAAAIQDERgJn3wAA&#10;AAgBAAAPAAAAAAAAAAAAAAAAANUEAABkcnMvZG93bnJldi54bWxQSwUGAAAAAAQABADzAAAA4QUA&#10;AAAA&#10;" stroked="f">
              <v:textbox style="layout-flow:vertical" inset="0,0,0,0">
                <w:txbxContent>
                  <w:p w:rsidR="0000549F" w:rsidRPr="00C4302B" w:rsidRDefault="0000549F" w:rsidP="0029776B">
                    <w:pPr>
                      <w:pStyle w:val="Footer"/>
                      <w:tabs>
                        <w:tab w:val="right" w:pos="9638"/>
                      </w:tabs>
                      <w:rPr>
                        <w:sz w:val="18"/>
                      </w:rPr>
                    </w:pPr>
                    <w:r>
                      <w:tab/>
                    </w:r>
                    <w:r w:rsidRPr="00C4302B">
                      <w:rPr>
                        <w:b/>
                        <w:sz w:val="18"/>
                      </w:rPr>
                      <w:fldChar w:fldCharType="begin"/>
                    </w:r>
                    <w:r w:rsidRPr="00C4302B">
                      <w:rPr>
                        <w:b/>
                        <w:sz w:val="18"/>
                      </w:rPr>
                      <w:instrText xml:space="preserve"> PAGE  \* MERGEFORMAT </w:instrText>
                    </w:r>
                    <w:r w:rsidRPr="00C4302B">
                      <w:rPr>
                        <w:b/>
                        <w:sz w:val="18"/>
                      </w:rPr>
                      <w:fldChar w:fldCharType="separate"/>
                    </w:r>
                    <w:r w:rsidR="00DB6D92">
                      <w:rPr>
                        <w:b/>
                        <w:noProof/>
                        <w:sz w:val="18"/>
                      </w:rPr>
                      <w:t>13</w:t>
                    </w:r>
                    <w:r w:rsidRPr="00C4302B">
                      <w:rPr>
                        <w:b/>
                        <w:sz w:val="18"/>
                      </w:rPr>
                      <w:fldChar w:fldCharType="end"/>
                    </w:r>
                  </w:p>
                  <w:p w:rsidR="0000549F" w:rsidRDefault="0000549F"/>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8752" behindDoc="0" locked="0" layoutInCell="1" allowOverlap="1" wp14:anchorId="1098348B" wp14:editId="3A24848D">
              <wp:simplePos x="0" y="0"/>
              <wp:positionH relativeFrom="page">
                <wp:posOffset>9791700</wp:posOffset>
              </wp:positionH>
              <wp:positionV relativeFrom="margin">
                <wp:posOffset>0</wp:posOffset>
              </wp:positionV>
              <wp:extent cx="215900" cy="6120130"/>
              <wp:effectExtent l="0" t="0" r="3175" b="444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49F" w:rsidRPr="00565A49" w:rsidRDefault="0000549F" w:rsidP="005622F9">
                          <w:pPr>
                            <w:pStyle w:val="Header"/>
                            <w:jc w:val="right"/>
                            <w:rPr>
                              <w:lang w:val="en-GB"/>
                            </w:rPr>
                          </w:pPr>
                          <w:r w:rsidRPr="00565A49">
                            <w:rPr>
                              <w:lang w:val="en-GB"/>
                            </w:rPr>
                            <w:t>ECE/TRANS/WP.15/AC.</w:t>
                          </w:r>
                          <w:r>
                            <w:rPr>
                              <w:lang w:val="en-GB"/>
                            </w:rPr>
                            <w:t>2/2016/1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71pt;margin-top:0;width:17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" stroked="f">
              <v:textbox style="layout-flow:vertical" inset="0,0,0,0">
                <w:txbxContent>
                  <w:p w:rsidR="0000549F" w:rsidRPr="00565A49" w:rsidRDefault="0000549F" w:rsidP="005622F9">
                    <w:pPr>
                      <w:pStyle w:val="Header"/>
                      <w:jc w:val="right"/>
                      <w:rPr>
                        <w:lang w:val="en-GB"/>
                      </w:rPr>
                    </w:pPr>
                    <w:r w:rsidRPr="00565A49">
                      <w:rPr>
                        <w:lang w:val="en-GB"/>
                      </w:rPr>
                      <w:t>ECE/TRANS/WP.15/AC.</w:t>
                    </w:r>
                    <w:r>
                      <w:rPr>
                        <w:lang w:val="en-GB"/>
                      </w:rPr>
                      <w:t>2/2016/1</w:t>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9F" w:rsidRDefault="0000549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9F" w:rsidRPr="00565A49" w:rsidRDefault="0000549F" w:rsidP="0029776B">
    <w:pPr>
      <w:pStyle w:val="Header"/>
      <w:rPr>
        <w:lang w:val="en-GB"/>
      </w:rPr>
    </w:pPr>
    <w:r w:rsidRPr="00565A49">
      <w:rPr>
        <w:lang w:val="en-GB"/>
      </w:rPr>
      <w:t>ECE/TRANS/WP.15/AC.</w:t>
    </w:r>
    <w:r>
      <w:rPr>
        <w:lang w:val="en-GB"/>
      </w:rPr>
      <w:t>2/2016/1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9F" w:rsidRPr="00565A49" w:rsidRDefault="0000549F" w:rsidP="0029776B">
    <w:pPr>
      <w:pStyle w:val="Header"/>
      <w:jc w:val="right"/>
      <w:rPr>
        <w:lang w:val="en-GB"/>
      </w:rPr>
    </w:pPr>
    <w:r w:rsidRPr="00565A49">
      <w:rPr>
        <w:lang w:val="en-GB"/>
      </w:rPr>
      <w:t>ECE/TRANS/WP.15/AC.</w:t>
    </w:r>
    <w:r>
      <w:rPr>
        <w:lang w:val="en-GB"/>
      </w:rPr>
      <w:t>2/2016/1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1A"/>
    <w:rsid w:val="0000195C"/>
    <w:rsid w:val="00003FFB"/>
    <w:rsid w:val="0000549F"/>
    <w:rsid w:val="0000754C"/>
    <w:rsid w:val="000121D3"/>
    <w:rsid w:val="000131A5"/>
    <w:rsid w:val="00016AC5"/>
    <w:rsid w:val="00022BD7"/>
    <w:rsid w:val="00030ADE"/>
    <w:rsid w:val="000312C0"/>
    <w:rsid w:val="00033A63"/>
    <w:rsid w:val="00037498"/>
    <w:rsid w:val="0004058B"/>
    <w:rsid w:val="00040DA1"/>
    <w:rsid w:val="000472A1"/>
    <w:rsid w:val="000507A8"/>
    <w:rsid w:val="0006415C"/>
    <w:rsid w:val="000643B7"/>
    <w:rsid w:val="00066716"/>
    <w:rsid w:val="00071432"/>
    <w:rsid w:val="000758B9"/>
    <w:rsid w:val="00081790"/>
    <w:rsid w:val="000828C8"/>
    <w:rsid w:val="00085208"/>
    <w:rsid w:val="00094EF2"/>
    <w:rsid w:val="000963EA"/>
    <w:rsid w:val="000964C7"/>
    <w:rsid w:val="000A49E0"/>
    <w:rsid w:val="000A7EC2"/>
    <w:rsid w:val="000B34CA"/>
    <w:rsid w:val="000C0699"/>
    <w:rsid w:val="000D7E12"/>
    <w:rsid w:val="000E68FB"/>
    <w:rsid w:val="000F41F2"/>
    <w:rsid w:val="00104ADE"/>
    <w:rsid w:val="00114946"/>
    <w:rsid w:val="00115943"/>
    <w:rsid w:val="00127A72"/>
    <w:rsid w:val="00135C0D"/>
    <w:rsid w:val="00154636"/>
    <w:rsid w:val="001551B7"/>
    <w:rsid w:val="00160540"/>
    <w:rsid w:val="00162132"/>
    <w:rsid w:val="00162E33"/>
    <w:rsid w:val="0016419C"/>
    <w:rsid w:val="00164FB7"/>
    <w:rsid w:val="001703B7"/>
    <w:rsid w:val="0017182C"/>
    <w:rsid w:val="00171EA3"/>
    <w:rsid w:val="00177007"/>
    <w:rsid w:val="00186EE9"/>
    <w:rsid w:val="00190399"/>
    <w:rsid w:val="00192EEB"/>
    <w:rsid w:val="001A20FB"/>
    <w:rsid w:val="001A37C7"/>
    <w:rsid w:val="001B6AF6"/>
    <w:rsid w:val="001B6F40"/>
    <w:rsid w:val="001C4BBB"/>
    <w:rsid w:val="001D7DF9"/>
    <w:rsid w:val="001D7F8A"/>
    <w:rsid w:val="001E3FEB"/>
    <w:rsid w:val="001E4A02"/>
    <w:rsid w:val="001F3CC1"/>
    <w:rsid w:val="001F412D"/>
    <w:rsid w:val="001F5816"/>
    <w:rsid w:val="00203B6A"/>
    <w:rsid w:val="002041A8"/>
    <w:rsid w:val="0020607F"/>
    <w:rsid w:val="002069D5"/>
    <w:rsid w:val="00216861"/>
    <w:rsid w:val="0022098E"/>
    <w:rsid w:val="00223B89"/>
    <w:rsid w:val="00225A8C"/>
    <w:rsid w:val="00232C61"/>
    <w:rsid w:val="002403AA"/>
    <w:rsid w:val="00260A9C"/>
    <w:rsid w:val="00261C6B"/>
    <w:rsid w:val="002659F1"/>
    <w:rsid w:val="00265FE8"/>
    <w:rsid w:val="0027037E"/>
    <w:rsid w:val="00271C7C"/>
    <w:rsid w:val="00287E79"/>
    <w:rsid w:val="0029101B"/>
    <w:rsid w:val="002928F9"/>
    <w:rsid w:val="0029776B"/>
    <w:rsid w:val="002A29C3"/>
    <w:rsid w:val="002A373D"/>
    <w:rsid w:val="002A5D07"/>
    <w:rsid w:val="002A5F7F"/>
    <w:rsid w:val="002C555D"/>
    <w:rsid w:val="002D0474"/>
    <w:rsid w:val="002D3B2E"/>
    <w:rsid w:val="002F2735"/>
    <w:rsid w:val="003016B7"/>
    <w:rsid w:val="00321245"/>
    <w:rsid w:val="0032270A"/>
    <w:rsid w:val="00327E03"/>
    <w:rsid w:val="00330F9C"/>
    <w:rsid w:val="003338E5"/>
    <w:rsid w:val="00335202"/>
    <w:rsid w:val="003371E0"/>
    <w:rsid w:val="0034031C"/>
    <w:rsid w:val="00340C35"/>
    <w:rsid w:val="00343859"/>
    <w:rsid w:val="003515AA"/>
    <w:rsid w:val="00351AD9"/>
    <w:rsid w:val="003540B3"/>
    <w:rsid w:val="00367E6A"/>
    <w:rsid w:val="00370E0F"/>
    <w:rsid w:val="00372345"/>
    <w:rsid w:val="00374106"/>
    <w:rsid w:val="00374296"/>
    <w:rsid w:val="00391403"/>
    <w:rsid w:val="003974E1"/>
    <w:rsid w:val="003976D5"/>
    <w:rsid w:val="003A1FEF"/>
    <w:rsid w:val="003A462C"/>
    <w:rsid w:val="003A656C"/>
    <w:rsid w:val="003B6B20"/>
    <w:rsid w:val="003C322F"/>
    <w:rsid w:val="003C5C5B"/>
    <w:rsid w:val="003D1DF3"/>
    <w:rsid w:val="003D46A7"/>
    <w:rsid w:val="003D6C68"/>
    <w:rsid w:val="003D76E4"/>
    <w:rsid w:val="003E5559"/>
    <w:rsid w:val="003F118A"/>
    <w:rsid w:val="003F20D4"/>
    <w:rsid w:val="004005D0"/>
    <w:rsid w:val="00406E74"/>
    <w:rsid w:val="00413736"/>
    <w:rsid w:val="00414425"/>
    <w:rsid w:val="004159D0"/>
    <w:rsid w:val="00421AC2"/>
    <w:rsid w:val="00423D55"/>
    <w:rsid w:val="004249E7"/>
    <w:rsid w:val="00426DA1"/>
    <w:rsid w:val="00430C92"/>
    <w:rsid w:val="00434168"/>
    <w:rsid w:val="004357DE"/>
    <w:rsid w:val="0044289E"/>
    <w:rsid w:val="00454017"/>
    <w:rsid w:val="0046419E"/>
    <w:rsid w:val="00471DA9"/>
    <w:rsid w:val="00475DD2"/>
    <w:rsid w:val="00491EC7"/>
    <w:rsid w:val="0049374F"/>
    <w:rsid w:val="00497A70"/>
    <w:rsid w:val="004A324B"/>
    <w:rsid w:val="004A331B"/>
    <w:rsid w:val="004A5C90"/>
    <w:rsid w:val="004B154F"/>
    <w:rsid w:val="004B51C9"/>
    <w:rsid w:val="004D53B7"/>
    <w:rsid w:val="004E1AC3"/>
    <w:rsid w:val="004E551E"/>
    <w:rsid w:val="00502D1A"/>
    <w:rsid w:val="00504EB2"/>
    <w:rsid w:val="0052416A"/>
    <w:rsid w:val="00524D9B"/>
    <w:rsid w:val="00530057"/>
    <w:rsid w:val="00531F0F"/>
    <w:rsid w:val="005367EB"/>
    <w:rsid w:val="00543D5E"/>
    <w:rsid w:val="005446F3"/>
    <w:rsid w:val="00545F2F"/>
    <w:rsid w:val="005611FF"/>
    <w:rsid w:val="005622F9"/>
    <w:rsid w:val="00563346"/>
    <w:rsid w:val="00565A49"/>
    <w:rsid w:val="00571F41"/>
    <w:rsid w:val="00575335"/>
    <w:rsid w:val="00576C84"/>
    <w:rsid w:val="00585A6B"/>
    <w:rsid w:val="0059410B"/>
    <w:rsid w:val="00595BE4"/>
    <w:rsid w:val="005A041A"/>
    <w:rsid w:val="005B738F"/>
    <w:rsid w:val="005B76A3"/>
    <w:rsid w:val="005C3962"/>
    <w:rsid w:val="005C6014"/>
    <w:rsid w:val="005E5D1F"/>
    <w:rsid w:val="005E5E79"/>
    <w:rsid w:val="005F25D1"/>
    <w:rsid w:val="005F302D"/>
    <w:rsid w:val="005F59DB"/>
    <w:rsid w:val="00603391"/>
    <w:rsid w:val="006049FD"/>
    <w:rsid w:val="00605683"/>
    <w:rsid w:val="00611D43"/>
    <w:rsid w:val="00612D48"/>
    <w:rsid w:val="00616B45"/>
    <w:rsid w:val="0061708F"/>
    <w:rsid w:val="006210B6"/>
    <w:rsid w:val="00625C96"/>
    <w:rsid w:val="00625F01"/>
    <w:rsid w:val="00630D9B"/>
    <w:rsid w:val="00631953"/>
    <w:rsid w:val="006439EC"/>
    <w:rsid w:val="00644670"/>
    <w:rsid w:val="00654B07"/>
    <w:rsid w:val="00670F36"/>
    <w:rsid w:val="00671CD2"/>
    <w:rsid w:val="006728CD"/>
    <w:rsid w:val="00673231"/>
    <w:rsid w:val="0069653B"/>
    <w:rsid w:val="006A047B"/>
    <w:rsid w:val="006A2631"/>
    <w:rsid w:val="006A2C79"/>
    <w:rsid w:val="006A3A23"/>
    <w:rsid w:val="006A4F1F"/>
    <w:rsid w:val="006B09E0"/>
    <w:rsid w:val="006B4590"/>
    <w:rsid w:val="006C3041"/>
    <w:rsid w:val="006C340C"/>
    <w:rsid w:val="006C7BA8"/>
    <w:rsid w:val="006D21A0"/>
    <w:rsid w:val="006D36A8"/>
    <w:rsid w:val="006D638D"/>
    <w:rsid w:val="006E19BA"/>
    <w:rsid w:val="006E3B48"/>
    <w:rsid w:val="006E5FC7"/>
    <w:rsid w:val="006E7722"/>
    <w:rsid w:val="006F151C"/>
    <w:rsid w:val="00700CF9"/>
    <w:rsid w:val="0070347C"/>
    <w:rsid w:val="007176C1"/>
    <w:rsid w:val="00737BCE"/>
    <w:rsid w:val="0074123A"/>
    <w:rsid w:val="00742FD7"/>
    <w:rsid w:val="007450F8"/>
    <w:rsid w:val="007514EF"/>
    <w:rsid w:val="007527B6"/>
    <w:rsid w:val="00753BDA"/>
    <w:rsid w:val="00766A94"/>
    <w:rsid w:val="007673E8"/>
    <w:rsid w:val="00780EAE"/>
    <w:rsid w:val="007811F7"/>
    <w:rsid w:val="007817A1"/>
    <w:rsid w:val="007820F2"/>
    <w:rsid w:val="00783F37"/>
    <w:rsid w:val="007904AF"/>
    <w:rsid w:val="00790B50"/>
    <w:rsid w:val="00790F2F"/>
    <w:rsid w:val="00795138"/>
    <w:rsid w:val="007A6076"/>
    <w:rsid w:val="007C0CF9"/>
    <w:rsid w:val="007C1A44"/>
    <w:rsid w:val="007D78D5"/>
    <w:rsid w:val="007E2F66"/>
    <w:rsid w:val="007F0F13"/>
    <w:rsid w:val="007F1D96"/>
    <w:rsid w:val="007F55CB"/>
    <w:rsid w:val="00812C1A"/>
    <w:rsid w:val="00816FA8"/>
    <w:rsid w:val="0081704B"/>
    <w:rsid w:val="00831329"/>
    <w:rsid w:val="008317F6"/>
    <w:rsid w:val="00835193"/>
    <w:rsid w:val="00835BFB"/>
    <w:rsid w:val="00836924"/>
    <w:rsid w:val="00844750"/>
    <w:rsid w:val="0085320F"/>
    <w:rsid w:val="00860C9D"/>
    <w:rsid w:val="00871051"/>
    <w:rsid w:val="00883D70"/>
    <w:rsid w:val="00884E9C"/>
    <w:rsid w:val="008870C3"/>
    <w:rsid w:val="008B44C4"/>
    <w:rsid w:val="008B7879"/>
    <w:rsid w:val="008C1BBA"/>
    <w:rsid w:val="008C2211"/>
    <w:rsid w:val="008C7684"/>
    <w:rsid w:val="008D0723"/>
    <w:rsid w:val="008D0C3F"/>
    <w:rsid w:val="008D3919"/>
    <w:rsid w:val="008D7FC7"/>
    <w:rsid w:val="008E0B16"/>
    <w:rsid w:val="008E3F2C"/>
    <w:rsid w:val="008E7FAE"/>
    <w:rsid w:val="008F60FF"/>
    <w:rsid w:val="009066AE"/>
    <w:rsid w:val="00911BF7"/>
    <w:rsid w:val="00922301"/>
    <w:rsid w:val="00922FBA"/>
    <w:rsid w:val="00926E87"/>
    <w:rsid w:val="00932D7A"/>
    <w:rsid w:val="00937D45"/>
    <w:rsid w:val="00952FDB"/>
    <w:rsid w:val="00953DE0"/>
    <w:rsid w:val="009566B0"/>
    <w:rsid w:val="00970F62"/>
    <w:rsid w:val="00977EC8"/>
    <w:rsid w:val="009817BD"/>
    <w:rsid w:val="009837CB"/>
    <w:rsid w:val="009A21FA"/>
    <w:rsid w:val="009A6F85"/>
    <w:rsid w:val="009B060F"/>
    <w:rsid w:val="009B18A3"/>
    <w:rsid w:val="009B25CE"/>
    <w:rsid w:val="009C1239"/>
    <w:rsid w:val="009C246D"/>
    <w:rsid w:val="009C2848"/>
    <w:rsid w:val="009C38EA"/>
    <w:rsid w:val="009D3A8C"/>
    <w:rsid w:val="009E01B8"/>
    <w:rsid w:val="009E698E"/>
    <w:rsid w:val="009E7956"/>
    <w:rsid w:val="00A11C63"/>
    <w:rsid w:val="00A134EB"/>
    <w:rsid w:val="00A1547F"/>
    <w:rsid w:val="00A2492E"/>
    <w:rsid w:val="00A31F07"/>
    <w:rsid w:val="00A41235"/>
    <w:rsid w:val="00A44CBA"/>
    <w:rsid w:val="00A45EBB"/>
    <w:rsid w:val="00A6502C"/>
    <w:rsid w:val="00A70163"/>
    <w:rsid w:val="00A71439"/>
    <w:rsid w:val="00A73DB7"/>
    <w:rsid w:val="00A778A5"/>
    <w:rsid w:val="00A80554"/>
    <w:rsid w:val="00A963DD"/>
    <w:rsid w:val="00AA0176"/>
    <w:rsid w:val="00AA3C96"/>
    <w:rsid w:val="00AA72C3"/>
    <w:rsid w:val="00AB6447"/>
    <w:rsid w:val="00AC67A1"/>
    <w:rsid w:val="00AC7977"/>
    <w:rsid w:val="00AD3F23"/>
    <w:rsid w:val="00AE352C"/>
    <w:rsid w:val="00AE4F08"/>
    <w:rsid w:val="00AE5242"/>
    <w:rsid w:val="00AE5E87"/>
    <w:rsid w:val="00AE69A8"/>
    <w:rsid w:val="00AE7BCA"/>
    <w:rsid w:val="00AF1446"/>
    <w:rsid w:val="00AF2F6F"/>
    <w:rsid w:val="00AF7AD3"/>
    <w:rsid w:val="00B21563"/>
    <w:rsid w:val="00B255B8"/>
    <w:rsid w:val="00B278CF"/>
    <w:rsid w:val="00B3131C"/>
    <w:rsid w:val="00B318CC"/>
    <w:rsid w:val="00B32A61"/>
    <w:rsid w:val="00B32E2D"/>
    <w:rsid w:val="00B357CC"/>
    <w:rsid w:val="00B35B4C"/>
    <w:rsid w:val="00B3753A"/>
    <w:rsid w:val="00B37895"/>
    <w:rsid w:val="00B438C5"/>
    <w:rsid w:val="00B4466B"/>
    <w:rsid w:val="00B61990"/>
    <w:rsid w:val="00B62922"/>
    <w:rsid w:val="00B6602A"/>
    <w:rsid w:val="00B66CB6"/>
    <w:rsid w:val="00B7107E"/>
    <w:rsid w:val="00B85D99"/>
    <w:rsid w:val="00B924CA"/>
    <w:rsid w:val="00B936CC"/>
    <w:rsid w:val="00B93E72"/>
    <w:rsid w:val="00B94939"/>
    <w:rsid w:val="00BA0ABA"/>
    <w:rsid w:val="00BD0B53"/>
    <w:rsid w:val="00BE3741"/>
    <w:rsid w:val="00BF0556"/>
    <w:rsid w:val="00BF06B0"/>
    <w:rsid w:val="00BF47BD"/>
    <w:rsid w:val="00BF505B"/>
    <w:rsid w:val="00C00C2A"/>
    <w:rsid w:val="00C210B8"/>
    <w:rsid w:val="00C218FD"/>
    <w:rsid w:val="00C2232D"/>
    <w:rsid w:val="00C24B53"/>
    <w:rsid w:val="00C261F8"/>
    <w:rsid w:val="00C31DD5"/>
    <w:rsid w:val="00C33100"/>
    <w:rsid w:val="00C34C11"/>
    <w:rsid w:val="00C358CC"/>
    <w:rsid w:val="00C4302B"/>
    <w:rsid w:val="00C45121"/>
    <w:rsid w:val="00C51BB4"/>
    <w:rsid w:val="00C532C0"/>
    <w:rsid w:val="00C732D1"/>
    <w:rsid w:val="00C940E9"/>
    <w:rsid w:val="00CA047F"/>
    <w:rsid w:val="00CA3500"/>
    <w:rsid w:val="00CA5CBD"/>
    <w:rsid w:val="00CB2BEA"/>
    <w:rsid w:val="00CB6267"/>
    <w:rsid w:val="00CD1A71"/>
    <w:rsid w:val="00CD1FBB"/>
    <w:rsid w:val="00CF6435"/>
    <w:rsid w:val="00D016B5"/>
    <w:rsid w:val="00D034F1"/>
    <w:rsid w:val="00D04B4F"/>
    <w:rsid w:val="00D11B17"/>
    <w:rsid w:val="00D218FC"/>
    <w:rsid w:val="00D27297"/>
    <w:rsid w:val="00D27D5E"/>
    <w:rsid w:val="00D34270"/>
    <w:rsid w:val="00D36466"/>
    <w:rsid w:val="00D40906"/>
    <w:rsid w:val="00D41B47"/>
    <w:rsid w:val="00D428F9"/>
    <w:rsid w:val="00D440EE"/>
    <w:rsid w:val="00D47D8E"/>
    <w:rsid w:val="00D47F24"/>
    <w:rsid w:val="00D52A86"/>
    <w:rsid w:val="00D60301"/>
    <w:rsid w:val="00D72874"/>
    <w:rsid w:val="00D75A23"/>
    <w:rsid w:val="00D84247"/>
    <w:rsid w:val="00D8534F"/>
    <w:rsid w:val="00D932E6"/>
    <w:rsid w:val="00DA57D4"/>
    <w:rsid w:val="00DA6BC7"/>
    <w:rsid w:val="00DB4793"/>
    <w:rsid w:val="00DB5C62"/>
    <w:rsid w:val="00DB6D92"/>
    <w:rsid w:val="00DC158C"/>
    <w:rsid w:val="00DC51E3"/>
    <w:rsid w:val="00DD051B"/>
    <w:rsid w:val="00DD5D73"/>
    <w:rsid w:val="00DE01E3"/>
    <w:rsid w:val="00DE0AF7"/>
    <w:rsid w:val="00DE24A4"/>
    <w:rsid w:val="00DE6D90"/>
    <w:rsid w:val="00DF002F"/>
    <w:rsid w:val="00DF1BEA"/>
    <w:rsid w:val="00DF1F03"/>
    <w:rsid w:val="00DF3207"/>
    <w:rsid w:val="00DF3492"/>
    <w:rsid w:val="00DF4DCE"/>
    <w:rsid w:val="00DF6551"/>
    <w:rsid w:val="00E0244D"/>
    <w:rsid w:val="00E11BBC"/>
    <w:rsid w:val="00E1236D"/>
    <w:rsid w:val="00E15EC6"/>
    <w:rsid w:val="00E22F40"/>
    <w:rsid w:val="00E31C61"/>
    <w:rsid w:val="00E43AB1"/>
    <w:rsid w:val="00E5407C"/>
    <w:rsid w:val="00E55D71"/>
    <w:rsid w:val="00E60E30"/>
    <w:rsid w:val="00E6288C"/>
    <w:rsid w:val="00E653A2"/>
    <w:rsid w:val="00E65B70"/>
    <w:rsid w:val="00E6627D"/>
    <w:rsid w:val="00E73AEE"/>
    <w:rsid w:val="00E74F8B"/>
    <w:rsid w:val="00E81E94"/>
    <w:rsid w:val="00E82607"/>
    <w:rsid w:val="00E846EA"/>
    <w:rsid w:val="00E87C4C"/>
    <w:rsid w:val="00E95AF8"/>
    <w:rsid w:val="00E96338"/>
    <w:rsid w:val="00EA2677"/>
    <w:rsid w:val="00EA31C2"/>
    <w:rsid w:val="00EA4D5A"/>
    <w:rsid w:val="00EB16FF"/>
    <w:rsid w:val="00EC0734"/>
    <w:rsid w:val="00EC3132"/>
    <w:rsid w:val="00EC3FA6"/>
    <w:rsid w:val="00EC60C5"/>
    <w:rsid w:val="00ED265E"/>
    <w:rsid w:val="00ED3214"/>
    <w:rsid w:val="00ED7BEB"/>
    <w:rsid w:val="00EE2EA3"/>
    <w:rsid w:val="00EE43A7"/>
    <w:rsid w:val="00EF041A"/>
    <w:rsid w:val="00F01516"/>
    <w:rsid w:val="00F14D09"/>
    <w:rsid w:val="00F2271B"/>
    <w:rsid w:val="00F227C9"/>
    <w:rsid w:val="00F35A1F"/>
    <w:rsid w:val="00F524AA"/>
    <w:rsid w:val="00F560CD"/>
    <w:rsid w:val="00F57050"/>
    <w:rsid w:val="00F57129"/>
    <w:rsid w:val="00F90CFE"/>
    <w:rsid w:val="00F96586"/>
    <w:rsid w:val="00FA40A9"/>
    <w:rsid w:val="00FA43E0"/>
    <w:rsid w:val="00FA5A79"/>
    <w:rsid w:val="00FA6422"/>
    <w:rsid w:val="00FB00CB"/>
    <w:rsid w:val="00FB0BFE"/>
    <w:rsid w:val="00FB2419"/>
    <w:rsid w:val="00FB4C51"/>
    <w:rsid w:val="00FB72A4"/>
    <w:rsid w:val="00FC0CDC"/>
    <w:rsid w:val="00FD1B3C"/>
    <w:rsid w:val="00FD64E0"/>
    <w:rsid w:val="00FE1D5F"/>
    <w:rsid w:val="00FE2AF4"/>
    <w:rsid w:val="00FE307F"/>
    <w:rsid w:val="00FE69B3"/>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paragraph" w:styleId="HTMLPreformatted">
    <w:name w:val="HTML Preformatted"/>
    <w:basedOn w:val="Normal"/>
    <w:link w:val="HTMLPreformattedChar"/>
    <w:rsid w:val="00AE5242"/>
    <w:pPr>
      <w:spacing w:line="240" w:lineRule="auto"/>
    </w:pPr>
    <w:rPr>
      <w:rFonts w:ascii="Consolas" w:hAnsi="Consolas" w:cs="Consolas"/>
    </w:rPr>
  </w:style>
  <w:style w:type="character" w:customStyle="1" w:styleId="HTMLPreformattedChar">
    <w:name w:val="HTML Preformatted Char"/>
    <w:basedOn w:val="DefaultParagraphFont"/>
    <w:link w:val="HTMLPreformatted"/>
    <w:rsid w:val="00AE5242"/>
    <w:rPr>
      <w:rFonts w:ascii="Consolas" w:hAnsi="Consolas" w:cs="Consola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paragraph" w:styleId="HTMLPreformatted">
    <w:name w:val="HTML Preformatted"/>
    <w:basedOn w:val="Normal"/>
    <w:link w:val="HTMLPreformattedChar"/>
    <w:rsid w:val="00AE5242"/>
    <w:pPr>
      <w:spacing w:line="240" w:lineRule="auto"/>
    </w:pPr>
    <w:rPr>
      <w:rFonts w:ascii="Consolas" w:hAnsi="Consolas" w:cs="Consolas"/>
    </w:rPr>
  </w:style>
  <w:style w:type="character" w:customStyle="1" w:styleId="HTMLPreformattedChar">
    <w:name w:val="HTML Preformatted Char"/>
    <w:basedOn w:val="DefaultParagraphFont"/>
    <w:link w:val="HTMLPreformatted"/>
    <w:rsid w:val="00AE5242"/>
    <w:rPr>
      <w:rFonts w:ascii="Consolas" w:hAnsi="Consolas" w:cs="Consola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377507943">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894270519">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579904739">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6031-398D-4FAE-8CF7-54D87F84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68</TotalTime>
  <Pages>24</Pages>
  <Words>9057</Words>
  <Characters>51626</Characters>
  <Application>Microsoft Office Word</Application>
  <DocSecurity>0</DocSecurity>
  <Lines>430</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60562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UNECE</cp:lastModifiedBy>
  <cp:revision>32</cp:revision>
  <cp:lastPrinted>2015-06-12T10:10:00Z</cp:lastPrinted>
  <dcterms:created xsi:type="dcterms:W3CDTF">2015-11-04T15:39:00Z</dcterms:created>
  <dcterms:modified xsi:type="dcterms:W3CDTF">2015-11-12T11:48:00Z</dcterms:modified>
</cp:coreProperties>
</file>