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8A" w:rsidRPr="001A1E97" w:rsidRDefault="00CF258A" w:rsidP="00CF258A">
      <w:pPr>
        <w:spacing w:line="240" w:lineRule="auto"/>
        <w:rPr>
          <w:sz w:val="2"/>
        </w:rPr>
        <w:sectPr w:rsidR="00CF258A" w:rsidRPr="001A1E97" w:rsidSect="00CF258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CF258A" w:rsidRPr="001A1E97" w:rsidRDefault="00CF258A" w:rsidP="00CF258A">
      <w:pPr>
        <w:pStyle w:val="H1"/>
        <w:spacing w:before="120"/>
        <w:rPr>
          <w:sz w:val="28"/>
        </w:rPr>
      </w:pPr>
      <w:r w:rsidRPr="001A1E97">
        <w:rPr>
          <w:sz w:val="28"/>
        </w:rPr>
        <w:lastRenderedPageBreak/>
        <w:t>Economic Commission for Europe</w:t>
      </w:r>
    </w:p>
    <w:p w:rsidR="00CF258A" w:rsidRPr="001A1E97" w:rsidRDefault="00CF258A" w:rsidP="00CF258A">
      <w:pPr>
        <w:pStyle w:val="H1"/>
        <w:spacing w:line="120" w:lineRule="exact"/>
        <w:rPr>
          <w:sz w:val="10"/>
        </w:rPr>
      </w:pPr>
    </w:p>
    <w:p w:rsidR="00CF258A" w:rsidRPr="001A1E97" w:rsidRDefault="00CF258A" w:rsidP="00CF258A">
      <w:pPr>
        <w:pStyle w:val="H1"/>
        <w:rPr>
          <w:b w:val="0"/>
          <w:sz w:val="28"/>
        </w:rPr>
      </w:pPr>
      <w:r w:rsidRPr="001A1E97">
        <w:rPr>
          <w:b w:val="0"/>
          <w:sz w:val="28"/>
        </w:rPr>
        <w:t>Inland Transport Committee</w:t>
      </w:r>
    </w:p>
    <w:p w:rsidR="00CF258A" w:rsidRPr="001A1E97" w:rsidRDefault="00CF258A" w:rsidP="00CF258A">
      <w:pPr>
        <w:pStyle w:val="H1"/>
        <w:spacing w:line="120" w:lineRule="exact"/>
        <w:rPr>
          <w:b w:val="0"/>
          <w:sz w:val="10"/>
        </w:rPr>
      </w:pPr>
    </w:p>
    <w:p w:rsidR="00CF258A" w:rsidRPr="001A1E97" w:rsidRDefault="00CF258A" w:rsidP="00CF258A">
      <w:pPr>
        <w:pStyle w:val="H23"/>
        <w:rPr>
          <w:sz w:val="24"/>
        </w:rPr>
      </w:pPr>
      <w:r w:rsidRPr="001A1E97">
        <w:rPr>
          <w:sz w:val="24"/>
        </w:rPr>
        <w:t xml:space="preserve">Working Party on the Transport of </w:t>
      </w:r>
      <w:r w:rsidR="00D77C31" w:rsidRPr="00D77C31">
        <w:rPr>
          <w:sz w:val="24"/>
        </w:rPr>
        <w:t>Dangerous Goods</w:t>
      </w:r>
    </w:p>
    <w:p w:rsidR="00D77C31" w:rsidRPr="00D77C31" w:rsidRDefault="00D77C31" w:rsidP="00D77C31">
      <w:pPr>
        <w:pStyle w:val="SingleTxt"/>
        <w:spacing w:after="0" w:line="120" w:lineRule="exact"/>
        <w:rPr>
          <w:sz w:val="10"/>
        </w:rPr>
      </w:pPr>
    </w:p>
    <w:p w:rsidR="00D77C31" w:rsidRDefault="00D77C31" w:rsidP="00D77C31">
      <w:pPr>
        <w:pStyle w:val="H23"/>
        <w:ind w:right="1260"/>
      </w:pPr>
      <w:r w:rsidRPr="00CD598D">
        <w:t>Joint Meeting of Experts on the Regulations</w:t>
      </w:r>
      <w:r>
        <w:t xml:space="preserve"> </w:t>
      </w:r>
      <w:r w:rsidRPr="00CD598D">
        <w:t>annexed to the</w:t>
      </w:r>
    </w:p>
    <w:p w:rsidR="00D77C31" w:rsidRDefault="00D77C31" w:rsidP="00D77C31">
      <w:pPr>
        <w:pStyle w:val="H23"/>
        <w:ind w:right="1260"/>
      </w:pPr>
      <w:r w:rsidRPr="00CD598D">
        <w:t>European Agreement concerning</w:t>
      </w:r>
      <w:r>
        <w:t xml:space="preserve"> </w:t>
      </w:r>
      <w:r w:rsidRPr="00CD598D">
        <w:t xml:space="preserve">the International Carriage </w:t>
      </w:r>
    </w:p>
    <w:p w:rsidR="00D77C31" w:rsidRDefault="00D77C31" w:rsidP="00D77C31">
      <w:pPr>
        <w:pStyle w:val="H23"/>
        <w:ind w:right="1260"/>
      </w:pPr>
      <w:proofErr w:type="gramStart"/>
      <w:r w:rsidRPr="00CD598D">
        <w:t>of</w:t>
      </w:r>
      <w:proofErr w:type="gramEnd"/>
      <w:r w:rsidRPr="00CD598D">
        <w:t xml:space="preserve"> Dangerous Goods by Inland Waterways (ADN)</w:t>
      </w:r>
    </w:p>
    <w:p w:rsidR="00D77C31" w:rsidRPr="00CD598D" w:rsidRDefault="00D77C31" w:rsidP="00D77C31">
      <w:pPr>
        <w:pStyle w:val="H23"/>
        <w:ind w:right="1260"/>
      </w:pPr>
      <w:r w:rsidRPr="00CD598D">
        <w:t>(ADN Safety Committee)</w:t>
      </w:r>
    </w:p>
    <w:p w:rsidR="00D77C31" w:rsidRPr="00D77C31" w:rsidRDefault="00D77C31" w:rsidP="00D77C31">
      <w:pPr>
        <w:pStyle w:val="SingleTxt"/>
        <w:spacing w:after="0" w:line="120" w:lineRule="exact"/>
        <w:rPr>
          <w:sz w:val="10"/>
        </w:rPr>
      </w:pPr>
    </w:p>
    <w:p w:rsidR="00D77C31" w:rsidRPr="00CD598D" w:rsidRDefault="00D77C31" w:rsidP="00D77C31">
      <w:pPr>
        <w:pStyle w:val="H23"/>
        <w:ind w:right="1260"/>
      </w:pPr>
      <w:r w:rsidRPr="00CD598D">
        <w:t xml:space="preserve">Twenty-eighth </w:t>
      </w:r>
      <w:proofErr w:type="gramStart"/>
      <w:r w:rsidRPr="00CD598D">
        <w:t>session</w:t>
      </w:r>
      <w:proofErr w:type="gramEnd"/>
    </w:p>
    <w:p w:rsidR="00D77C31" w:rsidRPr="00CD598D" w:rsidRDefault="00D77C31" w:rsidP="00D77C3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D598D">
        <w:t>Geneva, 25-29 January 2016</w:t>
      </w:r>
    </w:p>
    <w:p w:rsidR="00D77C31" w:rsidRPr="00CD598D" w:rsidRDefault="00D77C31" w:rsidP="00D77C3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D598D">
        <w:t>Item 5 (b) of the provisional agenda</w:t>
      </w:r>
    </w:p>
    <w:p w:rsidR="00D77C31" w:rsidRPr="00CD598D" w:rsidRDefault="00D77C31" w:rsidP="00D77C31">
      <w:pPr>
        <w:pStyle w:val="H23"/>
        <w:ind w:right="1260"/>
      </w:pPr>
      <w:r w:rsidRPr="00CD598D">
        <w:t>Proposals for amendments to the Regulations annexed to ADN:</w:t>
      </w:r>
    </w:p>
    <w:p w:rsidR="00D77C31" w:rsidRPr="00CD598D" w:rsidRDefault="00D77C31" w:rsidP="00D77C31">
      <w:pPr>
        <w:pStyle w:val="H23"/>
        <w:ind w:right="1260"/>
      </w:pPr>
      <w:r w:rsidRPr="00CD598D">
        <w:t>Other proposals</w:t>
      </w:r>
    </w:p>
    <w:p w:rsidR="00D77C31" w:rsidRPr="00D77C31" w:rsidRDefault="00D77C31" w:rsidP="00D77C31">
      <w:pPr>
        <w:pStyle w:val="SingleTxt"/>
        <w:spacing w:after="0" w:line="120" w:lineRule="exact"/>
        <w:rPr>
          <w:sz w:val="10"/>
        </w:rPr>
      </w:pPr>
    </w:p>
    <w:p w:rsidR="00D77C31" w:rsidRPr="00D77C31" w:rsidRDefault="00D77C31" w:rsidP="00D77C31">
      <w:pPr>
        <w:pStyle w:val="SingleTxt"/>
        <w:spacing w:after="0" w:line="120" w:lineRule="exact"/>
        <w:rPr>
          <w:sz w:val="10"/>
        </w:rPr>
      </w:pPr>
    </w:p>
    <w:p w:rsidR="00D77C31" w:rsidRPr="00D77C31" w:rsidRDefault="00D77C31" w:rsidP="00D77C31">
      <w:pPr>
        <w:pStyle w:val="SingleTxt"/>
        <w:spacing w:after="0" w:line="120" w:lineRule="exact"/>
        <w:rPr>
          <w:sz w:val="10"/>
        </w:rPr>
      </w:pPr>
    </w:p>
    <w:p w:rsidR="00D77C31" w:rsidRPr="00CD598D" w:rsidRDefault="00D77C31" w:rsidP="00D77C31">
      <w:pPr>
        <w:pStyle w:val="HCh"/>
        <w:ind w:left="1267" w:right="1260" w:hanging="1267"/>
      </w:pPr>
      <w:r w:rsidRPr="00CD598D">
        <w:tab/>
      </w:r>
      <w:r w:rsidRPr="00CD598D">
        <w:tab/>
        <w:t>1.4.3 ADN, obligations of the filler and the unloader</w:t>
      </w:r>
    </w:p>
    <w:p w:rsidR="00D77C31" w:rsidRPr="00D77C31" w:rsidRDefault="00D77C31" w:rsidP="00D77C31">
      <w:pPr>
        <w:pStyle w:val="SingleTxt"/>
        <w:spacing w:after="0" w:line="120" w:lineRule="exact"/>
        <w:rPr>
          <w:sz w:val="10"/>
        </w:rPr>
      </w:pPr>
    </w:p>
    <w:p w:rsidR="00D77C31" w:rsidRPr="00D77C31" w:rsidRDefault="00D77C31" w:rsidP="00D77C31">
      <w:pPr>
        <w:pStyle w:val="SingleTxt"/>
        <w:spacing w:after="0" w:line="120" w:lineRule="exact"/>
        <w:rPr>
          <w:sz w:val="10"/>
        </w:rPr>
      </w:pPr>
    </w:p>
    <w:p w:rsidR="00D77C31" w:rsidRDefault="00D77C31" w:rsidP="00D77C31">
      <w:pPr>
        <w:pStyle w:val="H1"/>
        <w:ind w:right="1260"/>
      </w:pPr>
      <w:r>
        <w:tab/>
      </w:r>
      <w:r>
        <w:tab/>
      </w:r>
      <w:r w:rsidRPr="00CD598D">
        <w:t>Transmitted by the Government of Germany</w:t>
      </w:r>
      <w:r w:rsidRPr="002271CA">
        <w:rPr>
          <w:b w:val="0"/>
          <w:bCs/>
          <w:sz w:val="20"/>
          <w:vertAlign w:val="superscript"/>
        </w:rPr>
        <w:footnoteReference w:id="1"/>
      </w:r>
    </w:p>
    <w:p w:rsidR="00D77C31" w:rsidRPr="00D77C31" w:rsidRDefault="00D77C31" w:rsidP="00D77C31">
      <w:pPr>
        <w:pStyle w:val="SingleTxt"/>
        <w:spacing w:after="0" w:line="120" w:lineRule="exact"/>
        <w:rPr>
          <w:sz w:val="10"/>
        </w:rPr>
      </w:pPr>
    </w:p>
    <w:p w:rsidR="00D77C31" w:rsidRDefault="00D77C31" w:rsidP="00D77C31">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77C31" w:rsidTr="00D77C31">
        <w:tc>
          <w:tcPr>
            <w:tcW w:w="10051" w:type="dxa"/>
            <w:tcBorders>
              <w:top w:val="single" w:sz="2" w:space="0" w:color="auto"/>
            </w:tcBorders>
            <w:shd w:val="clear" w:color="auto" w:fill="auto"/>
          </w:tcPr>
          <w:p w:rsidR="00D77C31" w:rsidRPr="00D77C31" w:rsidRDefault="00D77C31" w:rsidP="00D77C31">
            <w:pPr>
              <w:tabs>
                <w:tab w:val="left" w:pos="240"/>
              </w:tabs>
              <w:spacing w:before="240" w:after="120"/>
              <w:rPr>
                <w:i/>
                <w:sz w:val="24"/>
              </w:rPr>
            </w:pPr>
            <w:r>
              <w:rPr>
                <w:i/>
                <w:sz w:val="24"/>
              </w:rPr>
              <w:tab/>
              <w:t>Summary</w:t>
            </w:r>
          </w:p>
        </w:tc>
      </w:tr>
      <w:tr w:rsidR="00D77C31" w:rsidTr="00D77C31">
        <w:tc>
          <w:tcPr>
            <w:tcW w:w="10051" w:type="dxa"/>
            <w:shd w:val="clear" w:color="auto" w:fill="auto"/>
          </w:tcPr>
          <w:p w:rsidR="00D77C31" w:rsidRPr="00D77C31" w:rsidRDefault="00D77C31" w:rsidP="00D77C31">
            <w:pPr>
              <w:pStyle w:val="SingleTxtG"/>
              <w:spacing w:after="60"/>
              <w:ind w:left="2552" w:hanging="2268"/>
            </w:pPr>
            <w:r w:rsidRPr="00D77C31">
              <w:rPr>
                <w:b/>
                <w:szCs w:val="22"/>
              </w:rPr>
              <w:t>Executive summary</w:t>
            </w:r>
            <w:r w:rsidR="002557F5" w:rsidRPr="002557F5">
              <w:rPr>
                <w:bCs/>
                <w:szCs w:val="22"/>
              </w:rPr>
              <w:t>:</w:t>
            </w:r>
            <w:r w:rsidRPr="00D77C31">
              <w:rPr>
                <w:b/>
                <w:szCs w:val="22"/>
              </w:rPr>
              <w:tab/>
            </w:r>
            <w:r w:rsidRPr="00D77C31">
              <w:rPr>
                <w:bCs/>
                <w:szCs w:val="22"/>
              </w:rPr>
              <w:t>The wording of the instructions relating to the calculation of and compliance with the permissible loading and unloading flows described in 9.3.2.25.9 and 9.3.3.25.9 is inaccurate and vague.</w:t>
            </w:r>
          </w:p>
        </w:tc>
      </w:tr>
      <w:tr w:rsidR="00D77C31" w:rsidTr="00D77C31">
        <w:tc>
          <w:tcPr>
            <w:tcW w:w="10051" w:type="dxa"/>
            <w:shd w:val="clear" w:color="auto" w:fill="auto"/>
          </w:tcPr>
          <w:p w:rsidR="00D77C31" w:rsidRPr="00D77C31" w:rsidRDefault="00D77C31" w:rsidP="00D77C31">
            <w:pPr>
              <w:pStyle w:val="SingleTxtG"/>
              <w:spacing w:after="60"/>
              <w:ind w:left="2552" w:hanging="2268"/>
            </w:pPr>
            <w:r w:rsidRPr="00D77C31">
              <w:rPr>
                <w:b/>
                <w:szCs w:val="22"/>
              </w:rPr>
              <w:t>Action to be taken</w:t>
            </w:r>
            <w:r w:rsidRPr="002557F5">
              <w:rPr>
                <w:bCs/>
                <w:szCs w:val="22"/>
              </w:rPr>
              <w:t>:</w:t>
            </w:r>
            <w:r w:rsidRPr="00D77C31">
              <w:rPr>
                <w:b/>
                <w:szCs w:val="22"/>
              </w:rPr>
              <w:tab/>
            </w:r>
            <w:r w:rsidRPr="00D77C31">
              <w:rPr>
                <w:bCs/>
                <w:szCs w:val="22"/>
              </w:rPr>
              <w:t>Amend the obligations relating to compliance with loading and unloading rates at 1.4.3.3, for the filler, and 1.4.3.7.1, for the unloader;</w:t>
            </w:r>
            <w:r>
              <w:rPr>
                <w:bCs/>
                <w:szCs w:val="22"/>
              </w:rPr>
              <w:t xml:space="preserve"> </w:t>
            </w:r>
            <w:r w:rsidRPr="00D77C31">
              <w:rPr>
                <w:bCs/>
                <w:szCs w:val="22"/>
              </w:rPr>
              <w:t>amend the indications in the certificate of approval for tank vessels;</w:t>
            </w:r>
            <w:r>
              <w:rPr>
                <w:bCs/>
                <w:szCs w:val="22"/>
              </w:rPr>
              <w:t xml:space="preserve"> </w:t>
            </w:r>
            <w:r w:rsidRPr="00D77C31">
              <w:rPr>
                <w:bCs/>
                <w:szCs w:val="22"/>
              </w:rPr>
              <w:t>define who should write the instructions for permissible loading and unloading rates.</w:t>
            </w:r>
          </w:p>
        </w:tc>
      </w:tr>
      <w:tr w:rsidR="00D77C31" w:rsidTr="00D77C31">
        <w:tc>
          <w:tcPr>
            <w:tcW w:w="10051" w:type="dxa"/>
            <w:tcBorders>
              <w:bottom w:val="nil"/>
            </w:tcBorders>
            <w:shd w:val="clear" w:color="auto" w:fill="auto"/>
          </w:tcPr>
          <w:p w:rsidR="00D77C31" w:rsidRPr="00D77C31" w:rsidRDefault="00D77C31" w:rsidP="00D77C31">
            <w:pPr>
              <w:pStyle w:val="SingleTxtG"/>
              <w:spacing w:after="60"/>
              <w:ind w:left="2552" w:hanging="2268"/>
            </w:pPr>
            <w:r w:rsidRPr="00D77C31">
              <w:rPr>
                <w:b/>
                <w:szCs w:val="22"/>
              </w:rPr>
              <w:t>Related documents</w:t>
            </w:r>
            <w:r w:rsidRPr="002557F5">
              <w:rPr>
                <w:bCs/>
                <w:szCs w:val="22"/>
              </w:rPr>
              <w:t>:</w:t>
            </w:r>
            <w:r w:rsidRPr="00D77C31">
              <w:rPr>
                <w:b/>
                <w:szCs w:val="22"/>
              </w:rPr>
              <w:tab/>
            </w:r>
            <w:r w:rsidRPr="00D77C31">
              <w:rPr>
                <w:bCs/>
                <w:szCs w:val="22"/>
              </w:rPr>
              <w:t>None</w:t>
            </w:r>
          </w:p>
        </w:tc>
      </w:tr>
      <w:tr w:rsidR="00D77C31" w:rsidTr="00D77C31">
        <w:tc>
          <w:tcPr>
            <w:tcW w:w="10051" w:type="dxa"/>
            <w:tcBorders>
              <w:bottom w:val="single" w:sz="2" w:space="0" w:color="auto"/>
            </w:tcBorders>
            <w:shd w:val="clear" w:color="auto" w:fill="auto"/>
          </w:tcPr>
          <w:p w:rsidR="00D77C31" w:rsidRPr="00D77C31" w:rsidRDefault="00D77C31" w:rsidP="00D77C31">
            <w:pPr>
              <w:pStyle w:val="SingleTxt"/>
            </w:pPr>
          </w:p>
        </w:tc>
      </w:tr>
    </w:tbl>
    <w:p w:rsidR="00D77C31" w:rsidRDefault="00D77C31" w:rsidP="00D77C31">
      <w:pPr>
        <w:pStyle w:val="SingleTxt"/>
        <w:spacing w:after="0" w:line="120" w:lineRule="exact"/>
        <w:rPr>
          <w:sz w:val="10"/>
        </w:rPr>
      </w:pPr>
    </w:p>
    <w:p w:rsidR="00D77C31" w:rsidRDefault="00D77C31" w:rsidP="00D77C31">
      <w:pPr>
        <w:pStyle w:val="SingleTxt"/>
        <w:spacing w:after="0" w:line="120" w:lineRule="exact"/>
        <w:rPr>
          <w:sz w:val="10"/>
        </w:rPr>
      </w:pPr>
    </w:p>
    <w:p w:rsidR="00D77C31" w:rsidRPr="00CD598D" w:rsidRDefault="00D77C31" w:rsidP="00D77C31">
      <w:pPr>
        <w:pStyle w:val="HCh"/>
        <w:ind w:left="1267" w:right="1260" w:hanging="1267"/>
      </w:pPr>
      <w:r w:rsidRPr="00CD598D">
        <w:tab/>
      </w:r>
      <w:r w:rsidRPr="00CD598D">
        <w:tab/>
        <w:t>Introduction</w:t>
      </w:r>
    </w:p>
    <w:p w:rsidR="00D77C31" w:rsidRPr="00D77C31" w:rsidRDefault="00D77C31" w:rsidP="00D77C31">
      <w:pPr>
        <w:pStyle w:val="SingleTxt"/>
        <w:spacing w:after="0" w:line="120" w:lineRule="exact"/>
        <w:rPr>
          <w:sz w:val="10"/>
        </w:rPr>
      </w:pPr>
    </w:p>
    <w:p w:rsidR="00D77C31" w:rsidRPr="00D77C31" w:rsidRDefault="00D77C31" w:rsidP="00D77C31">
      <w:pPr>
        <w:pStyle w:val="SingleTxt"/>
        <w:spacing w:after="0" w:line="120" w:lineRule="exact"/>
        <w:rPr>
          <w:sz w:val="10"/>
        </w:rPr>
      </w:pPr>
    </w:p>
    <w:p w:rsidR="00D77C31" w:rsidRPr="00CD598D" w:rsidRDefault="00D77C31" w:rsidP="00D77C31">
      <w:pPr>
        <w:pStyle w:val="SingleTxt"/>
      </w:pPr>
      <w:r w:rsidRPr="00CD598D">
        <w:t>1.</w:t>
      </w:r>
      <w:r w:rsidRPr="00CD598D">
        <w:tab/>
        <w:t>Sections 9.3.2.25.9 and 9.3.3.25.9 establish that, for type C and N tank vessels, the permissible loading and unloading flows shall be calculated. The permissible maximum loading and unloading flow for each cargo tank or each group of cargo tanks shall be given in an on-board instruction (see also 8.1.2.3 (</w:t>
      </w:r>
      <w:proofErr w:type="spellStart"/>
      <w:r w:rsidRPr="00CD598D">
        <w:t>i</w:t>
      </w:r>
      <w:proofErr w:type="spellEnd"/>
      <w:r w:rsidRPr="00CD598D">
        <w:t>)).</w:t>
      </w:r>
    </w:p>
    <w:p w:rsidR="00D77C31" w:rsidRPr="00CD598D" w:rsidRDefault="00D77C31" w:rsidP="00D77C31">
      <w:pPr>
        <w:pStyle w:val="SingleTxt"/>
      </w:pPr>
      <w:r w:rsidRPr="00CD598D">
        <w:lastRenderedPageBreak/>
        <w:t>2.</w:t>
      </w:r>
      <w:r w:rsidRPr="00CD598D">
        <w:tab/>
        <w:t xml:space="preserve">The filler, in 1.4.3.3 (s), or the unloader, in 1.4.3.7.1 (j), is required to follow the </w:t>
      </w:r>
      <w:r w:rsidR="002271CA">
        <w:t>“</w:t>
      </w:r>
      <w:r w:rsidRPr="00CD598D">
        <w:t>loading instructions</w:t>
      </w:r>
      <w:r w:rsidR="002271CA">
        <w:t>”</w:t>
      </w:r>
      <w:r w:rsidRPr="00CD598D">
        <w:t>. This expression does not correspond to the text of the rules for construction at 9.3.2.25.9 and 9.3.3.25.9 and may lead to misunderstandings.</w:t>
      </w:r>
    </w:p>
    <w:p w:rsidR="00D77C31" w:rsidRPr="00CD598D" w:rsidRDefault="00D77C31" w:rsidP="00D77C31">
      <w:pPr>
        <w:pStyle w:val="SingleTxt"/>
      </w:pPr>
      <w:r w:rsidRPr="00CD598D">
        <w:t>3.</w:t>
      </w:r>
      <w:r w:rsidRPr="00CD598D">
        <w:tab/>
        <w:t xml:space="preserve">In 1.4.3.7.1 (j), the unloader must ascertain that the </w:t>
      </w:r>
      <w:r w:rsidRPr="00D77C31">
        <w:rPr>
          <w:b/>
          <w:bCs/>
        </w:rPr>
        <w:t>loading</w:t>
      </w:r>
      <w:r w:rsidRPr="00CD598D">
        <w:t xml:space="preserve"> flows conform. He cannot do so, because he is </w:t>
      </w:r>
      <w:r w:rsidRPr="00D77C31">
        <w:rPr>
          <w:b/>
          <w:bCs/>
        </w:rPr>
        <w:t>unloading</w:t>
      </w:r>
      <w:r w:rsidRPr="00CD598D">
        <w:t>, not loading, the vessel.</w:t>
      </w:r>
    </w:p>
    <w:p w:rsidR="00D77C31" w:rsidRPr="00CD598D" w:rsidRDefault="00D77C31" w:rsidP="00D77C31">
      <w:pPr>
        <w:pStyle w:val="SingleTxt"/>
      </w:pPr>
      <w:r w:rsidRPr="00CD598D">
        <w:t>4.</w:t>
      </w:r>
      <w:r w:rsidRPr="00CD598D">
        <w:tab/>
        <w:t>Section 8.1.2.3 (</w:t>
      </w:r>
      <w:proofErr w:type="spellStart"/>
      <w:r w:rsidRPr="00CD598D">
        <w:t>i</w:t>
      </w:r>
      <w:proofErr w:type="spellEnd"/>
      <w:r w:rsidRPr="00CD598D">
        <w:t xml:space="preserve">) correctly refers to the </w:t>
      </w:r>
      <w:r w:rsidR="002271CA">
        <w:t>“</w:t>
      </w:r>
      <w:r w:rsidRPr="00CD598D">
        <w:t>instructions for loading and unloading flows</w:t>
      </w:r>
      <w:r w:rsidR="002271CA">
        <w:t>”</w:t>
      </w:r>
      <w:r w:rsidRPr="00CD598D">
        <w:t>.</w:t>
      </w:r>
    </w:p>
    <w:p w:rsidR="00D77C31" w:rsidRPr="00CD598D" w:rsidRDefault="00D77C31" w:rsidP="00D77C31">
      <w:pPr>
        <w:pStyle w:val="SingleTxt"/>
      </w:pPr>
      <w:r w:rsidRPr="00CD598D">
        <w:t>5.</w:t>
      </w:r>
      <w:r w:rsidRPr="00CD598D">
        <w:tab/>
        <w:t xml:space="preserve">The model certificate of approval for tank vessels (8.6.1.3) refers in point 10, inaccurately and too restrictively, only to </w:t>
      </w:r>
      <w:r w:rsidR="002271CA">
        <w:t>“</w:t>
      </w:r>
      <w:r w:rsidRPr="00CD598D">
        <w:t>Loading rate</w:t>
      </w:r>
      <w:r w:rsidR="002271CA">
        <w:t>”</w:t>
      </w:r>
      <w:r w:rsidRPr="00CD598D">
        <w:t xml:space="preserve"> and also to </w:t>
      </w:r>
      <w:r w:rsidR="002271CA">
        <w:t>“</w:t>
      </w:r>
      <w:r w:rsidRPr="00CD598D">
        <w:t>loading instructions</w:t>
      </w:r>
      <w:r w:rsidR="002271CA">
        <w:t>”</w:t>
      </w:r>
      <w:r w:rsidRPr="00CD598D">
        <w:t>.</w:t>
      </w:r>
    </w:p>
    <w:p w:rsidR="00D77C31" w:rsidRPr="00CD598D" w:rsidRDefault="00D77C31" w:rsidP="00D77C31">
      <w:pPr>
        <w:pStyle w:val="SingleTxt"/>
      </w:pPr>
      <w:r w:rsidRPr="00CD598D">
        <w:t>6.</w:t>
      </w:r>
      <w:r>
        <w:tab/>
      </w:r>
      <w:r w:rsidRPr="00CD598D">
        <w:t>Sections 9.3.2.25.9 and 9.3.3.25.9 do not define who is responsible for the correct formulation of the instructions for permissible loading and unloading rates.</w:t>
      </w:r>
    </w:p>
    <w:p w:rsidR="00D77C31" w:rsidRPr="00CD598D" w:rsidRDefault="00D77C31" w:rsidP="00D77C31">
      <w:pPr>
        <w:pStyle w:val="SingleTxt"/>
      </w:pPr>
      <w:r w:rsidRPr="00CD598D">
        <w:t>7.</w:t>
      </w:r>
      <w:r w:rsidRPr="00CD598D">
        <w:tab/>
        <w:t>At its twenty-seventh session, the Safety Committee recognized these inconsistencies in principle and invited the German delegation to submit a working document at the next session.</w:t>
      </w:r>
    </w:p>
    <w:p w:rsidR="00D77C31" w:rsidRPr="00D77C31" w:rsidRDefault="00D77C31" w:rsidP="00D77C31">
      <w:pPr>
        <w:pStyle w:val="HCh"/>
        <w:spacing w:line="120" w:lineRule="exact"/>
        <w:ind w:left="1267" w:right="1260" w:hanging="1267"/>
        <w:rPr>
          <w:sz w:val="10"/>
        </w:rPr>
      </w:pPr>
    </w:p>
    <w:p w:rsidR="00D77C31" w:rsidRPr="00D77C31" w:rsidRDefault="00D77C31" w:rsidP="00D77C31">
      <w:pPr>
        <w:pStyle w:val="HCh"/>
        <w:spacing w:line="120" w:lineRule="exact"/>
        <w:ind w:left="1267" w:right="1260" w:hanging="1267"/>
        <w:rPr>
          <w:sz w:val="10"/>
        </w:rPr>
      </w:pPr>
    </w:p>
    <w:p w:rsidR="00D77C31" w:rsidRPr="00CD598D" w:rsidRDefault="00D77C31" w:rsidP="00D77C31">
      <w:pPr>
        <w:pStyle w:val="HCh"/>
        <w:ind w:left="1267" w:right="1260" w:hanging="1267"/>
      </w:pPr>
      <w:r w:rsidRPr="00CD598D">
        <w:tab/>
      </w:r>
      <w:r w:rsidRPr="00CD598D">
        <w:tab/>
        <w:t>Proposal</w:t>
      </w:r>
    </w:p>
    <w:p w:rsidR="00D77C31" w:rsidRPr="00D77C31" w:rsidRDefault="00D77C31" w:rsidP="00D77C31">
      <w:pPr>
        <w:pStyle w:val="SingleTxt"/>
        <w:spacing w:after="0" w:line="120" w:lineRule="exact"/>
        <w:rPr>
          <w:sz w:val="10"/>
        </w:rPr>
      </w:pPr>
    </w:p>
    <w:p w:rsidR="00D77C31" w:rsidRPr="00D77C31" w:rsidRDefault="00D77C31" w:rsidP="00D77C31">
      <w:pPr>
        <w:pStyle w:val="SingleTxt"/>
        <w:spacing w:after="0" w:line="120" w:lineRule="exact"/>
        <w:rPr>
          <w:sz w:val="10"/>
        </w:rPr>
      </w:pPr>
    </w:p>
    <w:p w:rsidR="00D77C31" w:rsidRPr="00CD598D" w:rsidRDefault="00D77C31" w:rsidP="00D77C31">
      <w:pPr>
        <w:pStyle w:val="SingleTxt"/>
      </w:pPr>
      <w:r w:rsidRPr="00CD598D">
        <w:t>8.</w:t>
      </w:r>
      <w:r w:rsidRPr="00CD598D">
        <w:tab/>
        <w:t>In 1.4.3.3 (filler), amend subparagraph (s) as follows:</w:t>
      </w:r>
    </w:p>
    <w:p w:rsidR="00D77C31" w:rsidRPr="00CD598D" w:rsidRDefault="002271CA" w:rsidP="002557F5">
      <w:pPr>
        <w:pStyle w:val="SingleTxt"/>
        <w:ind w:left="1742"/>
      </w:pPr>
      <w:r>
        <w:t>“</w:t>
      </w:r>
      <w:r w:rsidR="00D77C31" w:rsidRPr="00CD598D">
        <w:t>(s)</w:t>
      </w:r>
      <w:r w:rsidR="00D77C31">
        <w:tab/>
      </w:r>
      <w:r w:rsidR="00D77C31" w:rsidRPr="00CD598D">
        <w:t>He shall ascertain that loading flows conform to the instructions on</w:t>
      </w:r>
      <w:r>
        <w:t xml:space="preserve"> </w:t>
      </w:r>
      <w:r w:rsidR="00D77C31" w:rsidRPr="00CD598D">
        <w:t xml:space="preserve">loading </w:t>
      </w:r>
      <w:r w:rsidR="00D77C31" w:rsidRPr="00D77C31">
        <w:rPr>
          <w:u w:val="single"/>
        </w:rPr>
        <w:t xml:space="preserve">and </w:t>
      </w:r>
      <w:r w:rsidR="00D77C31" w:rsidRPr="002271CA">
        <w:rPr>
          <w:u w:val="single"/>
        </w:rPr>
        <w:t>unloading flows</w:t>
      </w:r>
      <w:r w:rsidR="00D77C31" w:rsidRPr="00CD598D">
        <w:t xml:space="preserve"> referred to in 9.3.2.25.9 or 9.3.3.25.9 and that the pressure at the crossing-point of the gas discharge pipe or the compensation pipe is not greater than the opening pressure of the high velocity vent valve;</w:t>
      </w:r>
      <w:r>
        <w:t>”</w:t>
      </w:r>
    </w:p>
    <w:p w:rsidR="00D77C31" w:rsidRPr="00CD598D" w:rsidRDefault="00D77C31" w:rsidP="00D77C31">
      <w:pPr>
        <w:pStyle w:val="SingleTxt"/>
      </w:pPr>
      <w:r w:rsidRPr="00CD598D">
        <w:t>9.</w:t>
      </w:r>
      <w:r w:rsidRPr="00CD598D">
        <w:tab/>
        <w:t>In 1.4.3.7.1, amend subparagraph (j) as follows:</w:t>
      </w:r>
    </w:p>
    <w:p w:rsidR="00D77C31" w:rsidRPr="00CD598D" w:rsidRDefault="002271CA" w:rsidP="002557F5">
      <w:pPr>
        <w:pStyle w:val="SingleTxt"/>
        <w:ind w:left="1742"/>
      </w:pPr>
      <w:r>
        <w:t>“</w:t>
      </w:r>
      <w:r w:rsidR="00D77C31" w:rsidRPr="00CD598D">
        <w:t>(j)</w:t>
      </w:r>
      <w:r w:rsidR="00D77C31">
        <w:tab/>
      </w:r>
      <w:r w:rsidR="00D77C31" w:rsidRPr="00CD598D">
        <w:t xml:space="preserve">Ascertain that the </w:t>
      </w:r>
      <w:r w:rsidR="00D77C31" w:rsidRPr="00D77C31">
        <w:rPr>
          <w:u w:val="single"/>
        </w:rPr>
        <w:t>un</w:t>
      </w:r>
      <w:r w:rsidR="00D77C31" w:rsidRPr="00CD598D">
        <w:t>loading flows conform to the instructions on loading</w:t>
      </w:r>
      <w:r>
        <w:t xml:space="preserve"> </w:t>
      </w:r>
      <w:r w:rsidR="00D77C31" w:rsidRPr="00D77C31">
        <w:rPr>
          <w:u w:val="single"/>
        </w:rPr>
        <w:t>and unloading flows</w:t>
      </w:r>
      <w:r w:rsidR="00D77C31" w:rsidRPr="00CD598D">
        <w:t xml:space="preserve"> referred to in 9.3.2.25.9 or 9.3.3.25.9 and that the pressure at the connecting-point of the gas discharge pipe or the gas return pipe does not exceed the opening pressure of the high velocity vent valve;</w:t>
      </w:r>
    </w:p>
    <w:p w:rsidR="00D77C31" w:rsidRPr="00CD598D" w:rsidRDefault="00D77C31" w:rsidP="00D77C31">
      <w:pPr>
        <w:pStyle w:val="SingleTxt"/>
      </w:pPr>
      <w:r w:rsidRPr="00CD598D">
        <w:t>10.</w:t>
      </w:r>
      <w:r w:rsidRPr="00CD598D">
        <w:tab/>
        <w:t>In 8.6.1.3, amend item 10 of the model certificate of approval for tank vessels as follows:</w:t>
      </w:r>
    </w:p>
    <w:p w:rsidR="00D77C31" w:rsidRPr="00CD598D" w:rsidRDefault="002271CA" w:rsidP="002557F5">
      <w:pPr>
        <w:pStyle w:val="SingleTxt"/>
        <w:ind w:left="1742"/>
      </w:pPr>
      <w:r>
        <w:t>“</w:t>
      </w:r>
      <w:r w:rsidR="00D77C31" w:rsidRPr="00CD598D">
        <w:t xml:space="preserve">10. </w:t>
      </w:r>
      <w:r w:rsidR="00D77C31" w:rsidRPr="00CD598D">
        <w:tab/>
        <w:t>Loading/</w:t>
      </w:r>
      <w:r w:rsidR="00D77C31" w:rsidRPr="00D77C31">
        <w:rPr>
          <w:u w:val="single"/>
        </w:rPr>
        <w:t>unloading</w:t>
      </w:r>
      <w:r w:rsidR="002557F5">
        <w:t xml:space="preserve"> rate</w:t>
      </w:r>
      <w:proofErr w:type="gramStart"/>
      <w:r w:rsidR="002557F5">
        <w:t xml:space="preserve">:   </w:t>
      </w:r>
      <w:r w:rsidR="00D77C31" w:rsidRPr="00CD598D">
        <w:t>....</w:t>
      </w:r>
      <w:proofErr w:type="gramEnd"/>
      <w:r w:rsidR="00D77C31" w:rsidRPr="00CD598D">
        <w:t>m</w:t>
      </w:r>
      <w:r w:rsidR="00D77C31" w:rsidRPr="002271CA">
        <w:rPr>
          <w:vertAlign w:val="superscript"/>
        </w:rPr>
        <w:t>3</w:t>
      </w:r>
      <w:r w:rsidR="00D77C31" w:rsidRPr="00CD598D">
        <w:t>/h</w:t>
      </w:r>
      <w:r w:rsidR="00D77C31" w:rsidRPr="002271CA">
        <w:rPr>
          <w:vertAlign w:val="superscript"/>
        </w:rPr>
        <w:t>1</w:t>
      </w:r>
      <w:r w:rsidR="00D77C31" w:rsidRPr="002557F5">
        <w:rPr>
          <w:vertAlign w:val="superscript"/>
        </w:rPr>
        <w:t>)</w:t>
      </w:r>
      <w:r w:rsidR="00D77C31" w:rsidRPr="00CD598D">
        <w:t xml:space="preserve"> or see loading/</w:t>
      </w:r>
      <w:r w:rsidR="00D77C31" w:rsidRPr="00D77C31">
        <w:rPr>
          <w:u w:val="single"/>
        </w:rPr>
        <w:t>unloading</w:t>
      </w:r>
      <w:r w:rsidR="00D77C31" w:rsidRPr="00CD598D">
        <w:t xml:space="preserve"> instructions</w:t>
      </w:r>
      <w:r w:rsidR="00D77C31" w:rsidRPr="00D77C31">
        <w:rPr>
          <w:vertAlign w:val="superscript"/>
        </w:rPr>
        <w:t>1)</w:t>
      </w:r>
      <w:r w:rsidR="00D77C31" w:rsidRPr="00CD598D">
        <w:t>.</w:t>
      </w:r>
      <w:r>
        <w:t>”</w:t>
      </w:r>
    </w:p>
    <w:p w:rsidR="00D77C31" w:rsidRPr="00CD598D" w:rsidRDefault="00D77C31" w:rsidP="00D77C31">
      <w:pPr>
        <w:pStyle w:val="SingleTxt"/>
      </w:pPr>
      <w:r w:rsidRPr="00CD598D">
        <w:t>11.</w:t>
      </w:r>
      <w:r w:rsidRPr="00CD598D">
        <w:tab/>
        <w:t>In 8.6.1.4, amend item 10 of the model provisional certificate of approval for tank vessels as follows:</w:t>
      </w:r>
    </w:p>
    <w:p w:rsidR="00D77C31" w:rsidRPr="00CD598D" w:rsidRDefault="002271CA" w:rsidP="002557F5">
      <w:pPr>
        <w:pStyle w:val="SingleTxt"/>
        <w:ind w:left="1742"/>
      </w:pPr>
      <w:r>
        <w:t>“</w:t>
      </w:r>
      <w:r w:rsidR="00D77C31" w:rsidRPr="00CD598D">
        <w:t xml:space="preserve">10. </w:t>
      </w:r>
      <w:r w:rsidR="00D77C31" w:rsidRPr="00CD598D">
        <w:tab/>
        <w:t>Loading/</w:t>
      </w:r>
      <w:r w:rsidR="00D77C31" w:rsidRPr="00D77C31">
        <w:rPr>
          <w:u w:val="single"/>
        </w:rPr>
        <w:t>unloading</w:t>
      </w:r>
      <w:r w:rsidR="00D77C31" w:rsidRPr="00D77C31">
        <w:t xml:space="preserve"> </w:t>
      </w:r>
      <w:r w:rsidR="002557F5">
        <w:t>rate</w:t>
      </w:r>
      <w:proofErr w:type="gramStart"/>
      <w:r w:rsidR="002557F5">
        <w:t xml:space="preserve">:   </w:t>
      </w:r>
      <w:r w:rsidR="00D77C31" w:rsidRPr="00CD598D">
        <w:t>....</w:t>
      </w:r>
      <w:proofErr w:type="gramEnd"/>
      <w:r w:rsidR="00D77C31" w:rsidRPr="00CD598D">
        <w:t>m</w:t>
      </w:r>
      <w:r w:rsidR="00D77C31" w:rsidRPr="002271CA">
        <w:rPr>
          <w:vertAlign w:val="superscript"/>
        </w:rPr>
        <w:t>3</w:t>
      </w:r>
      <w:r w:rsidR="00D77C31" w:rsidRPr="00CD598D">
        <w:t>/h</w:t>
      </w:r>
      <w:r w:rsidR="00D77C31" w:rsidRPr="002271CA">
        <w:rPr>
          <w:vertAlign w:val="superscript"/>
        </w:rPr>
        <w:t>1</w:t>
      </w:r>
      <w:r w:rsidR="00D77C31" w:rsidRPr="002557F5">
        <w:rPr>
          <w:vertAlign w:val="superscript"/>
        </w:rPr>
        <w:t xml:space="preserve">) </w:t>
      </w:r>
      <w:r w:rsidR="00D77C31" w:rsidRPr="00CD598D">
        <w:t>or see loading/</w:t>
      </w:r>
      <w:r w:rsidR="00D77C31" w:rsidRPr="00D77C31">
        <w:rPr>
          <w:u w:val="single"/>
        </w:rPr>
        <w:t>unloading</w:t>
      </w:r>
      <w:r w:rsidR="00D77C31" w:rsidRPr="00CD598D">
        <w:t xml:space="preserve"> instructions</w:t>
      </w:r>
      <w:r w:rsidR="00D77C31" w:rsidRPr="00D77C31">
        <w:rPr>
          <w:vertAlign w:val="superscript"/>
        </w:rPr>
        <w:t>1)</w:t>
      </w:r>
      <w:r w:rsidR="00D77C31" w:rsidRPr="00CD598D">
        <w:t>.</w:t>
      </w:r>
      <w:r>
        <w:t>”</w:t>
      </w:r>
    </w:p>
    <w:p w:rsidR="00D77C31" w:rsidRPr="00CD598D" w:rsidRDefault="00D77C31" w:rsidP="00D77C31">
      <w:pPr>
        <w:pStyle w:val="SingleTxt"/>
      </w:pPr>
      <w:r w:rsidRPr="00CD598D">
        <w:t>12.</w:t>
      </w:r>
      <w:r w:rsidRPr="00CD598D">
        <w:tab/>
        <w:t>In 9.3.2.25.9 and 9.3.3.25.9, amend in each case the last sentence as follows:</w:t>
      </w:r>
    </w:p>
    <w:p w:rsidR="00D77C31" w:rsidRPr="00CD598D" w:rsidRDefault="002271CA" w:rsidP="002557F5">
      <w:pPr>
        <w:pStyle w:val="SingleTxt"/>
        <w:ind w:left="1742"/>
      </w:pPr>
      <w:r>
        <w:t>“</w:t>
      </w:r>
      <w:r w:rsidR="00D77C31" w:rsidRPr="00CD598D">
        <w:t xml:space="preserve">The permissible maximum loading and unloading pressure for each cargo tank or for each group of cargo tanks shall be given in an on-board instruction </w:t>
      </w:r>
      <w:r w:rsidR="00D77C31" w:rsidRPr="00D77C31">
        <w:rPr>
          <w:u w:val="single"/>
        </w:rPr>
        <w:t>approved by the classification society that certified the vessel.</w:t>
      </w:r>
      <w:r>
        <w:t>”</w:t>
      </w:r>
    </w:p>
    <w:p w:rsidR="00D77C31" w:rsidRPr="00D77C31" w:rsidRDefault="00D77C31" w:rsidP="00D77C31">
      <w:pPr>
        <w:pStyle w:val="HCh"/>
        <w:spacing w:line="120" w:lineRule="exact"/>
        <w:ind w:left="1267" w:right="1260" w:hanging="1267"/>
        <w:rPr>
          <w:sz w:val="10"/>
        </w:rPr>
      </w:pPr>
    </w:p>
    <w:p w:rsidR="00D77C31" w:rsidRPr="00D77C31" w:rsidRDefault="00D77C31" w:rsidP="00D77C31">
      <w:pPr>
        <w:pStyle w:val="HCh"/>
        <w:spacing w:line="120" w:lineRule="exact"/>
        <w:ind w:left="1267" w:right="1260" w:hanging="1267"/>
        <w:rPr>
          <w:sz w:val="10"/>
        </w:rPr>
      </w:pPr>
    </w:p>
    <w:p w:rsidR="00D77C31" w:rsidRPr="00CD598D" w:rsidRDefault="00D77C31" w:rsidP="00D77C31">
      <w:pPr>
        <w:pStyle w:val="HCh"/>
        <w:ind w:left="1267" w:right="1260" w:hanging="1267"/>
      </w:pPr>
      <w:r w:rsidRPr="00CD598D">
        <w:tab/>
      </w:r>
      <w:r w:rsidRPr="00CD598D">
        <w:tab/>
        <w:t>Justification</w:t>
      </w:r>
    </w:p>
    <w:p w:rsidR="00D77C31" w:rsidRPr="00D77C31" w:rsidRDefault="00D77C31" w:rsidP="00D77C31">
      <w:pPr>
        <w:pStyle w:val="SingleTxt"/>
        <w:spacing w:after="0" w:line="120" w:lineRule="exact"/>
        <w:rPr>
          <w:sz w:val="10"/>
        </w:rPr>
      </w:pPr>
    </w:p>
    <w:p w:rsidR="00D77C31" w:rsidRPr="00D77C31" w:rsidRDefault="00D77C31" w:rsidP="00D77C31">
      <w:pPr>
        <w:pStyle w:val="SingleTxt"/>
        <w:spacing w:after="0" w:line="120" w:lineRule="exact"/>
        <w:rPr>
          <w:sz w:val="10"/>
        </w:rPr>
      </w:pPr>
    </w:p>
    <w:p w:rsidR="00D77C31" w:rsidRPr="00CD598D" w:rsidRDefault="00D77C31" w:rsidP="00D77C31">
      <w:pPr>
        <w:pStyle w:val="SingleTxt"/>
      </w:pPr>
      <w:r w:rsidRPr="00CD598D">
        <w:t>13.</w:t>
      </w:r>
      <w:r w:rsidRPr="00CD598D">
        <w:tab/>
        <w:t>By the amendments in paragraph 8 above, the filler</w:t>
      </w:r>
      <w:r w:rsidR="002271CA">
        <w:t>’</w:t>
      </w:r>
      <w:r w:rsidRPr="00CD598D">
        <w:t>s obligation is specified, and the instructions to be followed are clearly stated.</w:t>
      </w:r>
    </w:p>
    <w:p w:rsidR="00D77C31" w:rsidRPr="00CD598D" w:rsidRDefault="00D77C31" w:rsidP="00D77C31">
      <w:pPr>
        <w:pStyle w:val="SingleTxt"/>
      </w:pPr>
      <w:r w:rsidRPr="00CD598D">
        <w:lastRenderedPageBreak/>
        <w:t>14.</w:t>
      </w:r>
      <w:r w:rsidRPr="00CD598D">
        <w:tab/>
        <w:t>The amendment in paragraph 9 above removes from the obligations of the unloader a wrong reference to loading and specifies and clearly describes the instructions to be followed.</w:t>
      </w:r>
    </w:p>
    <w:p w:rsidR="00D77C31" w:rsidRPr="00CD598D" w:rsidRDefault="00D77C31" w:rsidP="00D77C31">
      <w:pPr>
        <w:pStyle w:val="SingleTxt"/>
      </w:pPr>
      <w:r w:rsidRPr="00CD598D">
        <w:t>15.</w:t>
      </w:r>
      <w:r w:rsidRPr="00CD598D">
        <w:tab/>
        <w:t>The amendments in paragraphs 10 and 11 above remove from the text of the certificate of approval and the provisional certificate of approval an unnecessary restriction on the loading rate that applies only to unloading, and gives the</w:t>
      </w:r>
      <w:r w:rsidR="002271CA">
        <w:t xml:space="preserve"> </w:t>
      </w:r>
      <w:r w:rsidRPr="00CD598D">
        <w:t>correct wording in accordance with the rules of construction.</w:t>
      </w:r>
    </w:p>
    <w:p w:rsidR="00D77C31" w:rsidRPr="00CD598D" w:rsidRDefault="00D77C31" w:rsidP="00D77C31">
      <w:pPr>
        <w:pStyle w:val="SingleTxt"/>
      </w:pPr>
      <w:r w:rsidRPr="00CD598D">
        <w:t>16.</w:t>
      </w:r>
      <w:r w:rsidRPr="00CD598D">
        <w:tab/>
        <w:t xml:space="preserve">The amendment in paragraph 11 above describes and clarifies for the first time </w:t>
      </w:r>
      <w:proofErr w:type="gramStart"/>
      <w:r w:rsidRPr="00CD598D">
        <w:t>who</w:t>
      </w:r>
      <w:proofErr w:type="gramEnd"/>
      <w:r w:rsidRPr="00CD598D">
        <w:t xml:space="preserve"> is responsible for the technically correct formulation of the loading and unloading instructions. It must be the classification society that certified the boat, because it is also that society that approves the design of cargo tanks and piping as part of the ADN monitoring procedure, and in accordance with its own rules for construction.</w:t>
      </w:r>
    </w:p>
    <w:p w:rsidR="00D77C31" w:rsidRPr="00D77C31" w:rsidRDefault="00D77C31" w:rsidP="00D77C31">
      <w:pPr>
        <w:pStyle w:val="HCh"/>
        <w:spacing w:line="120" w:lineRule="exact"/>
        <w:ind w:left="1267" w:right="1260" w:hanging="1267"/>
        <w:rPr>
          <w:sz w:val="10"/>
        </w:rPr>
      </w:pPr>
    </w:p>
    <w:p w:rsidR="00D77C31" w:rsidRPr="00D77C31" w:rsidRDefault="00D77C31" w:rsidP="00D77C31">
      <w:pPr>
        <w:pStyle w:val="HCh"/>
        <w:spacing w:line="120" w:lineRule="exact"/>
        <w:ind w:left="1267" w:right="1260" w:hanging="1267"/>
        <w:rPr>
          <w:sz w:val="10"/>
        </w:rPr>
      </w:pPr>
    </w:p>
    <w:p w:rsidR="00D77C31" w:rsidRPr="00CD598D" w:rsidRDefault="00D77C31" w:rsidP="00D77C31">
      <w:pPr>
        <w:pStyle w:val="HCh"/>
        <w:ind w:left="1267" w:right="1260" w:hanging="1267"/>
      </w:pPr>
      <w:r w:rsidRPr="00CD598D">
        <w:tab/>
      </w:r>
      <w:r w:rsidRPr="00CD598D">
        <w:tab/>
        <w:t>Safety</w:t>
      </w:r>
    </w:p>
    <w:p w:rsidR="00D77C31" w:rsidRPr="00D77C31" w:rsidRDefault="00D77C31" w:rsidP="00D77C31">
      <w:pPr>
        <w:pStyle w:val="SingleTxt"/>
        <w:spacing w:after="0" w:line="120" w:lineRule="exact"/>
        <w:rPr>
          <w:sz w:val="10"/>
        </w:rPr>
      </w:pPr>
    </w:p>
    <w:p w:rsidR="00D77C31" w:rsidRPr="00D77C31" w:rsidRDefault="00D77C31" w:rsidP="00D77C31">
      <w:pPr>
        <w:pStyle w:val="SingleTxt"/>
        <w:spacing w:after="0" w:line="120" w:lineRule="exact"/>
        <w:rPr>
          <w:sz w:val="10"/>
        </w:rPr>
      </w:pPr>
    </w:p>
    <w:p w:rsidR="00D77C31" w:rsidRPr="00CD598D" w:rsidRDefault="00D77C31" w:rsidP="00D77C31">
      <w:pPr>
        <w:pStyle w:val="SingleTxt"/>
      </w:pPr>
      <w:r w:rsidRPr="00CD598D">
        <w:t>17.</w:t>
      </w:r>
      <w:r w:rsidRPr="00CD598D">
        <w:tab/>
        <w:t>Transport safety is improved, insofar as there is an improvement in provisions that are unclear and could give rise to misinterpretation, and sources of technical errors in loading and unloading are removed.</w:t>
      </w:r>
    </w:p>
    <w:p w:rsidR="00D77C31" w:rsidRPr="00D77C31" w:rsidRDefault="00D77C31" w:rsidP="00D77C31">
      <w:pPr>
        <w:pStyle w:val="HCh"/>
        <w:spacing w:line="120" w:lineRule="exact"/>
        <w:ind w:left="1267" w:right="1260" w:hanging="1267"/>
        <w:rPr>
          <w:sz w:val="10"/>
        </w:rPr>
      </w:pPr>
    </w:p>
    <w:p w:rsidR="00D77C31" w:rsidRPr="00D77C31" w:rsidRDefault="00D77C31" w:rsidP="00D77C31">
      <w:pPr>
        <w:pStyle w:val="HCh"/>
        <w:spacing w:line="120" w:lineRule="exact"/>
        <w:ind w:left="1267" w:right="1260" w:hanging="1267"/>
        <w:rPr>
          <w:sz w:val="10"/>
        </w:rPr>
      </w:pPr>
    </w:p>
    <w:p w:rsidR="00D77C31" w:rsidRPr="00CD598D" w:rsidRDefault="00D77C31" w:rsidP="00D77C31">
      <w:pPr>
        <w:pStyle w:val="HCh"/>
        <w:ind w:left="1267" w:right="1260" w:hanging="1267"/>
      </w:pPr>
      <w:r w:rsidRPr="00CD598D">
        <w:tab/>
      </w:r>
      <w:r w:rsidRPr="00CD598D">
        <w:tab/>
        <w:t>Implementation</w:t>
      </w:r>
    </w:p>
    <w:p w:rsidR="00D77C31" w:rsidRPr="00D77C31" w:rsidRDefault="00D77C31" w:rsidP="00D77C31">
      <w:pPr>
        <w:pStyle w:val="SingleTxt"/>
        <w:spacing w:after="0" w:line="120" w:lineRule="exact"/>
        <w:rPr>
          <w:sz w:val="10"/>
        </w:rPr>
      </w:pPr>
    </w:p>
    <w:p w:rsidR="00D77C31" w:rsidRPr="00D77C31" w:rsidRDefault="00D77C31" w:rsidP="00D77C31">
      <w:pPr>
        <w:pStyle w:val="SingleTxt"/>
        <w:spacing w:after="0" w:line="120" w:lineRule="exact"/>
        <w:rPr>
          <w:sz w:val="10"/>
        </w:rPr>
      </w:pPr>
    </w:p>
    <w:p w:rsidR="00D77C31" w:rsidRDefault="00D77C31" w:rsidP="00D77C31">
      <w:pPr>
        <w:pStyle w:val="SingleTxt"/>
      </w:pPr>
      <w:r w:rsidRPr="00CD598D">
        <w:t>18.</w:t>
      </w:r>
      <w:r w:rsidRPr="00CD598D">
        <w:tab/>
        <w:t>No change in the design of the vessel or its equipment is required. Staff of the companies concerned can be informed very easily of the changes they need to be aware of in loading and unloading. Approval of these loading and unloading instructions is consistent with current practice.</w:t>
      </w:r>
    </w:p>
    <w:p w:rsidR="00D77C31" w:rsidRPr="00CD598D" w:rsidRDefault="00D77C31" w:rsidP="00D77C31">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77C31" w:rsidRPr="00CD598D" w:rsidSect="00CF258A">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EE" w:rsidRDefault="00110FEE">
      <w:r>
        <w:separator/>
      </w:r>
    </w:p>
  </w:endnote>
  <w:endnote w:type="continuationSeparator" w:id="0">
    <w:p w:rsidR="00110FEE" w:rsidRDefault="0011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F258A" w:rsidTr="00CF258A">
      <w:trPr>
        <w:jc w:val="center"/>
      </w:trPr>
      <w:tc>
        <w:tcPr>
          <w:tcW w:w="5126" w:type="dxa"/>
          <w:shd w:val="clear" w:color="auto" w:fill="auto"/>
        </w:tcPr>
        <w:p w:rsidR="00CF258A" w:rsidRPr="00CF258A" w:rsidRDefault="00CF258A" w:rsidP="00CF258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6C73">
            <w:rPr>
              <w:b w:val="0"/>
              <w:w w:val="103"/>
              <w:sz w:val="14"/>
            </w:rPr>
            <w:t>GE.15-19123</w:t>
          </w:r>
          <w:r>
            <w:rPr>
              <w:b w:val="0"/>
              <w:w w:val="103"/>
              <w:sz w:val="14"/>
            </w:rPr>
            <w:fldChar w:fldCharType="end"/>
          </w:r>
        </w:p>
      </w:tc>
      <w:tc>
        <w:tcPr>
          <w:tcW w:w="5127" w:type="dxa"/>
          <w:shd w:val="clear" w:color="auto" w:fill="auto"/>
        </w:tcPr>
        <w:p w:rsidR="00CF258A" w:rsidRPr="00CF258A" w:rsidRDefault="00CF258A" w:rsidP="00CF258A">
          <w:pPr>
            <w:pStyle w:val="Footer"/>
            <w:rPr>
              <w:w w:val="103"/>
            </w:rPr>
          </w:pPr>
          <w:r>
            <w:rPr>
              <w:w w:val="103"/>
            </w:rPr>
            <w:fldChar w:fldCharType="begin"/>
          </w:r>
          <w:r>
            <w:rPr>
              <w:w w:val="103"/>
            </w:rPr>
            <w:instrText xml:space="preserve"> PAGE  \* Arabic  \* MERGEFORMAT </w:instrText>
          </w:r>
          <w:r>
            <w:rPr>
              <w:w w:val="103"/>
            </w:rPr>
            <w:fldChar w:fldCharType="separate"/>
          </w:r>
          <w:r w:rsidR="0032485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4850">
            <w:rPr>
              <w:w w:val="103"/>
            </w:rPr>
            <w:t>2</w:t>
          </w:r>
          <w:r>
            <w:rPr>
              <w:w w:val="103"/>
            </w:rPr>
            <w:fldChar w:fldCharType="end"/>
          </w:r>
        </w:p>
      </w:tc>
    </w:tr>
  </w:tbl>
  <w:p w:rsidR="00CF258A" w:rsidRPr="00CF258A" w:rsidRDefault="00CF258A" w:rsidP="00CF2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F258A" w:rsidTr="00CF258A">
      <w:trPr>
        <w:jc w:val="center"/>
      </w:trPr>
      <w:tc>
        <w:tcPr>
          <w:tcW w:w="5126" w:type="dxa"/>
          <w:shd w:val="clear" w:color="auto" w:fill="auto"/>
        </w:tcPr>
        <w:p w:rsidR="00CF258A" w:rsidRPr="00CF258A" w:rsidRDefault="00CF258A" w:rsidP="00CF258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24850">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4850">
            <w:rPr>
              <w:w w:val="103"/>
            </w:rPr>
            <w:t>3</w:t>
          </w:r>
          <w:r>
            <w:rPr>
              <w:w w:val="103"/>
            </w:rPr>
            <w:fldChar w:fldCharType="end"/>
          </w:r>
        </w:p>
      </w:tc>
      <w:tc>
        <w:tcPr>
          <w:tcW w:w="5127" w:type="dxa"/>
          <w:shd w:val="clear" w:color="auto" w:fill="auto"/>
        </w:tcPr>
        <w:p w:rsidR="00CF258A" w:rsidRPr="00CF258A" w:rsidRDefault="00CF258A" w:rsidP="00CF258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6C73">
            <w:rPr>
              <w:b w:val="0"/>
              <w:w w:val="103"/>
              <w:sz w:val="14"/>
            </w:rPr>
            <w:t>GE.15-19123</w:t>
          </w:r>
          <w:r>
            <w:rPr>
              <w:b w:val="0"/>
              <w:w w:val="103"/>
              <w:sz w:val="14"/>
            </w:rPr>
            <w:fldChar w:fldCharType="end"/>
          </w:r>
        </w:p>
      </w:tc>
    </w:tr>
  </w:tbl>
  <w:p w:rsidR="00CF258A" w:rsidRPr="00CF258A" w:rsidRDefault="00CF258A" w:rsidP="00CF2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CF258A" w:rsidTr="00CF258A">
      <w:tc>
        <w:tcPr>
          <w:tcW w:w="3859" w:type="dxa"/>
        </w:tcPr>
        <w:p w:rsidR="00CF258A" w:rsidRDefault="00CF258A" w:rsidP="00CF258A">
          <w:pPr>
            <w:pStyle w:val="ReleaseDate"/>
          </w:pPr>
          <w:r>
            <w:rPr>
              <w:noProof/>
              <w:lang w:eastAsia="en-GB"/>
            </w:rPr>
            <w:drawing>
              <wp:anchor distT="0" distB="0" distL="114300" distR="114300" simplePos="0" relativeHeight="251658240" behindDoc="0" locked="0" layoutInCell="1" allowOverlap="1" wp14:anchorId="675C87A5" wp14:editId="63CCA586">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2557F5">
            <w:t>GE.15-19123 (E)    16</w:t>
          </w:r>
          <w:r>
            <w:t>1115    171115</w:t>
          </w:r>
        </w:p>
        <w:p w:rsidR="00CF258A" w:rsidRPr="00CF258A" w:rsidRDefault="00CF258A" w:rsidP="00CF258A">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*1519123*</w:t>
          </w:r>
        </w:p>
      </w:tc>
      <w:tc>
        <w:tcPr>
          <w:tcW w:w="5127" w:type="dxa"/>
        </w:tcPr>
        <w:p w:rsidR="00CF258A" w:rsidRDefault="00CF258A" w:rsidP="00CF258A">
          <w:pPr>
            <w:pStyle w:val="Footer"/>
            <w:jc w:val="right"/>
            <w:rPr>
              <w:b w:val="0"/>
              <w:sz w:val="20"/>
            </w:rPr>
          </w:pPr>
          <w:r>
            <w:rPr>
              <w:b w:val="0"/>
              <w:sz w:val="20"/>
              <w:lang w:val="en-GB" w:eastAsia="en-GB"/>
            </w:rPr>
            <w:drawing>
              <wp:inline distT="0" distB="0" distL="0" distR="0" wp14:anchorId="3CF6E4B0" wp14:editId="66B01A1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F258A" w:rsidRPr="00CF258A" w:rsidRDefault="00CF258A" w:rsidP="00CF258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EE" w:rsidRPr="002271CA" w:rsidRDefault="002271CA" w:rsidP="002271CA">
      <w:pPr>
        <w:pStyle w:val="Footer"/>
        <w:spacing w:after="80"/>
        <w:ind w:left="792"/>
        <w:rPr>
          <w:sz w:val="16"/>
        </w:rPr>
      </w:pPr>
      <w:r w:rsidRPr="002271CA">
        <w:rPr>
          <w:sz w:val="16"/>
        </w:rPr>
        <w:t>__________________</w:t>
      </w:r>
    </w:p>
  </w:footnote>
  <w:footnote w:type="continuationSeparator" w:id="0">
    <w:p w:rsidR="00110FEE" w:rsidRPr="002271CA" w:rsidRDefault="002271CA" w:rsidP="002271CA">
      <w:pPr>
        <w:pStyle w:val="Footer"/>
        <w:spacing w:after="80"/>
        <w:ind w:left="792"/>
        <w:rPr>
          <w:sz w:val="16"/>
        </w:rPr>
      </w:pPr>
      <w:r w:rsidRPr="002271CA">
        <w:rPr>
          <w:sz w:val="16"/>
        </w:rPr>
        <w:t>__________________</w:t>
      </w:r>
    </w:p>
  </w:footnote>
  <w:footnote w:id="1">
    <w:p w:rsidR="00D77C31" w:rsidRPr="00CF26B9" w:rsidRDefault="00D77C31" w:rsidP="002271CA">
      <w:pPr>
        <w:pStyle w:val="FootnoteText"/>
        <w:tabs>
          <w:tab w:val="clear" w:pos="418"/>
          <w:tab w:val="right" w:pos="1195"/>
          <w:tab w:val="left" w:pos="1267"/>
          <w:tab w:val="left" w:pos="1742"/>
          <w:tab w:val="left" w:pos="2218"/>
          <w:tab w:val="left" w:pos="2693"/>
        </w:tabs>
        <w:ind w:left="1267" w:right="1260" w:hanging="432"/>
        <w:textDirection w:val="tbLrV"/>
        <w:rPr>
          <w:sz w:val="16"/>
        </w:rPr>
      </w:pPr>
      <w:r>
        <w:rPr>
          <w:sz w:val="16"/>
        </w:rPr>
        <w:tab/>
      </w:r>
      <w:r w:rsidRPr="00CF26B9">
        <w:rPr>
          <w:rStyle w:val="FootnoteReference"/>
          <w:sz w:val="16"/>
        </w:rPr>
        <w:footnoteRef/>
      </w:r>
      <w:r>
        <w:tab/>
        <w:t>Text distributed in German by the Central Commission for the Navigation of the Rhine under the symbol CCNR-ZKR/ADN/WP.15/AC.2/2016/18.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F258A" w:rsidTr="00CF258A">
      <w:trPr>
        <w:trHeight w:hRule="exact" w:val="864"/>
        <w:jc w:val="center"/>
      </w:trPr>
      <w:tc>
        <w:tcPr>
          <w:tcW w:w="4882" w:type="dxa"/>
          <w:shd w:val="clear" w:color="auto" w:fill="auto"/>
          <w:vAlign w:val="bottom"/>
        </w:tcPr>
        <w:p w:rsidR="00CF258A" w:rsidRPr="00CF258A" w:rsidRDefault="00CF258A" w:rsidP="00CF258A">
          <w:pPr>
            <w:pStyle w:val="Header"/>
            <w:spacing w:after="80"/>
            <w:rPr>
              <w:b/>
            </w:rPr>
          </w:pPr>
          <w:r>
            <w:rPr>
              <w:b/>
            </w:rPr>
            <w:fldChar w:fldCharType="begin"/>
          </w:r>
          <w:r>
            <w:rPr>
              <w:b/>
            </w:rPr>
            <w:instrText xml:space="preserve"> DOCVARIABLE "sss1" \* MERGEFORMAT </w:instrText>
          </w:r>
          <w:r>
            <w:rPr>
              <w:b/>
            </w:rPr>
            <w:fldChar w:fldCharType="separate"/>
          </w:r>
          <w:r w:rsidR="00526C73">
            <w:rPr>
              <w:b/>
            </w:rPr>
            <w:t>ECE/TRANS/WP.15/AC.2/2016/18</w:t>
          </w:r>
          <w:r>
            <w:rPr>
              <w:b/>
            </w:rPr>
            <w:fldChar w:fldCharType="end"/>
          </w:r>
        </w:p>
      </w:tc>
      <w:tc>
        <w:tcPr>
          <w:tcW w:w="5127" w:type="dxa"/>
          <w:shd w:val="clear" w:color="auto" w:fill="auto"/>
          <w:vAlign w:val="bottom"/>
        </w:tcPr>
        <w:p w:rsidR="00CF258A" w:rsidRDefault="00CF258A" w:rsidP="00CF258A">
          <w:pPr>
            <w:pStyle w:val="Header"/>
          </w:pPr>
        </w:p>
      </w:tc>
    </w:tr>
  </w:tbl>
  <w:p w:rsidR="00CF258A" w:rsidRPr="00CF258A" w:rsidRDefault="00CF258A" w:rsidP="00CF2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F258A" w:rsidTr="00CF258A">
      <w:trPr>
        <w:trHeight w:hRule="exact" w:val="864"/>
        <w:jc w:val="center"/>
      </w:trPr>
      <w:tc>
        <w:tcPr>
          <w:tcW w:w="4882" w:type="dxa"/>
          <w:shd w:val="clear" w:color="auto" w:fill="auto"/>
          <w:vAlign w:val="bottom"/>
        </w:tcPr>
        <w:p w:rsidR="00CF258A" w:rsidRDefault="00CF258A" w:rsidP="00CF258A">
          <w:pPr>
            <w:pStyle w:val="Header"/>
          </w:pPr>
        </w:p>
      </w:tc>
      <w:tc>
        <w:tcPr>
          <w:tcW w:w="5127" w:type="dxa"/>
          <w:shd w:val="clear" w:color="auto" w:fill="auto"/>
          <w:vAlign w:val="bottom"/>
        </w:tcPr>
        <w:p w:rsidR="00CF258A" w:rsidRPr="00CF258A" w:rsidRDefault="00CF258A" w:rsidP="00CF258A">
          <w:pPr>
            <w:pStyle w:val="Header"/>
            <w:spacing w:after="80"/>
            <w:jc w:val="right"/>
            <w:rPr>
              <w:b/>
            </w:rPr>
          </w:pPr>
          <w:r>
            <w:rPr>
              <w:b/>
            </w:rPr>
            <w:fldChar w:fldCharType="begin"/>
          </w:r>
          <w:r>
            <w:rPr>
              <w:b/>
            </w:rPr>
            <w:instrText xml:space="preserve"> DOCVARIABLE "sss1" \* MERGEFORMAT </w:instrText>
          </w:r>
          <w:r>
            <w:rPr>
              <w:b/>
            </w:rPr>
            <w:fldChar w:fldCharType="separate"/>
          </w:r>
          <w:r w:rsidR="00526C73">
            <w:rPr>
              <w:b/>
            </w:rPr>
            <w:t>ECE/TRANS/WP.15/AC.2/2016/18</w:t>
          </w:r>
          <w:r>
            <w:rPr>
              <w:b/>
            </w:rPr>
            <w:fldChar w:fldCharType="end"/>
          </w:r>
        </w:p>
      </w:tc>
    </w:tr>
  </w:tbl>
  <w:p w:rsidR="00CF258A" w:rsidRPr="00CF258A" w:rsidRDefault="00CF258A" w:rsidP="00CF2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CF258A" w:rsidTr="00CF258A">
      <w:trPr>
        <w:trHeight w:hRule="exact" w:val="864"/>
      </w:trPr>
      <w:tc>
        <w:tcPr>
          <w:tcW w:w="1267" w:type="dxa"/>
          <w:tcBorders>
            <w:bottom w:val="single" w:sz="4" w:space="0" w:color="auto"/>
          </w:tcBorders>
          <w:shd w:val="clear" w:color="auto" w:fill="auto"/>
          <w:vAlign w:val="bottom"/>
        </w:tcPr>
        <w:p w:rsidR="00CF258A" w:rsidRDefault="00CF258A" w:rsidP="00CF258A">
          <w:pPr>
            <w:pStyle w:val="Header"/>
            <w:spacing w:after="120"/>
          </w:pPr>
        </w:p>
      </w:tc>
      <w:tc>
        <w:tcPr>
          <w:tcW w:w="1872" w:type="dxa"/>
          <w:tcBorders>
            <w:bottom w:val="single" w:sz="4" w:space="0" w:color="auto"/>
          </w:tcBorders>
          <w:shd w:val="clear" w:color="auto" w:fill="auto"/>
          <w:vAlign w:val="bottom"/>
        </w:tcPr>
        <w:p w:rsidR="00CF258A" w:rsidRPr="00CF258A" w:rsidRDefault="00CF258A" w:rsidP="00CF258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F258A" w:rsidRDefault="00CF258A" w:rsidP="00CF258A">
          <w:pPr>
            <w:pStyle w:val="Header"/>
            <w:spacing w:after="120"/>
          </w:pPr>
        </w:p>
      </w:tc>
      <w:tc>
        <w:tcPr>
          <w:tcW w:w="6653" w:type="dxa"/>
          <w:gridSpan w:val="4"/>
          <w:tcBorders>
            <w:bottom w:val="single" w:sz="4" w:space="0" w:color="auto"/>
          </w:tcBorders>
          <w:shd w:val="clear" w:color="auto" w:fill="auto"/>
          <w:vAlign w:val="bottom"/>
        </w:tcPr>
        <w:p w:rsidR="00CF258A" w:rsidRPr="00CF258A" w:rsidRDefault="00CF258A" w:rsidP="00CF258A">
          <w:pPr>
            <w:spacing w:after="80" w:line="240" w:lineRule="auto"/>
            <w:jc w:val="right"/>
            <w:rPr>
              <w:position w:val="-4"/>
            </w:rPr>
          </w:pPr>
          <w:r>
            <w:rPr>
              <w:position w:val="-4"/>
              <w:sz w:val="40"/>
            </w:rPr>
            <w:t>ECE</w:t>
          </w:r>
          <w:r>
            <w:rPr>
              <w:position w:val="-4"/>
            </w:rPr>
            <w:t>/TRANS/WP.15/AC.2/2016/18</w:t>
          </w:r>
        </w:p>
      </w:tc>
    </w:tr>
    <w:tr w:rsidR="00CF258A" w:rsidRPr="00CF258A" w:rsidTr="00CF258A">
      <w:trPr>
        <w:gridAfter w:val="1"/>
        <w:wAfter w:w="18" w:type="dxa"/>
        <w:trHeight w:hRule="exact" w:val="2880"/>
      </w:trPr>
      <w:tc>
        <w:tcPr>
          <w:tcW w:w="1267" w:type="dxa"/>
          <w:tcBorders>
            <w:top w:val="single" w:sz="4" w:space="0" w:color="auto"/>
            <w:bottom w:val="single" w:sz="12" w:space="0" w:color="auto"/>
          </w:tcBorders>
          <w:shd w:val="clear" w:color="auto" w:fill="auto"/>
        </w:tcPr>
        <w:p w:rsidR="00CF258A" w:rsidRPr="00CF258A" w:rsidRDefault="00CF258A" w:rsidP="00CF258A">
          <w:pPr>
            <w:pStyle w:val="Header"/>
            <w:spacing w:before="120"/>
            <w:jc w:val="center"/>
          </w:pPr>
          <w:r>
            <w:t xml:space="preserve"> </w:t>
          </w:r>
          <w:r>
            <w:rPr>
              <w:lang w:val="en-GB" w:eastAsia="en-GB"/>
            </w:rPr>
            <w:drawing>
              <wp:inline distT="0" distB="0" distL="0" distR="0" wp14:anchorId="16BB8545" wp14:editId="32F475E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F258A" w:rsidRPr="00CF258A" w:rsidRDefault="00CF258A" w:rsidP="00CF258A">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CF258A" w:rsidRPr="00CF258A" w:rsidRDefault="00CF258A" w:rsidP="00CF258A">
          <w:pPr>
            <w:pStyle w:val="Header"/>
            <w:spacing w:before="109"/>
          </w:pPr>
        </w:p>
      </w:tc>
      <w:tc>
        <w:tcPr>
          <w:tcW w:w="3280" w:type="dxa"/>
          <w:tcBorders>
            <w:top w:val="single" w:sz="4" w:space="0" w:color="auto"/>
            <w:bottom w:val="single" w:sz="12" w:space="0" w:color="auto"/>
          </w:tcBorders>
          <w:shd w:val="clear" w:color="auto" w:fill="auto"/>
        </w:tcPr>
        <w:p w:rsidR="00CF258A" w:rsidRDefault="00CF258A" w:rsidP="00CF258A">
          <w:pPr>
            <w:pStyle w:val="Distribution"/>
            <w:rPr>
              <w:color w:val="010000"/>
            </w:rPr>
          </w:pPr>
          <w:r>
            <w:rPr>
              <w:color w:val="010000"/>
            </w:rPr>
            <w:t>Distr.: General</w:t>
          </w:r>
        </w:p>
        <w:p w:rsidR="00CF258A" w:rsidRDefault="00CF258A" w:rsidP="00CF258A">
          <w:pPr>
            <w:pStyle w:val="Publication"/>
            <w:rPr>
              <w:color w:val="010000"/>
            </w:rPr>
          </w:pPr>
          <w:r>
            <w:rPr>
              <w:color w:val="010000"/>
            </w:rPr>
            <w:t>3 November 2015</w:t>
          </w:r>
        </w:p>
        <w:p w:rsidR="00CF258A" w:rsidRDefault="00CF258A" w:rsidP="00CF258A">
          <w:pPr>
            <w:rPr>
              <w:color w:val="010000"/>
            </w:rPr>
          </w:pPr>
          <w:r>
            <w:rPr>
              <w:color w:val="010000"/>
            </w:rPr>
            <w:t>English</w:t>
          </w:r>
        </w:p>
        <w:p w:rsidR="00CF258A" w:rsidRDefault="00CF258A" w:rsidP="00CF258A">
          <w:pPr>
            <w:pStyle w:val="Original"/>
            <w:rPr>
              <w:color w:val="010000"/>
            </w:rPr>
          </w:pPr>
          <w:r>
            <w:rPr>
              <w:color w:val="010000"/>
            </w:rPr>
            <w:t>Original: French</w:t>
          </w:r>
        </w:p>
        <w:p w:rsidR="00CF258A" w:rsidRPr="00CF258A" w:rsidRDefault="00CF258A" w:rsidP="00CF258A"/>
      </w:tc>
    </w:tr>
  </w:tbl>
  <w:p w:rsidR="00CF258A" w:rsidRPr="00CF258A" w:rsidRDefault="00CF258A" w:rsidP="00CF258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123*"/>
    <w:docVar w:name="CreationDt" w:val="17/11/2015 09:46:18"/>
    <w:docVar w:name="DocCategory" w:val="Doc"/>
    <w:docVar w:name="DocType" w:val="Final"/>
    <w:docVar w:name="DutyStation" w:val="Geneva"/>
    <w:docVar w:name="FooterJN" w:val="GE.15-19123"/>
    <w:docVar w:name="jobn" w:val="GE.15-19123 (E)"/>
    <w:docVar w:name="jobnDT" w:val="GE.15-19123 (E)   171115"/>
    <w:docVar w:name="jobnDTDT" w:val="GE. 15-19123 (E)   171115   171115"/>
    <w:docVar w:name="JobNo" w:val="GE.1519123E"/>
    <w:docVar w:name="JobNo2" w:val="1524971E"/>
    <w:docVar w:name="LocalDrive" w:val="0"/>
    <w:docVar w:name="OandT" w:val="AVT"/>
    <w:docVar w:name="PaperSize" w:val="A4"/>
    <w:docVar w:name="sss1" w:val="ECE/TRANS/WP.15/AC.2/2016/18"/>
    <w:docVar w:name="sss2" w:val="-"/>
    <w:docVar w:name="Symbol1" w:val="ECE/TRANS/WP.15/AC.2/2016/18"/>
    <w:docVar w:name="Symbol2" w:val="-"/>
  </w:docVars>
  <w:rsids>
    <w:rsidRoot w:val="00110FEE"/>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0FEE"/>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97"/>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1E97"/>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271CA"/>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57F5"/>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4850"/>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45C7"/>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1A8F"/>
    <w:rsid w:val="004831A5"/>
    <w:rsid w:val="00484F03"/>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6C73"/>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6BAE"/>
    <w:rsid w:val="00CD7F8F"/>
    <w:rsid w:val="00CE1B29"/>
    <w:rsid w:val="00CE29C5"/>
    <w:rsid w:val="00CE3C21"/>
    <w:rsid w:val="00CF08B0"/>
    <w:rsid w:val="00CF2576"/>
    <w:rsid w:val="00CF258A"/>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77C31"/>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F258A"/>
    <w:pPr>
      <w:spacing w:line="240" w:lineRule="auto"/>
    </w:pPr>
  </w:style>
  <w:style w:type="character" w:customStyle="1" w:styleId="CommentTextChar">
    <w:name w:val="Comment Text Char"/>
    <w:basedOn w:val="DefaultParagraphFont"/>
    <w:link w:val="CommentText"/>
    <w:rsid w:val="00CF258A"/>
    <w:rPr>
      <w:spacing w:val="4"/>
      <w:w w:val="103"/>
      <w:kern w:val="14"/>
      <w:lang w:val="en-GB"/>
    </w:rPr>
  </w:style>
  <w:style w:type="paragraph" w:styleId="CommentSubject">
    <w:name w:val="annotation subject"/>
    <w:basedOn w:val="CommentText"/>
    <w:next w:val="CommentText"/>
    <w:link w:val="CommentSubjectChar"/>
    <w:rsid w:val="00CF258A"/>
    <w:rPr>
      <w:b/>
      <w:bCs/>
    </w:rPr>
  </w:style>
  <w:style w:type="character" w:customStyle="1" w:styleId="CommentSubjectChar">
    <w:name w:val="Comment Subject Char"/>
    <w:basedOn w:val="CommentTextChar"/>
    <w:link w:val="CommentSubject"/>
    <w:rsid w:val="00CF258A"/>
    <w:rPr>
      <w:b/>
      <w:bCs/>
      <w:spacing w:val="4"/>
      <w:w w:val="103"/>
      <w:kern w:val="14"/>
      <w:lang w:val="en-GB"/>
    </w:rPr>
  </w:style>
  <w:style w:type="character" w:customStyle="1" w:styleId="FootnoteTextChar">
    <w:name w:val="Footnote Text Char"/>
    <w:aliases w:val="5_G Char"/>
    <w:link w:val="FootnoteText"/>
    <w:rsid w:val="00D77C31"/>
    <w:rPr>
      <w:spacing w:val="5"/>
      <w:w w:val="103"/>
      <w:kern w:val="14"/>
      <w:sz w:val="17"/>
      <w:lang w:val="en-GB"/>
    </w:rPr>
  </w:style>
  <w:style w:type="paragraph" w:customStyle="1" w:styleId="SingleTxtG">
    <w:name w:val="_ Single Txt_G"/>
    <w:basedOn w:val="Normal"/>
    <w:rsid w:val="00D77C31"/>
    <w:pPr>
      <w:spacing w:after="120" w:line="240" w:lineRule="atLeast"/>
      <w:ind w:left="1134" w:right="1134"/>
      <w:jc w:val="both"/>
    </w:pPr>
    <w:rPr>
      <w:rFonts w:eastAsia="Times New Roman"/>
      <w:spacing w:val="0"/>
      <w:w w:val="1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F258A"/>
    <w:pPr>
      <w:spacing w:line="240" w:lineRule="auto"/>
    </w:pPr>
  </w:style>
  <w:style w:type="character" w:customStyle="1" w:styleId="CommentTextChar">
    <w:name w:val="Comment Text Char"/>
    <w:basedOn w:val="DefaultParagraphFont"/>
    <w:link w:val="CommentText"/>
    <w:rsid w:val="00CF258A"/>
    <w:rPr>
      <w:spacing w:val="4"/>
      <w:w w:val="103"/>
      <w:kern w:val="14"/>
      <w:lang w:val="en-GB"/>
    </w:rPr>
  </w:style>
  <w:style w:type="paragraph" w:styleId="CommentSubject">
    <w:name w:val="annotation subject"/>
    <w:basedOn w:val="CommentText"/>
    <w:next w:val="CommentText"/>
    <w:link w:val="CommentSubjectChar"/>
    <w:rsid w:val="00CF258A"/>
    <w:rPr>
      <w:b/>
      <w:bCs/>
    </w:rPr>
  </w:style>
  <w:style w:type="character" w:customStyle="1" w:styleId="CommentSubjectChar">
    <w:name w:val="Comment Subject Char"/>
    <w:basedOn w:val="CommentTextChar"/>
    <w:link w:val="CommentSubject"/>
    <w:rsid w:val="00CF258A"/>
    <w:rPr>
      <w:b/>
      <w:bCs/>
      <w:spacing w:val="4"/>
      <w:w w:val="103"/>
      <w:kern w:val="14"/>
      <w:lang w:val="en-GB"/>
    </w:rPr>
  </w:style>
  <w:style w:type="character" w:customStyle="1" w:styleId="FootnoteTextChar">
    <w:name w:val="Footnote Text Char"/>
    <w:aliases w:val="5_G Char"/>
    <w:link w:val="FootnoteText"/>
    <w:rsid w:val="00D77C31"/>
    <w:rPr>
      <w:spacing w:val="5"/>
      <w:w w:val="103"/>
      <w:kern w:val="14"/>
      <w:sz w:val="17"/>
      <w:lang w:val="en-GB"/>
    </w:rPr>
  </w:style>
  <w:style w:type="paragraph" w:customStyle="1" w:styleId="SingleTxtG">
    <w:name w:val="_ Single Txt_G"/>
    <w:basedOn w:val="Normal"/>
    <w:rsid w:val="00D77C31"/>
    <w:pPr>
      <w:spacing w:after="120" w:line="240" w:lineRule="atLeast"/>
      <w:ind w:left="1134" w:right="1134"/>
      <w:jc w:val="both"/>
    </w:pPr>
    <w:rPr>
      <w:rFonts w:eastAsia="Times New Roman"/>
      <w:spacing w:val="0"/>
      <w:w w:val="1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08B0-BF21-4BE5-8CFE-0FDE4FF1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Caillot</cp:lastModifiedBy>
  <cp:revision>2</cp:revision>
  <cp:lastPrinted>2015-11-17T12:15:00Z</cp:lastPrinted>
  <dcterms:created xsi:type="dcterms:W3CDTF">2015-12-03T16:38:00Z</dcterms:created>
  <dcterms:modified xsi:type="dcterms:W3CDTF">2015-12-03T16:38:00Z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1519123</vt:lpwstr>
  </property>
  <property fmtid="{D5CDD505-2E9C-101B-9397-08002B2CF9AE}" pid="3" name="ODSRefJobNo">
    <vt:lpwstr>1524971E</vt:lpwstr>
  </property>
  <property fmtid="{D5CDD505-2E9C-101B-9397-08002B2CF9AE}" pid="4" name="Symbol1">
    <vt:lpwstr>ECE/TRANS/WP.15/AC.2/2016/18</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November 2015</vt:lpwstr>
  </property>
  <property fmtid="{D5CDD505-2E9C-101B-9397-08002B2CF9AE}" pid="12" name="Original">
    <vt:lpwstr>French</vt:lpwstr>
  </property>
  <property fmtid="{D5CDD505-2E9C-101B-9397-08002B2CF9AE}" pid="13" name="Release Date">
    <vt:lpwstr>171115</vt:lpwstr>
  </property>
</Properties>
</file>