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B0C85" w:rsidRPr="00AC0D47" w:rsidTr="00D751D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C85" w:rsidRPr="00AC0D47" w:rsidRDefault="002B0C85" w:rsidP="002B0C85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C85" w:rsidRPr="00AC0D47" w:rsidRDefault="002B0C85" w:rsidP="002B0C85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C0D4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C85" w:rsidRPr="00AC0D47" w:rsidRDefault="002B0C85" w:rsidP="00BA7C17">
            <w:pPr>
              <w:suppressAutoHyphens w:val="0"/>
              <w:spacing w:after="20"/>
              <w:jc w:val="right"/>
            </w:pPr>
            <w:r w:rsidRPr="00AC0D47">
              <w:rPr>
                <w:sz w:val="40"/>
              </w:rPr>
              <w:t>ECE</w:t>
            </w:r>
            <w:r w:rsidR="00C17E19">
              <w:t>/TRANS/WP.15/AC.2/201</w:t>
            </w:r>
            <w:r w:rsidR="00171DAC">
              <w:t>6</w:t>
            </w:r>
            <w:r w:rsidRPr="00AC0D47">
              <w:t>/</w:t>
            </w:r>
            <w:r w:rsidR="00BA7C17">
              <w:t>31</w:t>
            </w:r>
          </w:p>
        </w:tc>
      </w:tr>
      <w:tr w:rsidR="002B0C85" w:rsidRPr="00C779D3" w:rsidTr="00D751D5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B0C85" w:rsidRPr="00AC0D47" w:rsidRDefault="00AB3EF4" w:rsidP="002B0C85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6280" cy="593725"/>
                  <wp:effectExtent l="0" t="0" r="762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B0C85" w:rsidRPr="00AC0D47" w:rsidRDefault="002B0C85" w:rsidP="002B0C85">
            <w:pPr>
              <w:spacing w:before="120" w:line="420" w:lineRule="exact"/>
              <w:rPr>
                <w:sz w:val="40"/>
                <w:szCs w:val="40"/>
              </w:rPr>
            </w:pPr>
            <w:r w:rsidRPr="00AC0D47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B0C85" w:rsidRPr="00C17E19" w:rsidRDefault="002B0C85" w:rsidP="002B0C85">
            <w:pPr>
              <w:suppressAutoHyphens w:val="0"/>
              <w:spacing w:before="240" w:line="240" w:lineRule="exact"/>
              <w:rPr>
                <w:lang w:val="en-GB"/>
              </w:rPr>
            </w:pPr>
            <w:r w:rsidRPr="00C17E19">
              <w:rPr>
                <w:lang w:val="en-GB"/>
              </w:rPr>
              <w:t>Distr.: General</w:t>
            </w:r>
          </w:p>
          <w:p w:rsidR="002B0C85" w:rsidRPr="00C17E19" w:rsidRDefault="00C779D3" w:rsidP="002B0C85">
            <w:pPr>
              <w:suppressAutoHyphens w:val="0"/>
              <w:rPr>
                <w:lang w:val="en-GB"/>
              </w:rPr>
            </w:pPr>
            <w:r>
              <w:rPr>
                <w:lang w:val="en-GB"/>
              </w:rPr>
              <w:t xml:space="preserve">9 </w:t>
            </w:r>
            <w:r w:rsidR="00225F10">
              <w:rPr>
                <w:lang w:val="en-GB"/>
              </w:rPr>
              <w:t>June</w:t>
            </w:r>
            <w:r w:rsidR="002B0C85" w:rsidRPr="00C17E19">
              <w:rPr>
                <w:lang w:val="en-GB"/>
              </w:rPr>
              <w:t xml:space="preserve"> 201</w:t>
            </w:r>
            <w:r w:rsidR="00171DAC">
              <w:rPr>
                <w:lang w:val="en-GB"/>
              </w:rPr>
              <w:t>6</w:t>
            </w:r>
          </w:p>
          <w:p w:rsidR="002B0C85" w:rsidRPr="00C17E19" w:rsidRDefault="002B0C85" w:rsidP="002B0C85">
            <w:pPr>
              <w:suppressAutoHyphens w:val="0"/>
              <w:rPr>
                <w:lang w:val="en-GB"/>
              </w:rPr>
            </w:pPr>
            <w:r w:rsidRPr="00C17E19">
              <w:rPr>
                <w:lang w:val="en-GB"/>
              </w:rPr>
              <w:t>English</w:t>
            </w:r>
          </w:p>
          <w:p w:rsidR="002B0C85" w:rsidRPr="00C17E19" w:rsidRDefault="002B0C85" w:rsidP="002B0C85">
            <w:pPr>
              <w:suppressAutoHyphens w:val="0"/>
              <w:rPr>
                <w:lang w:val="en-GB"/>
              </w:rPr>
            </w:pPr>
            <w:r w:rsidRPr="00C17E19">
              <w:rPr>
                <w:lang w:val="en-GB"/>
              </w:rPr>
              <w:t>Original: English and French</w:t>
            </w:r>
          </w:p>
        </w:tc>
      </w:tr>
    </w:tbl>
    <w:p w:rsidR="002B0C85" w:rsidRPr="002B0C85" w:rsidRDefault="002B0C85" w:rsidP="002B0C85">
      <w:pPr>
        <w:spacing w:before="120"/>
        <w:rPr>
          <w:b/>
          <w:sz w:val="28"/>
          <w:szCs w:val="28"/>
          <w:lang w:val="en-GB"/>
        </w:rPr>
      </w:pPr>
      <w:r w:rsidRPr="002B0C85">
        <w:rPr>
          <w:b/>
          <w:sz w:val="28"/>
          <w:szCs w:val="28"/>
          <w:lang w:val="en-GB"/>
        </w:rPr>
        <w:t>Economic Commission for Europe</w:t>
      </w:r>
    </w:p>
    <w:p w:rsidR="002B0C85" w:rsidRPr="002B0C85" w:rsidRDefault="002B0C85" w:rsidP="002B0C85">
      <w:pPr>
        <w:spacing w:before="120"/>
        <w:rPr>
          <w:sz w:val="28"/>
          <w:szCs w:val="28"/>
          <w:lang w:val="en-GB"/>
        </w:rPr>
      </w:pPr>
      <w:r w:rsidRPr="002B0C85">
        <w:rPr>
          <w:sz w:val="28"/>
          <w:szCs w:val="28"/>
          <w:lang w:val="en-GB"/>
        </w:rPr>
        <w:t>Inland Transport Committee</w:t>
      </w:r>
    </w:p>
    <w:p w:rsidR="002B0C85" w:rsidRPr="002B0C85" w:rsidRDefault="002B0C85" w:rsidP="002B0C85">
      <w:pPr>
        <w:spacing w:before="120"/>
        <w:rPr>
          <w:b/>
          <w:sz w:val="24"/>
          <w:szCs w:val="24"/>
          <w:lang w:val="en-GB"/>
        </w:rPr>
      </w:pPr>
      <w:r w:rsidRPr="002B0C85">
        <w:rPr>
          <w:b/>
          <w:sz w:val="24"/>
          <w:szCs w:val="24"/>
          <w:lang w:val="en-GB"/>
        </w:rPr>
        <w:t>Working Party on the Transport of Dangerous Goods</w:t>
      </w:r>
    </w:p>
    <w:p w:rsidR="002B0C85" w:rsidRPr="002B0C85" w:rsidRDefault="002B0C85" w:rsidP="002B0C85">
      <w:pPr>
        <w:spacing w:before="120"/>
        <w:rPr>
          <w:b/>
          <w:lang w:val="en-GB"/>
        </w:rPr>
      </w:pPr>
      <w:r w:rsidRPr="002B0C85">
        <w:rPr>
          <w:b/>
          <w:lang w:val="en-GB"/>
        </w:rPr>
        <w:t xml:space="preserve">Joint Meeting of Experts on the Regulations annexed to the </w:t>
      </w:r>
      <w:r w:rsidRPr="002B0C85">
        <w:rPr>
          <w:b/>
          <w:lang w:val="en-GB"/>
        </w:rPr>
        <w:br/>
        <w:t xml:space="preserve">European Agreement concerning the International Carriage </w:t>
      </w:r>
      <w:r w:rsidRPr="002B0C85">
        <w:rPr>
          <w:b/>
          <w:lang w:val="en-GB"/>
        </w:rPr>
        <w:br/>
        <w:t>of Dangerous Goods by Inland Waterways (ADN)</w:t>
      </w:r>
    </w:p>
    <w:p w:rsidR="002B0C85" w:rsidRPr="002B0C85" w:rsidRDefault="002B0C85" w:rsidP="002B0C85">
      <w:pPr>
        <w:rPr>
          <w:b/>
          <w:lang w:val="en-GB"/>
        </w:rPr>
      </w:pPr>
      <w:r w:rsidRPr="002B0C85">
        <w:rPr>
          <w:b/>
          <w:lang w:val="en-GB"/>
        </w:rPr>
        <w:t>(ADN Safety Committee)</w:t>
      </w:r>
    </w:p>
    <w:p w:rsidR="002B0C85" w:rsidRPr="002B0C85" w:rsidRDefault="00171DAC" w:rsidP="002B0C85">
      <w:pPr>
        <w:spacing w:before="120"/>
        <w:rPr>
          <w:b/>
          <w:lang w:val="en-GB"/>
        </w:rPr>
      </w:pPr>
      <w:r w:rsidRPr="00171DAC">
        <w:rPr>
          <w:b/>
          <w:bCs/>
          <w:lang w:val="en-GB"/>
        </w:rPr>
        <w:t>Twenty-ninth session</w:t>
      </w:r>
    </w:p>
    <w:p w:rsidR="002B0C85" w:rsidRPr="00171DAC" w:rsidRDefault="00171DAC" w:rsidP="002B0C85">
      <w:pPr>
        <w:rPr>
          <w:lang w:val="en-GB"/>
        </w:rPr>
      </w:pPr>
      <w:r w:rsidRPr="00171DAC">
        <w:rPr>
          <w:lang w:val="en-GB"/>
        </w:rPr>
        <w:t>Geneva, 22–26 August 2016</w:t>
      </w:r>
    </w:p>
    <w:p w:rsidR="002B0C85" w:rsidRPr="002B0C85" w:rsidRDefault="002B0C85" w:rsidP="002B0C85">
      <w:pPr>
        <w:rPr>
          <w:lang w:val="en-GB"/>
        </w:rPr>
      </w:pPr>
      <w:r w:rsidRPr="002B0C85">
        <w:rPr>
          <w:lang w:val="en-GB"/>
        </w:rPr>
        <w:t xml:space="preserve">Item </w:t>
      </w:r>
      <w:r w:rsidR="00C17E19">
        <w:rPr>
          <w:lang w:val="en-GB"/>
        </w:rPr>
        <w:t>4</w:t>
      </w:r>
      <w:r w:rsidRPr="002B0C85">
        <w:rPr>
          <w:lang w:val="en-GB"/>
        </w:rPr>
        <w:t xml:space="preserve"> (a) of the provisional agenda</w:t>
      </w:r>
    </w:p>
    <w:p w:rsidR="002B0C85" w:rsidRPr="002B0C85" w:rsidRDefault="002B0C85" w:rsidP="002B0C85">
      <w:pPr>
        <w:rPr>
          <w:b/>
          <w:lang w:val="en-GB"/>
        </w:rPr>
      </w:pPr>
      <w:r w:rsidRPr="002B0C85">
        <w:rPr>
          <w:b/>
          <w:lang w:val="en-GB"/>
        </w:rPr>
        <w:t>Proposals for amendments to the Regulations annexed to ADN:</w:t>
      </w:r>
    </w:p>
    <w:p w:rsidR="002B0C85" w:rsidRPr="002B0C85" w:rsidRDefault="00171DAC" w:rsidP="002B0C85">
      <w:pPr>
        <w:rPr>
          <w:b/>
          <w:lang w:val="en-GB"/>
        </w:rPr>
      </w:pPr>
      <w:r>
        <w:rPr>
          <w:b/>
          <w:lang w:val="en-GB"/>
        </w:rPr>
        <w:t>w</w:t>
      </w:r>
      <w:r w:rsidR="00225F10">
        <w:rPr>
          <w:b/>
          <w:lang w:val="en-GB"/>
        </w:rPr>
        <w:t>ork of the RID/ADR/ADN Joint Meeting</w:t>
      </w:r>
    </w:p>
    <w:p w:rsidR="002B0C85" w:rsidRPr="00D2281D" w:rsidRDefault="002B0C85" w:rsidP="00C779D3">
      <w:pPr>
        <w:pStyle w:val="HChG"/>
        <w:rPr>
          <w:lang w:val="en-US"/>
        </w:rPr>
      </w:pPr>
      <w:r w:rsidRPr="002B0C85">
        <w:rPr>
          <w:lang w:val="en-GB"/>
        </w:rPr>
        <w:tab/>
      </w:r>
      <w:r w:rsidRPr="002B0C85">
        <w:rPr>
          <w:lang w:val="en-GB"/>
        </w:rPr>
        <w:tab/>
      </w:r>
      <w:r w:rsidRPr="00D2281D">
        <w:rPr>
          <w:lang w:val="en-US"/>
        </w:rPr>
        <w:t>European Agreement concerning the International Carriage of Dangerous Goods by Inland Waterways (ADN)</w:t>
      </w:r>
      <w:r w:rsidR="00EC66F9" w:rsidRPr="00D2281D">
        <w:rPr>
          <w:sz w:val="24"/>
          <w:szCs w:val="24"/>
          <w:vertAlign w:val="superscript"/>
          <w:lang w:val="en-US"/>
        </w:rPr>
        <w:footnoteReference w:id="2"/>
      </w:r>
      <w:r w:rsidR="00EC66F9" w:rsidRPr="00D2281D">
        <w:rPr>
          <w:sz w:val="24"/>
          <w:szCs w:val="24"/>
          <w:vertAlign w:val="superscript"/>
          <w:lang w:val="en-US"/>
        </w:rPr>
        <w:t xml:space="preserve">, </w:t>
      </w:r>
      <w:r w:rsidR="00EC66F9" w:rsidRPr="00D2281D">
        <w:rPr>
          <w:sz w:val="24"/>
          <w:szCs w:val="24"/>
          <w:vertAlign w:val="superscript"/>
          <w:lang w:val="en-US"/>
        </w:rPr>
        <w:footnoteReference w:id="3"/>
      </w:r>
    </w:p>
    <w:p w:rsidR="002B0C85" w:rsidRPr="00D2281D" w:rsidRDefault="002B0C85" w:rsidP="00C779D3">
      <w:pPr>
        <w:pStyle w:val="H1G"/>
        <w:rPr>
          <w:lang w:val="en-US"/>
        </w:rPr>
      </w:pPr>
      <w:r w:rsidRPr="00D2281D">
        <w:rPr>
          <w:lang w:val="en-US"/>
        </w:rPr>
        <w:tab/>
      </w:r>
      <w:r w:rsidRPr="00D2281D">
        <w:rPr>
          <w:lang w:val="en-US"/>
        </w:rPr>
        <w:tab/>
      </w:r>
      <w:r w:rsidR="0023044C" w:rsidRPr="00D2281D">
        <w:rPr>
          <w:lang w:val="en-US"/>
        </w:rPr>
        <w:t>Corrections to proposed amendments in ECE/ADN/36</w:t>
      </w:r>
    </w:p>
    <w:p w:rsidR="002B0C85" w:rsidRPr="002B0C85" w:rsidRDefault="002B0C85" w:rsidP="00C779D3">
      <w:pPr>
        <w:pStyle w:val="H1G"/>
        <w:rPr>
          <w:lang w:val="en-GB"/>
        </w:rPr>
      </w:pPr>
      <w:r w:rsidRPr="00D2281D">
        <w:rPr>
          <w:lang w:val="en-US"/>
        </w:rPr>
        <w:tab/>
      </w:r>
      <w:r w:rsidRPr="00D2281D">
        <w:rPr>
          <w:lang w:val="en-US"/>
        </w:rPr>
        <w:tab/>
        <w:t>Note by the secretariat</w:t>
      </w:r>
    </w:p>
    <w:p w:rsidR="002B0C85" w:rsidRPr="002B0C85" w:rsidRDefault="002B0C85" w:rsidP="00C779D3">
      <w:pPr>
        <w:pStyle w:val="HChG"/>
        <w:rPr>
          <w:lang w:val="en-GB"/>
        </w:rPr>
      </w:pPr>
      <w:bookmarkStart w:id="0" w:name="OLE_LINK1"/>
      <w:r w:rsidRPr="002B0C85">
        <w:rPr>
          <w:lang w:val="en-GB"/>
        </w:rPr>
        <w:tab/>
      </w:r>
      <w:r w:rsidRPr="002B0C85">
        <w:rPr>
          <w:lang w:val="en-GB"/>
        </w:rPr>
        <w:tab/>
      </w:r>
      <w:r w:rsidRPr="00C779D3">
        <w:t>Introduction</w:t>
      </w:r>
    </w:p>
    <w:p w:rsidR="00802B5E" w:rsidRPr="00802B5E" w:rsidRDefault="003778FF" w:rsidP="00F524BE">
      <w:pPr>
        <w:pStyle w:val="SingleTxtG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="00802B5E" w:rsidRPr="00802B5E">
        <w:rPr>
          <w:lang w:val="en-GB"/>
        </w:rPr>
        <w:t>The Safety Committee may wish to consider the work of the RID/ADR/ADN Joint Meeting at its spring 201</w:t>
      </w:r>
      <w:r w:rsidR="00056BAB">
        <w:rPr>
          <w:lang w:val="en-GB"/>
        </w:rPr>
        <w:t>6</w:t>
      </w:r>
      <w:r w:rsidR="00802B5E" w:rsidRPr="00802B5E">
        <w:rPr>
          <w:lang w:val="en-GB"/>
        </w:rPr>
        <w:t xml:space="preserve"> </w:t>
      </w:r>
      <w:r w:rsidR="00802B5E" w:rsidRPr="00F524BE">
        <w:rPr>
          <w:lang w:val="en-GB"/>
        </w:rPr>
        <w:t>session</w:t>
      </w:r>
      <w:r w:rsidR="00802B5E" w:rsidRPr="00802B5E">
        <w:rPr>
          <w:lang w:val="en-GB"/>
        </w:rPr>
        <w:t xml:space="preserve"> (ECE/TRANS/WP.15/AC.1/1</w:t>
      </w:r>
      <w:r>
        <w:rPr>
          <w:lang w:val="en-GB"/>
        </w:rPr>
        <w:t>34 and Add.2</w:t>
      </w:r>
      <w:r w:rsidR="00F524BE">
        <w:rPr>
          <w:lang w:val="en-GB"/>
        </w:rPr>
        <w:t>).</w:t>
      </w:r>
    </w:p>
    <w:p w:rsidR="00BA7C17" w:rsidRDefault="003778FF" w:rsidP="00BA7C17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2B0C85" w:rsidRPr="002B0C85">
        <w:rPr>
          <w:lang w:val="en-GB"/>
        </w:rPr>
        <w:t xml:space="preserve">At its </w:t>
      </w:r>
      <w:r w:rsidR="00BA7C17">
        <w:rPr>
          <w:lang w:val="en-GB"/>
        </w:rPr>
        <w:t>hundredth</w:t>
      </w:r>
      <w:r w:rsidR="002B0C85" w:rsidRPr="002B0C85">
        <w:rPr>
          <w:lang w:val="en-GB"/>
        </w:rPr>
        <w:t xml:space="preserve"> session in May 201</w:t>
      </w:r>
      <w:r w:rsidR="00BA7C17">
        <w:rPr>
          <w:lang w:val="en-GB"/>
        </w:rPr>
        <w:t>6</w:t>
      </w:r>
      <w:r w:rsidR="002B0C85" w:rsidRPr="002B0C85">
        <w:rPr>
          <w:lang w:val="en-GB"/>
        </w:rPr>
        <w:t>, th</w:t>
      </w:r>
      <w:bookmarkStart w:id="1" w:name="_GoBack"/>
      <w:bookmarkEnd w:id="1"/>
      <w:r w:rsidR="002B0C85" w:rsidRPr="002B0C85">
        <w:rPr>
          <w:lang w:val="en-GB"/>
        </w:rPr>
        <w:t xml:space="preserve">e Working Party on the Transport of Dangerous Goods (WP.15) </w:t>
      </w:r>
      <w:r w:rsidR="00BA7C17" w:rsidRPr="00BA7C17">
        <w:rPr>
          <w:lang w:val="en-GB"/>
        </w:rPr>
        <w:t xml:space="preserve">adopted </w:t>
      </w:r>
      <w:r w:rsidR="001644BC">
        <w:rPr>
          <w:lang w:val="en-GB"/>
        </w:rPr>
        <w:t>amendments</w:t>
      </w:r>
      <w:r w:rsidR="00BA7C17">
        <w:rPr>
          <w:lang w:val="en-GB"/>
        </w:rPr>
        <w:t xml:space="preserve"> </w:t>
      </w:r>
      <w:r w:rsidR="00BA7C17" w:rsidRPr="00BA7C17">
        <w:rPr>
          <w:lang w:val="en-GB"/>
        </w:rPr>
        <w:t xml:space="preserve">to modify or supplement </w:t>
      </w:r>
      <w:r w:rsidR="001644BC">
        <w:rPr>
          <w:lang w:val="en-GB"/>
        </w:rPr>
        <w:t>those</w:t>
      </w:r>
      <w:r w:rsidR="00BA7C17" w:rsidRPr="00BA7C17">
        <w:rPr>
          <w:lang w:val="en-GB"/>
        </w:rPr>
        <w:t xml:space="preserve"> adopted at the previous session (see ECE/TRANS/WP.15/231).</w:t>
      </w:r>
      <w:r w:rsidR="00BA7C17">
        <w:rPr>
          <w:lang w:val="en-GB"/>
        </w:rPr>
        <w:t xml:space="preserve"> </w:t>
      </w:r>
      <w:r w:rsidR="001644BC">
        <w:rPr>
          <w:lang w:val="en-GB"/>
        </w:rPr>
        <w:t>They</w:t>
      </w:r>
      <w:r w:rsidR="00BA7C17" w:rsidRPr="00BA7C17">
        <w:rPr>
          <w:lang w:val="en-GB"/>
        </w:rPr>
        <w:t xml:space="preserve"> are reproduced in document ECE/TRANS/WP.15/231/Corr.1.</w:t>
      </w:r>
    </w:p>
    <w:p w:rsidR="00BA7C17" w:rsidRPr="00BA7C17" w:rsidRDefault="00BA7C17" w:rsidP="00BA7C17">
      <w:pPr>
        <w:pStyle w:val="SingleTxtG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Pr="002F6E51">
        <w:rPr>
          <w:lang w:val="en-GB"/>
        </w:rPr>
        <w:t xml:space="preserve">The present document contains the </w:t>
      </w:r>
      <w:r>
        <w:rPr>
          <w:lang w:val="en-GB"/>
        </w:rPr>
        <w:t>corrections</w:t>
      </w:r>
      <w:r w:rsidRPr="002F6E51">
        <w:rPr>
          <w:lang w:val="en-GB"/>
        </w:rPr>
        <w:t xml:space="preserve"> which are also relevant for </w:t>
      </w:r>
      <w:r>
        <w:rPr>
          <w:lang w:val="en-GB"/>
        </w:rPr>
        <w:t>document ECE/</w:t>
      </w:r>
      <w:r w:rsidRPr="002F6E51">
        <w:rPr>
          <w:lang w:val="en-GB"/>
        </w:rPr>
        <w:t>ADN</w:t>
      </w:r>
      <w:r>
        <w:rPr>
          <w:lang w:val="en-GB"/>
        </w:rPr>
        <w:t>/36</w:t>
      </w:r>
      <w:r w:rsidRPr="002F6E51">
        <w:rPr>
          <w:lang w:val="en-GB"/>
        </w:rPr>
        <w:t>.</w:t>
      </w:r>
    </w:p>
    <w:bookmarkEnd w:id="0"/>
    <w:p w:rsidR="00802B5E" w:rsidRPr="00802B5E" w:rsidRDefault="00802B5E" w:rsidP="00C779D3">
      <w:pPr>
        <w:pStyle w:val="H1G"/>
        <w:rPr>
          <w:lang w:val="en-GB"/>
        </w:rPr>
      </w:pPr>
      <w:r>
        <w:rPr>
          <w:lang w:val="en-GB"/>
        </w:rPr>
        <w:lastRenderedPageBreak/>
        <w:tab/>
      </w:r>
      <w:r w:rsidR="00BA7C17">
        <w:rPr>
          <w:lang w:val="en-GB"/>
        </w:rPr>
        <w:tab/>
        <w:t>Corrections</w:t>
      </w:r>
      <w:r w:rsidR="00BA7C17" w:rsidRPr="002F6E51">
        <w:rPr>
          <w:lang w:val="en-GB"/>
        </w:rPr>
        <w:t xml:space="preserve"> </w:t>
      </w:r>
      <w:r w:rsidR="003B3C3D">
        <w:rPr>
          <w:lang w:val="en-GB"/>
        </w:rPr>
        <w:t>to</w:t>
      </w:r>
      <w:r w:rsidR="00BA7C17" w:rsidRPr="002F6E51">
        <w:rPr>
          <w:lang w:val="en-GB"/>
        </w:rPr>
        <w:t xml:space="preserve"> </w:t>
      </w:r>
      <w:r w:rsidR="001644BC">
        <w:rPr>
          <w:lang w:val="en-GB"/>
        </w:rPr>
        <w:t xml:space="preserve">proposed amendments in </w:t>
      </w:r>
      <w:r w:rsidR="00BA7C17">
        <w:rPr>
          <w:lang w:val="en-GB"/>
        </w:rPr>
        <w:t>ECE/</w:t>
      </w:r>
      <w:r w:rsidR="00BA7C17" w:rsidRPr="00C779D3">
        <w:t>ADN</w:t>
      </w:r>
      <w:r w:rsidR="00BA7C17">
        <w:rPr>
          <w:lang w:val="en-GB"/>
        </w:rPr>
        <w:t>/36</w:t>
      </w:r>
    </w:p>
    <w:p w:rsidR="003B3C3D" w:rsidRPr="003B3C3D" w:rsidRDefault="003B3C3D" w:rsidP="00C779D3">
      <w:pPr>
        <w:pStyle w:val="H23G"/>
        <w:rPr>
          <w:lang w:val="en-GB"/>
        </w:rPr>
      </w:pPr>
      <w:r w:rsidRPr="001644BC">
        <w:rPr>
          <w:lang w:val="en-GB"/>
        </w:rPr>
        <w:tab/>
      </w:r>
      <w:r w:rsidRPr="003B3C3D">
        <w:rPr>
          <w:lang w:val="en-GB"/>
        </w:rPr>
        <w:t>1.</w:t>
      </w:r>
      <w:r w:rsidRPr="003B3C3D">
        <w:rPr>
          <w:lang w:val="en-GB"/>
        </w:rPr>
        <w:tab/>
        <w:t xml:space="preserve">Amendment to Part 1, Chapter 1.2, 1.2.1, definition of </w:t>
      </w:r>
      <w:r w:rsidRPr="003B3C3D">
        <w:rPr>
          <w:i/>
          <w:lang w:val="en-GB"/>
        </w:rPr>
        <w:t>“Manual of tests and criteria”</w:t>
      </w:r>
    </w:p>
    <w:p w:rsidR="003B3C3D" w:rsidRPr="003B3C3D" w:rsidRDefault="003B3C3D" w:rsidP="003B3C3D">
      <w:pPr>
        <w:pStyle w:val="SingleTxtG"/>
        <w:rPr>
          <w:iCs/>
          <w:lang w:val="en-GB"/>
        </w:rPr>
      </w:pPr>
      <w:r w:rsidRPr="003B3C3D">
        <w:rPr>
          <w:iCs/>
          <w:lang w:val="en-GB"/>
        </w:rPr>
        <w:t>Not applicable to English</w:t>
      </w:r>
    </w:p>
    <w:p w:rsidR="003B3C3D" w:rsidRPr="003B3C3D" w:rsidRDefault="003B3C3D" w:rsidP="00C779D3">
      <w:pPr>
        <w:pStyle w:val="H23G"/>
        <w:rPr>
          <w:lang w:val="en-GB"/>
        </w:rPr>
      </w:pPr>
      <w:r w:rsidRPr="003B3C3D">
        <w:rPr>
          <w:lang w:val="en-GB"/>
        </w:rPr>
        <w:tab/>
        <w:t>2.</w:t>
      </w:r>
      <w:r w:rsidRPr="003B3C3D">
        <w:rPr>
          <w:lang w:val="en-GB"/>
        </w:rPr>
        <w:tab/>
        <w:t xml:space="preserve">Amendment to Part 1, Chapter 1.2, 1.2.1, new definition for </w:t>
      </w:r>
      <w:r w:rsidRPr="003B3C3D">
        <w:rPr>
          <w:i/>
          <w:lang w:val="en-GB"/>
        </w:rPr>
        <w:t>“Holding time”</w:t>
      </w:r>
    </w:p>
    <w:p w:rsidR="003B3C3D" w:rsidRPr="003B3C3D" w:rsidRDefault="003B3C3D" w:rsidP="003B3C3D">
      <w:pPr>
        <w:pStyle w:val="SingleTxtG"/>
        <w:rPr>
          <w:iCs/>
          <w:lang w:val="en-GB"/>
        </w:rPr>
      </w:pPr>
      <w:r w:rsidRPr="003B3C3D">
        <w:rPr>
          <w:iCs/>
          <w:lang w:val="en-GB"/>
        </w:rPr>
        <w:t>Not applicable to English</w:t>
      </w:r>
    </w:p>
    <w:p w:rsidR="003B3C3D" w:rsidRPr="00C779D3" w:rsidRDefault="003B3C3D" w:rsidP="00C779D3">
      <w:pPr>
        <w:pStyle w:val="H23G"/>
      </w:pPr>
      <w:r w:rsidRPr="003B3C3D">
        <w:rPr>
          <w:lang w:val="en-GB"/>
        </w:rPr>
        <w:tab/>
        <w:t>3.</w:t>
      </w:r>
      <w:r w:rsidRPr="003B3C3D">
        <w:rPr>
          <w:lang w:val="en-GB"/>
        </w:rPr>
        <w:tab/>
        <w:t>Amendments to Part 1, Chapter 1.6, 1.6.1.20, 1.6.1.28, 1.6.1.30, 1.6.1.31, 1.6.1.32</w:t>
      </w:r>
    </w:p>
    <w:p w:rsidR="003B3C3D" w:rsidRPr="003B3C3D" w:rsidRDefault="003B3C3D" w:rsidP="003B3C3D">
      <w:pPr>
        <w:pStyle w:val="SingleTxtG"/>
        <w:rPr>
          <w:lang w:val="en-GB"/>
        </w:rPr>
      </w:pPr>
      <w:r w:rsidRPr="003B3C3D">
        <w:rPr>
          <w:i/>
          <w:lang w:val="en-GB"/>
        </w:rPr>
        <w:t xml:space="preserve">Delete </w:t>
      </w:r>
      <w:r w:rsidRPr="003B3C3D">
        <w:rPr>
          <w:lang w:val="en-GB"/>
        </w:rPr>
        <w:t>1.6.1.30</w:t>
      </w:r>
    </w:p>
    <w:p w:rsidR="003B3C3D" w:rsidRPr="00C779D3" w:rsidRDefault="003B3C3D" w:rsidP="00C779D3">
      <w:pPr>
        <w:pStyle w:val="H23G"/>
      </w:pPr>
      <w:r w:rsidRPr="003B3C3D">
        <w:rPr>
          <w:lang w:val="en-GB"/>
        </w:rPr>
        <w:tab/>
        <w:t>4.</w:t>
      </w:r>
      <w:r w:rsidRPr="003B3C3D">
        <w:rPr>
          <w:lang w:val="en-GB"/>
        </w:rPr>
        <w:tab/>
        <w:t>Amendments to Part 1, Chapter 1.16, 1.16.6.1, 1.16.6.3, 1.16.7.1, 1.16.9, 1.16.10.1 (twice) and 1.16.11</w:t>
      </w:r>
    </w:p>
    <w:p w:rsidR="003B3C3D" w:rsidRPr="003B3C3D" w:rsidRDefault="003B3C3D" w:rsidP="003B3C3D">
      <w:pPr>
        <w:pStyle w:val="SingleTxtG"/>
        <w:rPr>
          <w:lang w:val="en-GB"/>
        </w:rPr>
      </w:pPr>
      <w:r w:rsidRPr="003B3C3D">
        <w:rPr>
          <w:i/>
          <w:lang w:val="en-GB"/>
        </w:rPr>
        <w:t xml:space="preserve">For </w:t>
      </w:r>
      <w:r w:rsidRPr="003B3C3D">
        <w:rPr>
          <w:lang w:val="en-GB"/>
        </w:rPr>
        <w:t xml:space="preserve">1.16.9, 1.16.10.1 (twice) and 1.16.11 </w:t>
      </w:r>
      <w:r w:rsidRPr="003B3C3D">
        <w:rPr>
          <w:i/>
          <w:lang w:val="en-GB"/>
        </w:rPr>
        <w:t>read</w:t>
      </w:r>
      <w:r w:rsidRPr="003B3C3D">
        <w:rPr>
          <w:lang w:val="en-GB"/>
        </w:rPr>
        <w:t xml:space="preserve"> 1.16.9 and 1.16.10.1 (twice)</w:t>
      </w:r>
    </w:p>
    <w:p w:rsidR="003B3C3D" w:rsidRPr="003B3C3D" w:rsidRDefault="003B3C3D" w:rsidP="00C779D3">
      <w:pPr>
        <w:pStyle w:val="H23G"/>
        <w:rPr>
          <w:lang w:val="en-GB"/>
        </w:rPr>
      </w:pPr>
      <w:r w:rsidRPr="003B3C3D">
        <w:rPr>
          <w:lang w:val="en-GB"/>
        </w:rPr>
        <w:tab/>
        <w:t>5.</w:t>
      </w:r>
      <w:r w:rsidRPr="003B3C3D">
        <w:rPr>
          <w:lang w:val="en-GB"/>
        </w:rPr>
        <w:tab/>
        <w:t>Amendment to Part 2, Chapter 2.2, new 2.2.41.1.21</w:t>
      </w:r>
    </w:p>
    <w:p w:rsidR="003B3C3D" w:rsidRPr="003B3C3D" w:rsidRDefault="003B3C3D" w:rsidP="003B3C3D">
      <w:pPr>
        <w:pStyle w:val="SingleTxtG"/>
        <w:rPr>
          <w:iCs/>
          <w:lang w:val="en-GB"/>
        </w:rPr>
      </w:pPr>
      <w:r w:rsidRPr="003B3C3D">
        <w:rPr>
          <w:iCs/>
          <w:lang w:val="en-GB"/>
        </w:rPr>
        <w:t>Not applicable to English</w:t>
      </w:r>
    </w:p>
    <w:p w:rsidR="003B3C3D" w:rsidRPr="003B3C3D" w:rsidRDefault="003B3C3D" w:rsidP="00C779D3">
      <w:pPr>
        <w:pStyle w:val="H23G"/>
        <w:rPr>
          <w:lang w:val="en-GB"/>
        </w:rPr>
      </w:pPr>
      <w:r w:rsidRPr="003B3C3D">
        <w:rPr>
          <w:lang w:val="en-GB"/>
        </w:rPr>
        <w:tab/>
        <w:t>6.</w:t>
      </w:r>
      <w:r w:rsidRPr="003B3C3D">
        <w:rPr>
          <w:lang w:val="en-GB"/>
        </w:rPr>
        <w:tab/>
        <w:t>Amendment to Part 2, Chapter 2.2, 2.2.9.1.14, first amendment</w:t>
      </w:r>
    </w:p>
    <w:p w:rsidR="003B3C3D" w:rsidRPr="003B3C3D" w:rsidRDefault="003B3C3D" w:rsidP="003B3C3D">
      <w:pPr>
        <w:pStyle w:val="SingleTxtG"/>
        <w:rPr>
          <w:lang w:val="en-GB"/>
        </w:rPr>
      </w:pPr>
      <w:r w:rsidRPr="003B3C3D">
        <w:rPr>
          <w:i/>
          <w:lang w:val="en-GB"/>
        </w:rPr>
        <w:t xml:space="preserve">For </w:t>
      </w:r>
      <w:r w:rsidRPr="003B3C3D">
        <w:rPr>
          <w:rFonts w:eastAsia="Calibri"/>
          <w:lang w:val="en-GB"/>
        </w:rPr>
        <w:t>“</w:t>
      </w:r>
      <w:r w:rsidRPr="003B3C3D">
        <w:rPr>
          <w:lang w:val="en-GB"/>
        </w:rPr>
        <w:t>Engines and machinery, internal combustion.</w:t>
      </w:r>
      <w:r w:rsidRPr="003B3C3D">
        <w:rPr>
          <w:rFonts w:eastAsia="Calibri"/>
          <w:lang w:val="en-GB"/>
        </w:rPr>
        <w:t xml:space="preserve">” </w:t>
      </w:r>
      <w:r w:rsidRPr="003B3C3D">
        <w:rPr>
          <w:rFonts w:eastAsia="Calibri"/>
          <w:i/>
          <w:lang w:val="en-GB"/>
        </w:rPr>
        <w:t xml:space="preserve">read </w:t>
      </w:r>
      <w:r w:rsidRPr="003B3C3D">
        <w:rPr>
          <w:rFonts w:eastAsia="Calibri"/>
          <w:lang w:val="en-GB"/>
        </w:rPr>
        <w:t>“</w:t>
      </w:r>
      <w:r w:rsidRPr="003B3C3D">
        <w:rPr>
          <w:lang w:val="en-GB"/>
        </w:rPr>
        <w:t>Vehicles, engines and machinery, internal combustion.</w:t>
      </w:r>
      <w:r w:rsidRPr="003B3C3D">
        <w:rPr>
          <w:rFonts w:eastAsia="Calibri"/>
          <w:lang w:val="en-GB"/>
        </w:rPr>
        <w:t>”</w:t>
      </w:r>
    </w:p>
    <w:p w:rsidR="003B3C3D" w:rsidRPr="003B3C3D" w:rsidRDefault="003B3C3D" w:rsidP="00C779D3">
      <w:pPr>
        <w:pStyle w:val="H23G"/>
        <w:rPr>
          <w:lang w:val="en-GB"/>
        </w:rPr>
      </w:pPr>
      <w:r w:rsidRPr="003B3C3D">
        <w:rPr>
          <w:lang w:val="en-GB"/>
        </w:rPr>
        <w:tab/>
        <w:t>7.</w:t>
      </w:r>
      <w:r w:rsidRPr="003B3C3D">
        <w:rPr>
          <w:lang w:val="en-GB"/>
        </w:rPr>
        <w:tab/>
        <w:t xml:space="preserve">Amendment to Part 3, Chapter 3.3, special provision 363, in the Note after </w:t>
      </w:r>
      <w:r>
        <w:rPr>
          <w:lang w:val="en-GB"/>
        </w:rPr>
        <w:t>sub-</w:t>
      </w:r>
      <w:r w:rsidRPr="003B3C3D">
        <w:rPr>
          <w:lang w:val="en-GB"/>
        </w:rPr>
        <w:t>paragraph (a)</w:t>
      </w:r>
    </w:p>
    <w:p w:rsidR="003B3C3D" w:rsidRPr="003B3C3D" w:rsidRDefault="003B3C3D" w:rsidP="003B3C3D">
      <w:pPr>
        <w:pStyle w:val="SingleTxtG"/>
        <w:rPr>
          <w:lang w:val="en-GB"/>
        </w:rPr>
      </w:pPr>
      <w:r w:rsidRPr="003B3C3D">
        <w:rPr>
          <w:i/>
          <w:lang w:val="en-GB"/>
        </w:rPr>
        <w:t>For</w:t>
      </w:r>
      <w:r w:rsidRPr="003B3C3D">
        <w:rPr>
          <w:b/>
          <w:lang w:val="en-GB"/>
        </w:rPr>
        <w:t xml:space="preserve"> </w:t>
      </w:r>
      <w:r w:rsidRPr="003B3C3D">
        <w:rPr>
          <w:lang w:val="en-GB"/>
        </w:rPr>
        <w:t xml:space="preserve">1.1.3.3 </w:t>
      </w:r>
      <w:r w:rsidRPr="003B3C3D">
        <w:rPr>
          <w:i/>
          <w:lang w:val="en-GB"/>
        </w:rPr>
        <w:t>read</w:t>
      </w:r>
      <w:r w:rsidRPr="003B3C3D">
        <w:rPr>
          <w:lang w:val="en-GB"/>
        </w:rPr>
        <w:t xml:space="preserve"> 1.1.3.2 (a), (d) and (e), 1.1.3.3 and 1.1.3.7</w:t>
      </w:r>
    </w:p>
    <w:p w:rsidR="003B3C3D" w:rsidRPr="003B3C3D" w:rsidRDefault="003B3C3D" w:rsidP="00C779D3">
      <w:pPr>
        <w:pStyle w:val="H23G"/>
        <w:rPr>
          <w:lang w:val="en-GB"/>
        </w:rPr>
      </w:pPr>
      <w:r w:rsidRPr="003B3C3D">
        <w:rPr>
          <w:lang w:val="en-GB"/>
        </w:rPr>
        <w:tab/>
        <w:t>8.</w:t>
      </w:r>
      <w:r w:rsidRPr="003B3C3D">
        <w:rPr>
          <w:lang w:val="en-GB"/>
        </w:rPr>
        <w:tab/>
        <w:t xml:space="preserve">Amendment to Part 3, Chapter 3.3, new special provision 378, in the Note under sub-paragraph </w:t>
      </w:r>
      <w:r>
        <w:rPr>
          <w:lang w:val="en-GB"/>
        </w:rPr>
        <w:t>(</w:t>
      </w:r>
      <w:r w:rsidRPr="003B3C3D">
        <w:rPr>
          <w:lang w:val="en-GB"/>
        </w:rPr>
        <w:t>e)</w:t>
      </w:r>
    </w:p>
    <w:p w:rsidR="003B3C3D" w:rsidRPr="003B3C3D" w:rsidRDefault="003B3C3D" w:rsidP="003B3C3D">
      <w:pPr>
        <w:pStyle w:val="SingleTxtG"/>
        <w:rPr>
          <w:lang w:val="en-GB"/>
        </w:rPr>
      </w:pPr>
      <w:r w:rsidRPr="003B3C3D">
        <w:rPr>
          <w:i/>
          <w:lang w:val="en-GB"/>
        </w:rPr>
        <w:t>For</w:t>
      </w:r>
      <w:r w:rsidRPr="003B3C3D">
        <w:rPr>
          <w:b/>
          <w:lang w:val="en-GB"/>
        </w:rPr>
        <w:t xml:space="preserve"> </w:t>
      </w:r>
      <w:r w:rsidRPr="003B3C3D">
        <w:rPr>
          <w:lang w:val="en-GB"/>
        </w:rPr>
        <w:t xml:space="preserve">ISO 9001:2008 </w:t>
      </w:r>
      <w:r w:rsidRPr="003B3C3D">
        <w:rPr>
          <w:i/>
          <w:lang w:val="en-GB"/>
        </w:rPr>
        <w:t>read</w:t>
      </w:r>
      <w:r w:rsidRPr="003B3C3D">
        <w:rPr>
          <w:lang w:val="en-GB"/>
        </w:rPr>
        <w:t xml:space="preserve"> ISO 9001</w:t>
      </w:r>
    </w:p>
    <w:p w:rsidR="003B3C3D" w:rsidRPr="003B3C3D" w:rsidRDefault="003B3C3D" w:rsidP="00C779D3">
      <w:pPr>
        <w:pStyle w:val="H23G"/>
        <w:rPr>
          <w:lang w:val="en-GB"/>
        </w:rPr>
      </w:pPr>
      <w:r w:rsidRPr="003B3C3D">
        <w:rPr>
          <w:lang w:val="en-GB"/>
        </w:rPr>
        <w:tab/>
        <w:t>9.</w:t>
      </w:r>
      <w:r w:rsidRPr="003B3C3D">
        <w:rPr>
          <w:lang w:val="en-GB"/>
        </w:rPr>
        <w:tab/>
        <w:t>Amendment to Part 3, Chapter 3.3, new special provision 666</w:t>
      </w:r>
      <w:r>
        <w:rPr>
          <w:lang w:val="en-GB"/>
        </w:rPr>
        <w:t>,</w:t>
      </w:r>
      <w:r w:rsidRPr="003B3C3D">
        <w:rPr>
          <w:lang w:val="en-GB"/>
        </w:rPr>
        <w:t xml:space="preserve"> sub-paragraph (a)</w:t>
      </w:r>
    </w:p>
    <w:p w:rsidR="003B3C3D" w:rsidRPr="003B3C3D" w:rsidRDefault="003B3C3D" w:rsidP="003B3C3D">
      <w:pPr>
        <w:pStyle w:val="SingleTxtG"/>
        <w:rPr>
          <w:iCs/>
          <w:lang w:val="en-GB"/>
        </w:rPr>
      </w:pPr>
      <w:r w:rsidRPr="003B3C3D">
        <w:rPr>
          <w:iCs/>
          <w:lang w:val="en-GB"/>
        </w:rPr>
        <w:t>Not applicable to English</w:t>
      </w:r>
    </w:p>
    <w:p w:rsidR="003B3C3D" w:rsidRPr="003B3C3D" w:rsidRDefault="003B3C3D" w:rsidP="00C779D3">
      <w:pPr>
        <w:pStyle w:val="H23G"/>
        <w:rPr>
          <w:lang w:val="en-GB"/>
        </w:rPr>
      </w:pPr>
      <w:r w:rsidRPr="003B3C3D">
        <w:rPr>
          <w:lang w:val="en-GB"/>
        </w:rPr>
        <w:tab/>
        <w:t>10.</w:t>
      </w:r>
      <w:r w:rsidRPr="003B3C3D">
        <w:rPr>
          <w:lang w:val="en-GB"/>
        </w:rPr>
        <w:tab/>
        <w:t>Amendment to Part 3, Chapter 3.3, new special provision 666</w:t>
      </w:r>
      <w:r>
        <w:rPr>
          <w:lang w:val="en-GB"/>
        </w:rPr>
        <w:t>,</w:t>
      </w:r>
      <w:r w:rsidRPr="003B3C3D">
        <w:rPr>
          <w:lang w:val="en-GB"/>
        </w:rPr>
        <w:t xml:space="preserve"> sub-paragraph (b), at the end</w:t>
      </w:r>
    </w:p>
    <w:p w:rsidR="003B3C3D" w:rsidRPr="003B3C3D" w:rsidRDefault="003B3C3D" w:rsidP="003B3C3D">
      <w:pPr>
        <w:pStyle w:val="SingleTxtG"/>
        <w:rPr>
          <w:lang w:val="en-GB"/>
        </w:rPr>
      </w:pPr>
      <w:r w:rsidRPr="003B3C3D">
        <w:rPr>
          <w:i/>
          <w:lang w:val="en-GB"/>
        </w:rPr>
        <w:t>Insert</w:t>
      </w:r>
      <w:r w:rsidRPr="003B3C3D">
        <w:rPr>
          <w:lang w:val="en-GB"/>
        </w:rPr>
        <w:t xml:space="preserve"> unless it is essential for the equipment to remain operational</w:t>
      </w:r>
    </w:p>
    <w:p w:rsidR="003B3C3D" w:rsidRPr="003B3C3D" w:rsidRDefault="003B3C3D" w:rsidP="00C779D3">
      <w:pPr>
        <w:pStyle w:val="H23G"/>
        <w:rPr>
          <w:lang w:val="en-GB"/>
        </w:rPr>
      </w:pPr>
      <w:r w:rsidRPr="003B3C3D">
        <w:rPr>
          <w:lang w:val="en-GB"/>
        </w:rPr>
        <w:tab/>
        <w:t>11.</w:t>
      </w:r>
      <w:r w:rsidRPr="003B3C3D">
        <w:rPr>
          <w:lang w:val="en-GB"/>
        </w:rPr>
        <w:tab/>
        <w:t>Amendment to Part 3, Chapter 3.3, new special provision 666</w:t>
      </w:r>
      <w:r w:rsidR="00620586">
        <w:rPr>
          <w:lang w:val="en-GB"/>
        </w:rPr>
        <w:t>,</w:t>
      </w:r>
      <w:r w:rsidRPr="003B3C3D">
        <w:rPr>
          <w:lang w:val="en-GB"/>
        </w:rPr>
        <w:t xml:space="preserve"> sub-paragraph (d)</w:t>
      </w:r>
    </w:p>
    <w:p w:rsidR="003B3C3D" w:rsidRPr="003B3C3D" w:rsidRDefault="003B3C3D" w:rsidP="003B3C3D">
      <w:pPr>
        <w:pStyle w:val="SingleTxtG"/>
        <w:rPr>
          <w:iCs/>
          <w:lang w:val="en-GB"/>
        </w:rPr>
      </w:pPr>
      <w:r w:rsidRPr="003B3C3D">
        <w:rPr>
          <w:iCs/>
          <w:lang w:val="en-GB"/>
        </w:rPr>
        <w:t>Not applicable to English</w:t>
      </w:r>
    </w:p>
    <w:p w:rsidR="003B3C3D" w:rsidRPr="003B3C3D" w:rsidRDefault="003B3C3D" w:rsidP="00C779D3">
      <w:pPr>
        <w:pStyle w:val="H23G"/>
        <w:rPr>
          <w:lang w:val="en-GB"/>
        </w:rPr>
      </w:pPr>
      <w:r w:rsidRPr="003B3C3D">
        <w:rPr>
          <w:lang w:val="en-GB"/>
        </w:rPr>
        <w:tab/>
        <w:t>12.</w:t>
      </w:r>
      <w:r w:rsidRPr="003B3C3D">
        <w:rPr>
          <w:lang w:val="en-GB"/>
        </w:rPr>
        <w:tab/>
        <w:t>Part 5, Chapter 5.4, 5.4.2</w:t>
      </w:r>
    </w:p>
    <w:p w:rsidR="003B3C3D" w:rsidRPr="003B3C3D" w:rsidRDefault="003B3C3D" w:rsidP="003B3C3D">
      <w:pPr>
        <w:pStyle w:val="SingleTxtG"/>
        <w:rPr>
          <w:i/>
          <w:iCs/>
          <w:lang w:val="en-GB"/>
        </w:rPr>
      </w:pPr>
      <w:r w:rsidRPr="003B3C3D">
        <w:rPr>
          <w:i/>
          <w:iCs/>
          <w:lang w:val="en-GB"/>
        </w:rPr>
        <w:t>Add</w:t>
      </w:r>
    </w:p>
    <w:p w:rsidR="005B5091" w:rsidRPr="005B5091" w:rsidRDefault="005B5091" w:rsidP="005B5091">
      <w:pPr>
        <w:pStyle w:val="SingleTxtG"/>
        <w:ind w:left="1701"/>
        <w:rPr>
          <w:iCs/>
          <w:snapToGrid w:val="0"/>
          <w:lang w:val="en-GB"/>
        </w:rPr>
      </w:pPr>
      <w:r w:rsidRPr="005B5091">
        <w:rPr>
          <w:iCs/>
          <w:snapToGrid w:val="0"/>
          <w:lang w:val="en-GB"/>
        </w:rPr>
        <w:t>In the title, replace “Large container” by “Container”.</w:t>
      </w:r>
    </w:p>
    <w:p w:rsidR="005B5091" w:rsidRPr="005B5091" w:rsidRDefault="005B5091" w:rsidP="005B5091">
      <w:pPr>
        <w:pStyle w:val="SingleTxtG"/>
        <w:ind w:left="1701"/>
        <w:rPr>
          <w:iCs/>
          <w:snapToGrid w:val="0"/>
          <w:lang w:val="en-GB"/>
        </w:rPr>
      </w:pPr>
      <w:r w:rsidRPr="005B5091">
        <w:rPr>
          <w:iCs/>
          <w:snapToGrid w:val="0"/>
          <w:lang w:val="en-GB"/>
        </w:rPr>
        <w:t>In the first paragraph, replace “large container” by “container” and replace “</w:t>
      </w:r>
      <w:r w:rsidRPr="005B5091">
        <w:rPr>
          <w:lang w:val="en-GB"/>
        </w:rPr>
        <w:t>container packing certificate</w:t>
      </w:r>
      <w:r w:rsidRPr="005B5091">
        <w:rPr>
          <w:iCs/>
          <w:snapToGrid w:val="0"/>
          <w:lang w:val="en-GB"/>
        </w:rPr>
        <w:t>” by “"</w:t>
      </w:r>
      <w:r w:rsidRPr="005B5091">
        <w:rPr>
          <w:lang w:val="en-GB"/>
        </w:rPr>
        <w:t>container/vehicle packing certificate</w:t>
      </w:r>
      <w:r w:rsidRPr="005B5091">
        <w:rPr>
          <w:iCs/>
          <w:snapToGrid w:val="0"/>
          <w:lang w:val="en-GB"/>
        </w:rPr>
        <w:t xml:space="preserve">"”. </w:t>
      </w:r>
    </w:p>
    <w:p w:rsidR="005B5091" w:rsidRPr="005B5091" w:rsidRDefault="005B5091" w:rsidP="005B5091">
      <w:pPr>
        <w:pStyle w:val="SingleTxtG"/>
        <w:ind w:left="1701"/>
        <w:rPr>
          <w:iCs/>
          <w:snapToGrid w:val="0"/>
          <w:lang w:val="en-GB"/>
        </w:rPr>
      </w:pPr>
      <w:r w:rsidRPr="005B5091">
        <w:rPr>
          <w:iCs/>
          <w:snapToGrid w:val="0"/>
          <w:lang w:val="en-GB"/>
        </w:rPr>
        <w:lastRenderedPageBreak/>
        <w:t>In the second paragraph, replace “</w:t>
      </w:r>
      <w:r w:rsidRPr="005B5091">
        <w:rPr>
          <w:lang w:val="en-GB"/>
        </w:rPr>
        <w:t>container packing certificate</w:t>
      </w:r>
      <w:r w:rsidRPr="005B5091">
        <w:rPr>
          <w:iCs/>
          <w:snapToGrid w:val="0"/>
          <w:lang w:val="en-GB"/>
        </w:rPr>
        <w:t>” by “"</w:t>
      </w:r>
      <w:r w:rsidRPr="005B5091">
        <w:rPr>
          <w:lang w:val="en-GB"/>
        </w:rPr>
        <w:t>container/vehicle packing certificate</w:t>
      </w:r>
      <w:r w:rsidRPr="005B5091">
        <w:rPr>
          <w:iCs/>
          <w:snapToGrid w:val="0"/>
          <w:lang w:val="en-GB"/>
        </w:rPr>
        <w:t>"” (twice) and replace “loading of the container” by “loading of the container or vehicle”.</w:t>
      </w:r>
    </w:p>
    <w:p w:rsidR="003B3C3D" w:rsidRPr="005B5091" w:rsidRDefault="005B5091" w:rsidP="005B5091">
      <w:pPr>
        <w:pStyle w:val="SingleTxtG"/>
        <w:ind w:left="1701"/>
        <w:rPr>
          <w:iCs/>
          <w:snapToGrid w:val="0"/>
          <w:lang w:val="en-GB"/>
        </w:rPr>
      </w:pPr>
      <w:r w:rsidRPr="005B5091">
        <w:rPr>
          <w:iCs/>
          <w:snapToGrid w:val="0"/>
          <w:lang w:val="en-GB"/>
        </w:rPr>
        <w:t>In the NOTE, replace “</w:t>
      </w:r>
      <w:r w:rsidRPr="005B5091">
        <w:rPr>
          <w:lang w:val="en-GB"/>
        </w:rPr>
        <w:t>container packing certificate</w:t>
      </w:r>
      <w:r w:rsidRPr="005B5091">
        <w:rPr>
          <w:iCs/>
          <w:snapToGrid w:val="0"/>
          <w:lang w:val="en-GB"/>
        </w:rPr>
        <w:t>” by “"</w:t>
      </w:r>
      <w:r w:rsidRPr="005B5091">
        <w:rPr>
          <w:lang w:val="en-GB"/>
        </w:rPr>
        <w:t>container/vehicle packing certificate</w:t>
      </w:r>
      <w:r w:rsidRPr="005B5091">
        <w:rPr>
          <w:iCs/>
          <w:snapToGrid w:val="0"/>
          <w:lang w:val="en-GB"/>
        </w:rPr>
        <w:t>"”.</w:t>
      </w:r>
    </w:p>
    <w:p w:rsidR="003B3C3D" w:rsidRPr="003B3C3D" w:rsidRDefault="003B3C3D" w:rsidP="00C779D3">
      <w:pPr>
        <w:pStyle w:val="H23G"/>
        <w:rPr>
          <w:lang w:val="en-GB"/>
        </w:rPr>
      </w:pPr>
      <w:r w:rsidRPr="003B3C3D">
        <w:rPr>
          <w:lang w:val="en-GB"/>
        </w:rPr>
        <w:tab/>
        <w:t>13.</w:t>
      </w:r>
      <w:r w:rsidRPr="003B3C3D">
        <w:rPr>
          <w:lang w:val="en-GB"/>
        </w:rPr>
        <w:tab/>
        <w:t>Amendment to Part 5, Chapter 5.5, 5.5.2.3.2</w:t>
      </w:r>
    </w:p>
    <w:p w:rsidR="003B3C3D" w:rsidRPr="003B3C3D" w:rsidRDefault="003B3C3D" w:rsidP="003B3C3D">
      <w:pPr>
        <w:pStyle w:val="SingleTxtG"/>
        <w:rPr>
          <w:iCs/>
          <w:lang w:val="en-GB"/>
        </w:rPr>
      </w:pPr>
      <w:r w:rsidRPr="003B3C3D">
        <w:rPr>
          <w:iCs/>
          <w:lang w:val="en-GB"/>
        </w:rPr>
        <w:t>Not applicable to English</w:t>
      </w:r>
    </w:p>
    <w:p w:rsidR="003B3C3D" w:rsidRPr="00C779D3" w:rsidRDefault="003B3C3D" w:rsidP="00C779D3">
      <w:pPr>
        <w:pStyle w:val="H23G"/>
      </w:pPr>
      <w:r w:rsidRPr="00BB7D3A">
        <w:rPr>
          <w:lang w:val="en-GB"/>
        </w:rPr>
        <w:tab/>
      </w:r>
      <w:r w:rsidRPr="003B3C3D">
        <w:rPr>
          <w:lang w:val="en-GB"/>
        </w:rPr>
        <w:t>1</w:t>
      </w:r>
      <w:r w:rsidR="009C3F5F">
        <w:rPr>
          <w:lang w:val="en-GB"/>
        </w:rPr>
        <w:t>4</w:t>
      </w:r>
      <w:r w:rsidRPr="003B3C3D">
        <w:rPr>
          <w:lang w:val="en-GB"/>
        </w:rPr>
        <w:t>.</w:t>
      </w:r>
      <w:r w:rsidRPr="003B3C3D">
        <w:rPr>
          <w:lang w:val="en-GB"/>
        </w:rPr>
        <w:tab/>
        <w:t>Amendment to Part 5, Chapter 5.5, 5.5.3.3.3, at the end of the first indent of the amended text</w:t>
      </w:r>
    </w:p>
    <w:p w:rsidR="004A4D56" w:rsidRDefault="003B3C3D" w:rsidP="003B3C3D">
      <w:pPr>
        <w:pStyle w:val="SingleTxtG"/>
        <w:rPr>
          <w:lang w:val="en-GB"/>
        </w:rPr>
      </w:pPr>
      <w:r w:rsidRPr="003B3C3D">
        <w:rPr>
          <w:i/>
          <w:lang w:val="en-GB"/>
        </w:rPr>
        <w:t>For</w:t>
      </w:r>
      <w:r w:rsidRPr="003B3C3D">
        <w:rPr>
          <w:lang w:val="en-GB"/>
        </w:rPr>
        <w:t xml:space="preserve"> where this requirement is fulfilled</w:t>
      </w:r>
      <w:r w:rsidRPr="003B3C3D">
        <w:rPr>
          <w:i/>
          <w:lang w:val="en-GB"/>
        </w:rPr>
        <w:t xml:space="preserve"> read</w:t>
      </w:r>
      <w:r w:rsidRPr="003B3C3D">
        <w:rPr>
          <w:lang w:val="en-GB"/>
        </w:rPr>
        <w:t xml:space="preserve"> and separated from the driver’s cab</w:t>
      </w:r>
    </w:p>
    <w:p w:rsidR="009C3F5F" w:rsidRPr="00C779D3" w:rsidRDefault="009C3F5F" w:rsidP="00C779D3">
      <w:pPr>
        <w:pStyle w:val="H23G"/>
      </w:pPr>
      <w:r>
        <w:rPr>
          <w:lang w:val="en-GB"/>
        </w:rPr>
        <w:tab/>
      </w:r>
      <w:r w:rsidRPr="003B3C3D">
        <w:rPr>
          <w:lang w:val="en-GB"/>
        </w:rPr>
        <w:t>1</w:t>
      </w:r>
      <w:r>
        <w:rPr>
          <w:lang w:val="en-GB"/>
        </w:rPr>
        <w:t>5</w:t>
      </w:r>
      <w:r w:rsidRPr="00BB7D3A">
        <w:rPr>
          <w:lang w:val="en-GB"/>
        </w:rPr>
        <w:t>.</w:t>
      </w:r>
      <w:r w:rsidRPr="00BB7D3A">
        <w:rPr>
          <w:lang w:val="en-GB"/>
        </w:rPr>
        <w:tab/>
      </w:r>
      <w:r w:rsidRPr="003B3C3D">
        <w:rPr>
          <w:lang w:val="en-GB"/>
        </w:rPr>
        <w:t>Chapter</w:t>
      </w:r>
      <w:r w:rsidRPr="003B3C3D" w:rsidDel="00695F8F">
        <w:rPr>
          <w:lang w:val="en-GB"/>
        </w:rPr>
        <w:t xml:space="preserve"> </w:t>
      </w:r>
      <w:r w:rsidRPr="003B3C3D">
        <w:rPr>
          <w:lang w:val="en-GB"/>
        </w:rPr>
        <w:t>5.5</w:t>
      </w:r>
      <w:r w:rsidRPr="003B3C3D" w:rsidDel="00695F8F">
        <w:rPr>
          <w:lang w:val="en-GB"/>
        </w:rPr>
        <w:t xml:space="preserve">, </w:t>
      </w:r>
      <w:r w:rsidRPr="003B3C3D">
        <w:rPr>
          <w:lang w:val="en-GB"/>
        </w:rPr>
        <w:t xml:space="preserve">5.5.3.3.3, </w:t>
      </w:r>
      <w:r>
        <w:rPr>
          <w:lang w:val="en-GB"/>
        </w:rPr>
        <w:t>second</w:t>
      </w:r>
      <w:r w:rsidRPr="003B3C3D">
        <w:rPr>
          <w:lang w:val="en-GB"/>
        </w:rPr>
        <w:t xml:space="preserve"> indent</w:t>
      </w:r>
    </w:p>
    <w:p w:rsidR="009C3F5F" w:rsidRPr="003B3C3D" w:rsidRDefault="009C3F5F" w:rsidP="009C3F5F">
      <w:pPr>
        <w:pStyle w:val="SingleTxtG"/>
        <w:rPr>
          <w:szCs w:val="16"/>
          <w:lang w:val="en-GB"/>
        </w:rPr>
      </w:pPr>
      <w:r w:rsidRPr="003B3C3D">
        <w:rPr>
          <w:i/>
          <w:lang w:val="en-GB"/>
        </w:rPr>
        <w:t>For</w:t>
      </w:r>
      <w:r w:rsidRPr="003B3C3D">
        <w:rPr>
          <w:lang w:val="en-GB"/>
        </w:rPr>
        <w:t xml:space="preserve"> </w:t>
      </w:r>
      <w:r w:rsidRPr="003B3C3D">
        <w:rPr>
          <w:szCs w:val="16"/>
          <w:lang w:val="en-GB"/>
        </w:rPr>
        <w:t xml:space="preserve">cabin </w:t>
      </w:r>
      <w:r w:rsidRPr="003B3C3D">
        <w:rPr>
          <w:i/>
          <w:szCs w:val="16"/>
          <w:lang w:val="en-GB"/>
        </w:rPr>
        <w:t>read</w:t>
      </w:r>
      <w:r w:rsidRPr="003B3C3D">
        <w:rPr>
          <w:szCs w:val="16"/>
          <w:lang w:val="en-GB"/>
        </w:rPr>
        <w:t xml:space="preserve"> cab</w:t>
      </w:r>
    </w:p>
    <w:p w:rsidR="00133F18" w:rsidRPr="00C17E19" w:rsidRDefault="00133F18" w:rsidP="002B0C85">
      <w:pPr>
        <w:pStyle w:val="SingleTxtG"/>
        <w:spacing w:before="240" w:after="0"/>
        <w:jc w:val="center"/>
        <w:rPr>
          <w:u w:val="single"/>
          <w:lang w:val="en-GB"/>
        </w:rPr>
      </w:pPr>
      <w:r w:rsidRPr="00C17E19">
        <w:rPr>
          <w:u w:val="single"/>
          <w:lang w:val="en-GB"/>
        </w:rPr>
        <w:tab/>
      </w:r>
      <w:r w:rsidRPr="00C17E19">
        <w:rPr>
          <w:u w:val="single"/>
          <w:lang w:val="en-GB"/>
        </w:rPr>
        <w:tab/>
      </w:r>
      <w:r w:rsidRPr="00C17E19">
        <w:rPr>
          <w:u w:val="single"/>
          <w:lang w:val="en-GB"/>
        </w:rPr>
        <w:tab/>
      </w:r>
    </w:p>
    <w:sectPr w:rsidR="00133F18" w:rsidRPr="00C17E19" w:rsidSect="00CD428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CA" w:rsidRDefault="003B23CA"/>
  </w:endnote>
  <w:endnote w:type="continuationSeparator" w:id="0">
    <w:p w:rsidR="003B23CA" w:rsidRDefault="003B23CA"/>
  </w:endnote>
  <w:endnote w:type="continuationNotice" w:id="1">
    <w:p w:rsidR="003B23CA" w:rsidRPr="00BF38EF" w:rsidRDefault="003B23CA" w:rsidP="00BF38EF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CB1" w:rsidRPr="00CD4281" w:rsidRDefault="00856CB1" w:rsidP="00CD4281">
    <w:pPr>
      <w:pStyle w:val="Footer"/>
      <w:tabs>
        <w:tab w:val="right" w:pos="9638"/>
      </w:tabs>
    </w:pP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D2281D">
      <w:rPr>
        <w:b/>
        <w:noProof/>
        <w:sz w:val="18"/>
      </w:rPr>
      <w:t>2</w:t>
    </w:r>
    <w:r w:rsidRPr="00CD4281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CB1" w:rsidRPr="00CD4281" w:rsidRDefault="00856CB1" w:rsidP="00CD4281">
    <w:pPr>
      <w:pStyle w:val="Footer"/>
      <w:tabs>
        <w:tab w:val="right" w:pos="9638"/>
      </w:tabs>
      <w:rPr>
        <w:b/>
        <w:sz w:val="18"/>
      </w:rPr>
    </w:pPr>
    <w:r>
      <w:tab/>
    </w: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D2281D">
      <w:rPr>
        <w:b/>
        <w:noProof/>
        <w:sz w:val="18"/>
      </w:rPr>
      <w:t>3</w:t>
    </w:r>
    <w:r w:rsidRPr="00CD428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CA" w:rsidRPr="00D27D5E" w:rsidRDefault="003B23C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B23CA" w:rsidRPr="00836A24" w:rsidRDefault="003B23CA" w:rsidP="00836A24">
      <w:pPr>
        <w:tabs>
          <w:tab w:val="right" w:pos="2155"/>
        </w:tabs>
        <w:spacing w:after="80"/>
        <w:ind w:left="680"/>
        <w:rPr>
          <w:u w:val="single"/>
        </w:rPr>
      </w:pPr>
      <w:r w:rsidRPr="00836A24">
        <w:rPr>
          <w:u w:val="single"/>
        </w:rPr>
        <w:tab/>
      </w:r>
    </w:p>
  </w:footnote>
  <w:footnote w:type="continuationNotice" w:id="1">
    <w:p w:rsidR="003B23CA" w:rsidRPr="00BF38EF" w:rsidRDefault="003B23CA" w:rsidP="00BF38EF">
      <w:pPr>
        <w:spacing w:line="240" w:lineRule="auto"/>
        <w:rPr>
          <w:sz w:val="2"/>
          <w:szCs w:val="2"/>
        </w:rPr>
      </w:pPr>
    </w:p>
  </w:footnote>
  <w:footnote w:id="2">
    <w:p w:rsidR="00856CB1" w:rsidRPr="00C17E19" w:rsidRDefault="00856CB1" w:rsidP="00EC66F9">
      <w:pPr>
        <w:pStyle w:val="FootnoteText"/>
        <w:widowControl w:val="0"/>
        <w:tabs>
          <w:tab w:val="clear" w:pos="1021"/>
          <w:tab w:val="right" w:pos="1020"/>
        </w:tabs>
        <w:rPr>
          <w:lang w:val="en-GB"/>
        </w:rPr>
      </w:pPr>
      <w:r>
        <w:tab/>
      </w:r>
      <w:r>
        <w:rPr>
          <w:rStyle w:val="FootnoteReference"/>
        </w:rPr>
        <w:footnoteRef/>
      </w:r>
      <w:r w:rsidRPr="00C17E19">
        <w:rPr>
          <w:lang w:val="en-GB"/>
        </w:rPr>
        <w:tab/>
      </w:r>
      <w:r w:rsidR="00171DAC" w:rsidRPr="00853410">
        <w:rPr>
          <w:lang w:val="en-US"/>
        </w:rPr>
        <w:t>Distributed in German by the Central Commission for the Navigation of the Rhine under the symbol CCNR-ZKR/ADN/WP.15/AC.2/2016/</w:t>
      </w:r>
      <w:r w:rsidR="0048042F">
        <w:rPr>
          <w:lang w:val="en-US"/>
        </w:rPr>
        <w:t>31</w:t>
      </w:r>
      <w:r w:rsidR="00171DAC" w:rsidRPr="00853410">
        <w:rPr>
          <w:lang w:val="en-US"/>
        </w:rPr>
        <w:t>.</w:t>
      </w:r>
    </w:p>
  </w:footnote>
  <w:footnote w:id="3">
    <w:p w:rsidR="00F524BE" w:rsidRPr="00171DAC" w:rsidRDefault="00856CB1" w:rsidP="00EC66F9">
      <w:pPr>
        <w:pStyle w:val="FootnoteText"/>
        <w:widowControl w:val="0"/>
        <w:tabs>
          <w:tab w:val="clear" w:pos="1021"/>
          <w:tab w:val="right" w:pos="1020"/>
        </w:tabs>
        <w:rPr>
          <w:lang w:val="en-GB"/>
        </w:rPr>
      </w:pPr>
      <w:r w:rsidRPr="00C17E19">
        <w:rPr>
          <w:lang w:val="en-GB"/>
        </w:rPr>
        <w:tab/>
      </w:r>
      <w:r>
        <w:rPr>
          <w:rStyle w:val="FootnoteReference"/>
        </w:rPr>
        <w:footnoteRef/>
      </w:r>
      <w:r w:rsidRPr="00C17E19">
        <w:rPr>
          <w:lang w:val="en-GB"/>
        </w:rPr>
        <w:tab/>
      </w:r>
      <w:r w:rsidR="00171DAC" w:rsidRPr="003D077D">
        <w:rPr>
          <w:lang w:val="en-US"/>
        </w:rPr>
        <w:t xml:space="preserve">In accordance with the programme of work of the Inland Transport Committee for 2016–2017 </w:t>
      </w:r>
      <w:r w:rsidR="00171DAC" w:rsidRPr="00171DAC">
        <w:rPr>
          <w:lang w:val="en-GB"/>
        </w:rPr>
        <w:t>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CB1" w:rsidRPr="00CD4281" w:rsidRDefault="00856CB1">
    <w:pPr>
      <w:pStyle w:val="Header"/>
    </w:pPr>
    <w:r>
      <w:t>ECE/TRANS/WP.15/AC.2/201</w:t>
    </w:r>
    <w:r w:rsidR="003F3DA4">
      <w:t>6</w:t>
    </w:r>
    <w:r>
      <w:t>/</w:t>
    </w:r>
    <w:r w:rsidR="003B3C3D">
      <w:t>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CB1" w:rsidRPr="00CD4281" w:rsidRDefault="00856CB1" w:rsidP="00CD4281">
    <w:pPr>
      <w:pStyle w:val="Header"/>
      <w:jc w:val="right"/>
    </w:pPr>
    <w:r>
      <w:t>ECE/TRANS/WP.15/AC.2/201</w:t>
    </w:r>
    <w:r w:rsidR="003F3DA4">
      <w:t>6</w:t>
    </w:r>
    <w:r>
      <w:t>/</w:t>
    </w:r>
    <w:r w:rsidR="003B3C3D">
      <w:t>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212"/>
    <w:multiLevelType w:val="hybridMultilevel"/>
    <w:tmpl w:val="46967074"/>
    <w:lvl w:ilvl="0" w:tplc="81AE7D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36"/>
    <w:rsid w:val="0000047A"/>
    <w:rsid w:val="00003C92"/>
    <w:rsid w:val="00016AC5"/>
    <w:rsid w:val="00030ADE"/>
    <w:rsid w:val="000312C0"/>
    <w:rsid w:val="00056BAB"/>
    <w:rsid w:val="000B0D4D"/>
    <w:rsid w:val="000F41F2"/>
    <w:rsid w:val="00133F18"/>
    <w:rsid w:val="00135C0D"/>
    <w:rsid w:val="00135F2D"/>
    <w:rsid w:val="00160540"/>
    <w:rsid w:val="001644BC"/>
    <w:rsid w:val="0017182C"/>
    <w:rsid w:val="00171DAC"/>
    <w:rsid w:val="00175156"/>
    <w:rsid w:val="00177007"/>
    <w:rsid w:val="00186EE9"/>
    <w:rsid w:val="00192EEB"/>
    <w:rsid w:val="001947FF"/>
    <w:rsid w:val="001A20FB"/>
    <w:rsid w:val="001B0BE2"/>
    <w:rsid w:val="001B6F40"/>
    <w:rsid w:val="001C61AA"/>
    <w:rsid w:val="001D7F8A"/>
    <w:rsid w:val="001E3FEB"/>
    <w:rsid w:val="001E4A02"/>
    <w:rsid w:val="00215AA3"/>
    <w:rsid w:val="00223B89"/>
    <w:rsid w:val="00225A8C"/>
    <w:rsid w:val="00225F10"/>
    <w:rsid w:val="0023044C"/>
    <w:rsid w:val="00234E40"/>
    <w:rsid w:val="00260EA1"/>
    <w:rsid w:val="002659F1"/>
    <w:rsid w:val="00271AAD"/>
    <w:rsid w:val="00271C7C"/>
    <w:rsid w:val="00287E79"/>
    <w:rsid w:val="002928F9"/>
    <w:rsid w:val="002A5D07"/>
    <w:rsid w:val="002B0C85"/>
    <w:rsid w:val="002D7669"/>
    <w:rsid w:val="002E6F0D"/>
    <w:rsid w:val="003016B7"/>
    <w:rsid w:val="00320826"/>
    <w:rsid w:val="00330F9C"/>
    <w:rsid w:val="00340C35"/>
    <w:rsid w:val="00343C15"/>
    <w:rsid w:val="003515AA"/>
    <w:rsid w:val="00370E0F"/>
    <w:rsid w:val="00374106"/>
    <w:rsid w:val="003778FF"/>
    <w:rsid w:val="00386516"/>
    <w:rsid w:val="003976D5"/>
    <w:rsid w:val="003A2189"/>
    <w:rsid w:val="003A2976"/>
    <w:rsid w:val="003B23CA"/>
    <w:rsid w:val="003B3C3D"/>
    <w:rsid w:val="003C3BD4"/>
    <w:rsid w:val="003D1DF3"/>
    <w:rsid w:val="003D46A7"/>
    <w:rsid w:val="003D6C68"/>
    <w:rsid w:val="003E5551"/>
    <w:rsid w:val="003F3DA4"/>
    <w:rsid w:val="004159D0"/>
    <w:rsid w:val="004249E7"/>
    <w:rsid w:val="00442D65"/>
    <w:rsid w:val="004532CE"/>
    <w:rsid w:val="0048042F"/>
    <w:rsid w:val="004812F5"/>
    <w:rsid w:val="00493C5D"/>
    <w:rsid w:val="004A4D56"/>
    <w:rsid w:val="004A5935"/>
    <w:rsid w:val="004B5FE8"/>
    <w:rsid w:val="004D0439"/>
    <w:rsid w:val="004D2EFE"/>
    <w:rsid w:val="004E670C"/>
    <w:rsid w:val="00530F2E"/>
    <w:rsid w:val="00542086"/>
    <w:rsid w:val="00543D5E"/>
    <w:rsid w:val="00571F41"/>
    <w:rsid w:val="005751C6"/>
    <w:rsid w:val="00580744"/>
    <w:rsid w:val="00595BE4"/>
    <w:rsid w:val="005B5091"/>
    <w:rsid w:val="005B76A3"/>
    <w:rsid w:val="005E5D1F"/>
    <w:rsid w:val="00603391"/>
    <w:rsid w:val="00611D43"/>
    <w:rsid w:val="00612D48"/>
    <w:rsid w:val="00616B45"/>
    <w:rsid w:val="00620586"/>
    <w:rsid w:val="00630D9B"/>
    <w:rsid w:val="00631953"/>
    <w:rsid w:val="0063383D"/>
    <w:rsid w:val="006439EC"/>
    <w:rsid w:val="00646CBB"/>
    <w:rsid w:val="00653D13"/>
    <w:rsid w:val="0065687D"/>
    <w:rsid w:val="0068004D"/>
    <w:rsid w:val="006B4590"/>
    <w:rsid w:val="006C340C"/>
    <w:rsid w:val="006D3C84"/>
    <w:rsid w:val="006E5FC7"/>
    <w:rsid w:val="0070347C"/>
    <w:rsid w:val="00703489"/>
    <w:rsid w:val="007135ED"/>
    <w:rsid w:val="007176C1"/>
    <w:rsid w:val="00723FD7"/>
    <w:rsid w:val="00735A79"/>
    <w:rsid w:val="00763EB9"/>
    <w:rsid w:val="00790336"/>
    <w:rsid w:val="00790F2F"/>
    <w:rsid w:val="00792096"/>
    <w:rsid w:val="007C3C4F"/>
    <w:rsid w:val="007F55CB"/>
    <w:rsid w:val="00802B5E"/>
    <w:rsid w:val="00805BAD"/>
    <w:rsid w:val="008100E5"/>
    <w:rsid w:val="00812C1A"/>
    <w:rsid w:val="008317F6"/>
    <w:rsid w:val="00836A24"/>
    <w:rsid w:val="008440B8"/>
    <w:rsid w:val="00844750"/>
    <w:rsid w:val="00856CB1"/>
    <w:rsid w:val="008662AC"/>
    <w:rsid w:val="008B44C4"/>
    <w:rsid w:val="008B7879"/>
    <w:rsid w:val="008C5FAD"/>
    <w:rsid w:val="008D3919"/>
    <w:rsid w:val="008E7FAE"/>
    <w:rsid w:val="008F40D2"/>
    <w:rsid w:val="009064BF"/>
    <w:rsid w:val="00910C0F"/>
    <w:rsid w:val="00911BF7"/>
    <w:rsid w:val="00916183"/>
    <w:rsid w:val="00952FDB"/>
    <w:rsid w:val="009667CF"/>
    <w:rsid w:val="009727A3"/>
    <w:rsid w:val="00974DF0"/>
    <w:rsid w:val="00975B8F"/>
    <w:rsid w:val="009761FC"/>
    <w:rsid w:val="00977EC8"/>
    <w:rsid w:val="00983D68"/>
    <w:rsid w:val="00995D62"/>
    <w:rsid w:val="009B18A3"/>
    <w:rsid w:val="009C3F5F"/>
    <w:rsid w:val="009C5907"/>
    <w:rsid w:val="009D3A8C"/>
    <w:rsid w:val="009E01B8"/>
    <w:rsid w:val="009E2194"/>
    <w:rsid w:val="009E7956"/>
    <w:rsid w:val="00A025E4"/>
    <w:rsid w:val="00A2161E"/>
    <w:rsid w:val="00A2492E"/>
    <w:rsid w:val="00A666CE"/>
    <w:rsid w:val="00A70163"/>
    <w:rsid w:val="00AB3EF4"/>
    <w:rsid w:val="00AC67A1"/>
    <w:rsid w:val="00AC7977"/>
    <w:rsid w:val="00AE352C"/>
    <w:rsid w:val="00B32E2D"/>
    <w:rsid w:val="00B4466B"/>
    <w:rsid w:val="00B61990"/>
    <w:rsid w:val="00B72D29"/>
    <w:rsid w:val="00B75EC5"/>
    <w:rsid w:val="00B85D99"/>
    <w:rsid w:val="00B93E72"/>
    <w:rsid w:val="00BA7C17"/>
    <w:rsid w:val="00BF0556"/>
    <w:rsid w:val="00BF38EF"/>
    <w:rsid w:val="00C0250B"/>
    <w:rsid w:val="00C17E19"/>
    <w:rsid w:val="00C24B53"/>
    <w:rsid w:val="00C261F8"/>
    <w:rsid w:val="00C27150"/>
    <w:rsid w:val="00C33100"/>
    <w:rsid w:val="00C43BB0"/>
    <w:rsid w:val="00C44213"/>
    <w:rsid w:val="00C57892"/>
    <w:rsid w:val="00C779D3"/>
    <w:rsid w:val="00C940E9"/>
    <w:rsid w:val="00CA1414"/>
    <w:rsid w:val="00CB6267"/>
    <w:rsid w:val="00CB694A"/>
    <w:rsid w:val="00CD1A71"/>
    <w:rsid w:val="00CD1FBB"/>
    <w:rsid w:val="00CD4281"/>
    <w:rsid w:val="00CE5BF6"/>
    <w:rsid w:val="00D016B5"/>
    <w:rsid w:val="00D034F1"/>
    <w:rsid w:val="00D04D8B"/>
    <w:rsid w:val="00D05E95"/>
    <w:rsid w:val="00D11B17"/>
    <w:rsid w:val="00D205A3"/>
    <w:rsid w:val="00D2281D"/>
    <w:rsid w:val="00D24779"/>
    <w:rsid w:val="00D27D5E"/>
    <w:rsid w:val="00D60301"/>
    <w:rsid w:val="00D751D5"/>
    <w:rsid w:val="00D761E2"/>
    <w:rsid w:val="00DA57D4"/>
    <w:rsid w:val="00DB4793"/>
    <w:rsid w:val="00DE01E3"/>
    <w:rsid w:val="00DE45DF"/>
    <w:rsid w:val="00DE6D90"/>
    <w:rsid w:val="00DF002F"/>
    <w:rsid w:val="00E0244D"/>
    <w:rsid w:val="00E0331A"/>
    <w:rsid w:val="00E37AE2"/>
    <w:rsid w:val="00E401F2"/>
    <w:rsid w:val="00E413D8"/>
    <w:rsid w:val="00E47862"/>
    <w:rsid w:val="00E50079"/>
    <w:rsid w:val="00E55D71"/>
    <w:rsid w:val="00E81E94"/>
    <w:rsid w:val="00E82607"/>
    <w:rsid w:val="00E90321"/>
    <w:rsid w:val="00EA31C2"/>
    <w:rsid w:val="00EC66F9"/>
    <w:rsid w:val="00ED734B"/>
    <w:rsid w:val="00EE2EA3"/>
    <w:rsid w:val="00EF1183"/>
    <w:rsid w:val="00EF486C"/>
    <w:rsid w:val="00EF6EE5"/>
    <w:rsid w:val="00F01516"/>
    <w:rsid w:val="00F460D3"/>
    <w:rsid w:val="00F524BE"/>
    <w:rsid w:val="00F57129"/>
    <w:rsid w:val="00FA5A79"/>
    <w:rsid w:val="00FB00CB"/>
    <w:rsid w:val="00FB0BFE"/>
    <w:rsid w:val="00FB129B"/>
    <w:rsid w:val="00FB4C51"/>
    <w:rsid w:val="00FB62F2"/>
    <w:rsid w:val="00FF10CF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4:docId w14:val="6B7FA074"/>
  <w15:docId w15:val="{6B3DF4F4-EDE5-4634-BC2E-8DC0ABE5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8E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BF38E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F38EF"/>
    <w:pPr>
      <w:outlineLvl w:val="1"/>
    </w:pPr>
  </w:style>
  <w:style w:type="paragraph" w:styleId="Heading3">
    <w:name w:val="heading 3"/>
    <w:basedOn w:val="Normal"/>
    <w:next w:val="Normal"/>
    <w:qFormat/>
    <w:rsid w:val="00BF38EF"/>
    <w:pPr>
      <w:outlineLvl w:val="2"/>
    </w:pPr>
  </w:style>
  <w:style w:type="paragraph" w:styleId="Heading4">
    <w:name w:val="heading 4"/>
    <w:basedOn w:val="Normal"/>
    <w:next w:val="Normal"/>
    <w:qFormat/>
    <w:rsid w:val="00BF38EF"/>
    <w:pPr>
      <w:outlineLvl w:val="3"/>
    </w:pPr>
  </w:style>
  <w:style w:type="paragraph" w:styleId="Heading5">
    <w:name w:val="heading 5"/>
    <w:basedOn w:val="Normal"/>
    <w:next w:val="Normal"/>
    <w:qFormat/>
    <w:rsid w:val="00BF38EF"/>
    <w:pPr>
      <w:outlineLvl w:val="4"/>
    </w:pPr>
  </w:style>
  <w:style w:type="paragraph" w:styleId="Heading6">
    <w:name w:val="heading 6"/>
    <w:basedOn w:val="Normal"/>
    <w:next w:val="Normal"/>
    <w:qFormat/>
    <w:rsid w:val="00BF38EF"/>
    <w:pPr>
      <w:outlineLvl w:val="5"/>
    </w:pPr>
  </w:style>
  <w:style w:type="paragraph" w:styleId="Heading7">
    <w:name w:val="heading 7"/>
    <w:basedOn w:val="Normal"/>
    <w:next w:val="Normal"/>
    <w:qFormat/>
    <w:rsid w:val="00BF38EF"/>
    <w:pPr>
      <w:outlineLvl w:val="6"/>
    </w:pPr>
  </w:style>
  <w:style w:type="paragraph" w:styleId="Heading8">
    <w:name w:val="heading 8"/>
    <w:basedOn w:val="Normal"/>
    <w:next w:val="Normal"/>
    <w:qFormat/>
    <w:rsid w:val="00BF38EF"/>
    <w:pPr>
      <w:outlineLvl w:val="7"/>
    </w:pPr>
  </w:style>
  <w:style w:type="paragraph" w:styleId="Heading9">
    <w:name w:val="heading 9"/>
    <w:basedOn w:val="Normal"/>
    <w:next w:val="Normal"/>
    <w:qFormat/>
    <w:rsid w:val="00BF38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BF38E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BF38E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BF38E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BF38E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BF38E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F38E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BF38EF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BF38EF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BF38EF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BF38EF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BF38E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BF38E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F38EF"/>
  </w:style>
  <w:style w:type="character" w:styleId="PageNumber">
    <w:name w:val="page number"/>
    <w:aliases w:val="7_G"/>
    <w:rsid w:val="00BF38EF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BF38EF"/>
    <w:pPr>
      <w:spacing w:line="240" w:lineRule="auto"/>
    </w:pPr>
    <w:rPr>
      <w:sz w:val="16"/>
    </w:rPr>
  </w:style>
  <w:style w:type="character" w:styleId="Hyperlink">
    <w:name w:val="Hyperlink"/>
    <w:semiHidden/>
    <w:rsid w:val="00BF38EF"/>
    <w:rPr>
      <w:color w:val="auto"/>
      <w:u w:val="none"/>
    </w:rPr>
  </w:style>
  <w:style w:type="character" w:styleId="FollowedHyperlink">
    <w:name w:val="FollowedHyperlink"/>
    <w:semiHidden/>
    <w:rsid w:val="00BF38EF"/>
    <w:rPr>
      <w:color w:val="auto"/>
      <w:u w:val="none"/>
    </w:rPr>
  </w:style>
  <w:style w:type="character" w:customStyle="1" w:styleId="H1GChar">
    <w:name w:val="_ H_1_G Char"/>
    <w:link w:val="H1G"/>
    <w:rsid w:val="00CD4281"/>
    <w:rPr>
      <w:b/>
      <w:sz w:val="24"/>
      <w:lang w:val="fr-CH" w:eastAsia="en-US" w:bidi="ar-SA"/>
    </w:rPr>
  </w:style>
  <w:style w:type="table" w:styleId="TableGrid">
    <w:name w:val="Table Grid"/>
    <w:basedOn w:val="TableNormal"/>
    <w:semiHidden/>
    <w:rsid w:val="00BF38E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locked/>
    <w:rsid w:val="002E6F0D"/>
    <w:rPr>
      <w:lang w:val="fr-CH" w:eastAsia="en-US"/>
    </w:rPr>
  </w:style>
  <w:style w:type="character" w:customStyle="1" w:styleId="H23GChar">
    <w:name w:val="_ H_2/3_G Char"/>
    <w:link w:val="H23G"/>
    <w:rsid w:val="002E6F0D"/>
    <w:rPr>
      <w:b/>
      <w:lang w:val="fr-CH" w:eastAsia="en-US"/>
    </w:rPr>
  </w:style>
  <w:style w:type="character" w:customStyle="1" w:styleId="HChGChar">
    <w:name w:val="_ H _Ch_G Char"/>
    <w:link w:val="HChG"/>
    <w:rsid w:val="00EF6EE5"/>
    <w:rPr>
      <w:b/>
      <w:sz w:val="28"/>
      <w:lang w:val="fr-CH" w:eastAsia="en-US"/>
    </w:rPr>
  </w:style>
  <w:style w:type="character" w:customStyle="1" w:styleId="SingleTxtGCar">
    <w:name w:val="_ Single Txt_G Car"/>
    <w:rsid w:val="00EF6EE5"/>
    <w:rPr>
      <w:lang w:val="fr-CH" w:eastAsia="en-US"/>
    </w:rPr>
  </w:style>
  <w:style w:type="paragraph" w:styleId="BalloonText">
    <w:name w:val="Balloon Text"/>
    <w:basedOn w:val="Normal"/>
    <w:link w:val="BalloonTextChar"/>
    <w:rsid w:val="00003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C92"/>
    <w:rPr>
      <w:rFonts w:ascii="Tahoma" w:hAnsi="Tahoma" w:cs="Tahoma"/>
      <w:sz w:val="16"/>
      <w:szCs w:val="16"/>
      <w:lang w:val="fr-CH" w:eastAsia="en-US"/>
    </w:rPr>
  </w:style>
  <w:style w:type="paragraph" w:styleId="BodyTextIndent">
    <w:name w:val="Body Text Indent"/>
    <w:basedOn w:val="Normal"/>
    <w:link w:val="BodyTextIndentChar"/>
    <w:rsid w:val="00BA7C17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A7C1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ECE/TRANS/WP.15/AC.2/2012/7</vt:lpstr>
    </vt:vector>
  </TitlesOfParts>
  <Company>CSD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ECE/TRANS/WP.15/AC.2/2012/7</dc:title>
  <dc:subject>Semifinal</dc:subject>
  <dc:creator>Letaillieur</dc:creator>
  <cp:lastModifiedBy>02</cp:lastModifiedBy>
  <cp:revision>20</cp:revision>
  <cp:lastPrinted>2016-06-09T07:50:00Z</cp:lastPrinted>
  <dcterms:created xsi:type="dcterms:W3CDTF">2016-06-03T08:17:00Z</dcterms:created>
  <dcterms:modified xsi:type="dcterms:W3CDTF">2016-06-09T12:44:00Z</dcterms:modified>
</cp:coreProperties>
</file>