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0A2418" w:rsidP="000A2418">
            <w:pPr>
              <w:suppressAutoHyphens w:val="0"/>
              <w:spacing w:after="20"/>
              <w:jc w:val="right"/>
            </w:pPr>
            <w:r w:rsidRPr="000A2418">
              <w:rPr>
                <w:sz w:val="40"/>
              </w:rPr>
              <w:t>ECE</w:t>
            </w:r>
            <w:r>
              <w:t>/TRANS/WP.15/AC.2/2016/40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7838D3A7" wp14:editId="371C972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0A2418" w:rsidP="000A2418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0A2418" w:rsidRDefault="000A2418" w:rsidP="000A2418">
            <w:pPr>
              <w:suppressAutoHyphens w:val="0"/>
            </w:pPr>
            <w:r>
              <w:t>8 June 2016</w:t>
            </w:r>
          </w:p>
          <w:p w:rsidR="000A2418" w:rsidRDefault="000A2418" w:rsidP="000A2418">
            <w:pPr>
              <w:suppressAutoHyphens w:val="0"/>
            </w:pPr>
            <w:r>
              <w:t>English</w:t>
            </w:r>
          </w:p>
          <w:p w:rsidR="000A2418" w:rsidRDefault="000A2418" w:rsidP="000A2418">
            <w:pPr>
              <w:suppressAutoHyphens w:val="0"/>
            </w:pPr>
            <w:r>
              <w:t>Original: French</w:t>
            </w:r>
          </w:p>
        </w:tc>
      </w:tr>
    </w:tbl>
    <w:p w:rsidR="000A2418" w:rsidRDefault="000A241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0A2418" w:rsidRDefault="000A241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0A2418" w:rsidRDefault="000A2418" w:rsidP="000A241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0A2418">
        <w:rPr>
          <w:b/>
          <w:sz w:val="24"/>
          <w:szCs w:val="24"/>
        </w:rPr>
        <w:t>Dangerous Goods</w:t>
      </w:r>
    </w:p>
    <w:p w:rsidR="000A2418" w:rsidRPr="000A2418" w:rsidRDefault="000A2418" w:rsidP="000A2418">
      <w:pPr>
        <w:pStyle w:val="BodyText"/>
      </w:pPr>
      <w:r w:rsidRPr="000A2418">
        <w:t>Joint Meeting of Experts on the Regulations annexed to the</w:t>
      </w:r>
      <w:r w:rsidRPr="000A2418">
        <w:br/>
        <w:t>European Agreement concerning the International Carriage</w:t>
      </w:r>
      <w:r w:rsidRPr="000A2418">
        <w:br/>
        <w:t>of Dangerous Goods by Inland Waterways (ADN)</w:t>
      </w:r>
      <w:r w:rsidRPr="000A2418">
        <w:br/>
        <w:t>(ADN Safety Committee)</w:t>
      </w:r>
    </w:p>
    <w:p w:rsidR="000A2418" w:rsidRPr="000A2418" w:rsidRDefault="000A2418" w:rsidP="000A2418">
      <w:pPr>
        <w:spacing w:before="120"/>
        <w:rPr>
          <w:b/>
          <w:bCs/>
        </w:rPr>
      </w:pPr>
      <w:r w:rsidRPr="000A2418">
        <w:rPr>
          <w:b/>
          <w:bCs/>
        </w:rPr>
        <w:t>Twenty-ninth session</w:t>
      </w:r>
    </w:p>
    <w:p w:rsidR="000A2418" w:rsidRPr="00D562DA" w:rsidRDefault="000A2418" w:rsidP="000A2418">
      <w:r w:rsidRPr="00D562DA">
        <w:t>Geneva, 22-25 August 2016</w:t>
      </w:r>
    </w:p>
    <w:p w:rsidR="000A2418" w:rsidRPr="00D562DA" w:rsidRDefault="000A2418" w:rsidP="000A2418">
      <w:r w:rsidRPr="00D562DA">
        <w:t>Item 4 (b) of the provisional agenda</w:t>
      </w:r>
    </w:p>
    <w:p w:rsidR="000A2418" w:rsidRPr="000A2418" w:rsidRDefault="000A2418" w:rsidP="000A2418">
      <w:pPr>
        <w:pStyle w:val="BodyText"/>
        <w:spacing w:before="0"/>
      </w:pPr>
      <w:r w:rsidRPr="000A2418">
        <w:t>Proposals for amendments to the Regulations annexed to ADN:</w:t>
      </w:r>
    </w:p>
    <w:p w:rsidR="000A2418" w:rsidRPr="000A2418" w:rsidRDefault="000A2418" w:rsidP="000A2418">
      <w:pPr>
        <w:rPr>
          <w:b/>
          <w:bCs/>
        </w:rPr>
      </w:pPr>
      <w:r w:rsidRPr="000A2418">
        <w:rPr>
          <w:b/>
          <w:bCs/>
        </w:rPr>
        <w:t>Other proposals</w:t>
      </w:r>
    </w:p>
    <w:p w:rsidR="000A2418" w:rsidRPr="00D562DA" w:rsidRDefault="000A2418" w:rsidP="000A2418">
      <w:pPr>
        <w:pStyle w:val="HChG"/>
      </w:pPr>
      <w:r>
        <w:tab/>
      </w:r>
      <w:r>
        <w:tab/>
      </w:r>
      <w:r w:rsidRPr="00D562DA">
        <w:t>Proof of sufficient intact stability</w:t>
      </w:r>
    </w:p>
    <w:p w:rsidR="000A2418" w:rsidRPr="00D562DA" w:rsidRDefault="000A2418" w:rsidP="000A2418">
      <w:pPr>
        <w:pStyle w:val="HChG"/>
      </w:pPr>
      <w:r>
        <w:tab/>
      </w:r>
      <w:r>
        <w:tab/>
      </w:r>
      <w:r w:rsidRPr="00D562DA">
        <w:t>Drafting of stability booklets and stability programmes</w:t>
      </w:r>
    </w:p>
    <w:p w:rsidR="000A2418" w:rsidRPr="00D562DA" w:rsidRDefault="000A2418" w:rsidP="001F3A08">
      <w:pPr>
        <w:pStyle w:val="H1G"/>
      </w:pPr>
      <w:r>
        <w:tab/>
      </w:r>
      <w:r>
        <w:tab/>
      </w:r>
      <w:r w:rsidRPr="00D562DA">
        <w:t>Transmitted jointly by the European Barge Union (EBU), the European River Sea Transport Union (ERSTU) and the European Skippers Organization (ESO</w:t>
      </w:r>
      <w:r w:rsidRPr="00141EF5">
        <w:t>)</w:t>
      </w:r>
      <w:r w:rsidRPr="00050A3D">
        <w:rPr>
          <w:rStyle w:val="FootnoteReference"/>
          <w:b w:val="0"/>
          <w:bCs/>
        </w:rPr>
        <w:footnoteReference w:id="1"/>
      </w:r>
      <w:r w:rsidRPr="00050A3D">
        <w:rPr>
          <w:rStyle w:val="FootnoteReference"/>
          <w:b w:val="0"/>
          <w:bCs/>
          <w:position w:val="4"/>
          <w:vertAlign w:val="baseline"/>
        </w:rPr>
        <w:t>,</w:t>
      </w:r>
      <w:r w:rsidRPr="00050A3D">
        <w:rPr>
          <w:rStyle w:val="FootnoteReference"/>
          <w:b w:val="0"/>
          <w:bCs/>
        </w:rPr>
        <w:t xml:space="preserve"> </w:t>
      </w:r>
      <w:r w:rsidRPr="00050A3D">
        <w:rPr>
          <w:rStyle w:val="FootnoteReference"/>
          <w:b w:val="0"/>
          <w:bCs/>
        </w:rPr>
        <w:footnoteReference w:id="2"/>
      </w:r>
    </w:p>
    <w:p w:rsidR="000A2418" w:rsidRPr="00D562DA" w:rsidRDefault="000A2418" w:rsidP="000A2418">
      <w:pPr>
        <w:pStyle w:val="SingleTxtG"/>
      </w:pPr>
      <w:r w:rsidRPr="00D562DA">
        <w:t>1.</w:t>
      </w:r>
      <w:r w:rsidRPr="00D562DA">
        <w:tab/>
        <w:t>ADN, in subsections 9.3.1.13.3, 9.3.2.13.3 and 9.3.3.13.3, contains the requirements for stability booklets and loading calculators.</w:t>
      </w:r>
    </w:p>
    <w:p w:rsidR="000A2418" w:rsidRPr="00D562DA" w:rsidRDefault="000A2418" w:rsidP="000A2418">
      <w:pPr>
        <w:pStyle w:val="SingleTxtG"/>
      </w:pPr>
      <w:r w:rsidRPr="00D562DA">
        <w:t>2.</w:t>
      </w:r>
      <w:r w:rsidRPr="00D562DA">
        <w:tab/>
        <w:t>By derogation from ADN section 1.16.1.3, provisional certificates of approval could be issued once for a period of six months in 2015, or may be issued for a period of four months in subsequent years, so that proof of intact stability in accordance with 9.3.1.13.3, 9.3.2.13.3 and 9.3.3.13.3 can be submitted for renewal of the certificate of approval.</w:t>
      </w:r>
    </w:p>
    <w:p w:rsidR="000A2418" w:rsidRPr="00D562DA" w:rsidRDefault="000A2418" w:rsidP="000A2418">
      <w:pPr>
        <w:pStyle w:val="SingleTxtG"/>
      </w:pPr>
      <w:r w:rsidRPr="00D562DA">
        <w:lastRenderedPageBreak/>
        <w:tab/>
        <w:t>These provisions appear in multilateral agreements M 014 and M 015, with validity until 31 December 2019.</w:t>
      </w:r>
    </w:p>
    <w:p w:rsidR="000A2418" w:rsidRPr="00D562DA" w:rsidRDefault="000A2418" w:rsidP="000A2418">
      <w:pPr>
        <w:pStyle w:val="SingleTxtG"/>
      </w:pPr>
      <w:r w:rsidRPr="00D562DA">
        <w:t>3.</w:t>
      </w:r>
      <w:r w:rsidRPr="00D562DA">
        <w:tab/>
        <w:t xml:space="preserve">Despite the fact that intensive negotiations and in-depth discussions were held when these agreements were being drawn up, the time required for the drafting of stability booklets and stability programmes was seriously underestimated. </w:t>
      </w:r>
    </w:p>
    <w:p w:rsidR="000A2418" w:rsidRPr="00D562DA" w:rsidRDefault="000A2418" w:rsidP="000A2418">
      <w:pPr>
        <w:pStyle w:val="SingleTxtG"/>
      </w:pPr>
      <w:r w:rsidRPr="00D562DA">
        <w:t>4.</w:t>
      </w:r>
      <w:r w:rsidRPr="00D562DA">
        <w:tab/>
        <w:t xml:space="preserve">For this reason, the European inland navigation industry requests that, when certificates of approval are up for renewal, </w:t>
      </w:r>
      <w:r w:rsidRPr="001F3A08">
        <w:rPr>
          <w:u w:val="single"/>
        </w:rPr>
        <w:t>for both 2016 and all subsequent years</w:t>
      </w:r>
      <w:r w:rsidRPr="00D562DA">
        <w:t>, the time</w:t>
      </w:r>
      <w:r w:rsidR="00E449CA">
        <w:t xml:space="preserve"> </w:t>
      </w:r>
      <w:r w:rsidRPr="00D562DA">
        <w:t xml:space="preserve">frames mentioned in multilateral agreements M 014 and M 015 for the single issuance of provisional certificates of approval should be changed to </w:t>
      </w:r>
      <w:r w:rsidRPr="006059F3">
        <w:rPr>
          <w:b/>
          <w:bCs/>
        </w:rPr>
        <w:t>six months</w:t>
      </w:r>
      <w:r w:rsidRPr="00D562DA">
        <w:t xml:space="preserve"> for the submission of proof of intact stability in accordance with ADN 9.3.1.13.3, 9.3.2.13.3 and 9.3.3.13.3.</w:t>
      </w:r>
    </w:p>
    <w:p w:rsidR="000A2418" w:rsidRPr="00106A43" w:rsidRDefault="000A241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2418" w:rsidRPr="00106A43" w:rsidSect="000A241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AC" w:rsidRPr="00FB1744" w:rsidRDefault="000F71AC" w:rsidP="00FB1744">
      <w:pPr>
        <w:pStyle w:val="Footer"/>
      </w:pPr>
    </w:p>
  </w:endnote>
  <w:endnote w:type="continuationSeparator" w:id="0">
    <w:p w:rsidR="000F71AC" w:rsidRPr="00FB1744" w:rsidRDefault="000F71AC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18" w:rsidRPr="000A2418" w:rsidRDefault="000A2418" w:rsidP="000A2418">
    <w:pPr>
      <w:pStyle w:val="Footer"/>
      <w:tabs>
        <w:tab w:val="right" w:pos="9598"/>
      </w:tabs>
    </w:pPr>
    <w:r w:rsidRPr="000A2418">
      <w:rPr>
        <w:b/>
        <w:sz w:val="18"/>
      </w:rPr>
      <w:fldChar w:fldCharType="begin"/>
    </w:r>
    <w:r w:rsidRPr="000A2418">
      <w:rPr>
        <w:b/>
        <w:sz w:val="18"/>
      </w:rPr>
      <w:instrText xml:space="preserve"> PAGE  \* MERGEFORMAT </w:instrText>
    </w:r>
    <w:r w:rsidRPr="000A2418">
      <w:rPr>
        <w:b/>
        <w:sz w:val="18"/>
      </w:rPr>
      <w:fldChar w:fldCharType="separate"/>
    </w:r>
    <w:r w:rsidR="00817E52">
      <w:rPr>
        <w:b/>
        <w:noProof/>
        <w:sz w:val="18"/>
      </w:rPr>
      <w:t>2</w:t>
    </w:r>
    <w:r w:rsidRPr="000A2418">
      <w:rPr>
        <w:b/>
        <w:sz w:val="18"/>
      </w:rPr>
      <w:fldChar w:fldCharType="end"/>
    </w:r>
    <w:r>
      <w:rPr>
        <w:sz w:val="18"/>
      </w:rPr>
      <w:tab/>
    </w:r>
    <w:r>
      <w:t>GE.16-09290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18" w:rsidRPr="000A2418" w:rsidRDefault="000A2418" w:rsidP="000A2418">
    <w:pPr>
      <w:pStyle w:val="Footer"/>
      <w:tabs>
        <w:tab w:val="right" w:pos="9598"/>
      </w:tabs>
      <w:rPr>
        <w:b/>
        <w:sz w:val="18"/>
      </w:rPr>
    </w:pPr>
    <w:r>
      <w:t>GE.16-09290</w:t>
    </w:r>
    <w:r>
      <w:tab/>
    </w:r>
    <w:r w:rsidRPr="000A2418">
      <w:rPr>
        <w:b/>
        <w:sz w:val="18"/>
      </w:rPr>
      <w:fldChar w:fldCharType="begin"/>
    </w:r>
    <w:r w:rsidRPr="000A2418">
      <w:rPr>
        <w:b/>
        <w:sz w:val="18"/>
      </w:rPr>
      <w:instrText xml:space="preserve"> PAGE  \* MERGEFORMAT </w:instrText>
    </w:r>
    <w:r w:rsidRPr="000A241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A24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DF93CFB" wp14:editId="7DA51DC8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418" w:rsidRDefault="000A2418" w:rsidP="000A2418">
    <w:r>
      <w:t>GE.16-09290  (E)    230616    230616</w:t>
    </w:r>
  </w:p>
  <w:p w:rsidR="000A2418" w:rsidRPr="000A2418" w:rsidRDefault="000A2418" w:rsidP="000A2418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 wp14:anchorId="42746F20" wp14:editId="07D8070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Picture 1" descr="http://undocs.org/m2/QRCode.ashx?DS=ECE/TRANS/WP.15/AC.2/2016/40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6/40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AC" w:rsidRPr="00FB1744" w:rsidRDefault="000F71AC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0F71AC" w:rsidRPr="00FB1744" w:rsidRDefault="000F71AC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0A2418" w:rsidRPr="00797D75" w:rsidRDefault="000A2418" w:rsidP="000A2418">
      <w:pPr>
        <w:pStyle w:val="FootnoteText"/>
      </w:pPr>
      <w:r>
        <w:rPr>
          <w:szCs w:val="24"/>
        </w:rPr>
        <w:tab/>
      </w:r>
      <w:r w:rsidRPr="000A2418">
        <w:rPr>
          <w:rStyle w:val="FootnoteReference"/>
        </w:rPr>
        <w:footnoteRef/>
      </w:r>
      <w:r w:rsidRPr="00797D75">
        <w:rPr>
          <w:szCs w:val="24"/>
        </w:rPr>
        <w:tab/>
      </w:r>
      <w:r w:rsidRPr="00797D75">
        <w:t xml:space="preserve">Distributed in German by the Central Commission for the Navigation of the Rhine under the symbol </w:t>
      </w:r>
      <w:r>
        <w:t>CCNR-ZKR/ADN/WP.15/AC.2/2016/40</w:t>
      </w:r>
      <w:r w:rsidR="00463DAC">
        <w:t>.</w:t>
      </w:r>
    </w:p>
  </w:footnote>
  <w:footnote w:id="2">
    <w:p w:rsidR="000A2418" w:rsidRPr="00797D75" w:rsidRDefault="000A2418" w:rsidP="000A2418">
      <w:pPr>
        <w:pStyle w:val="FootnoteText"/>
        <w:widowControl w:val="0"/>
        <w:tabs>
          <w:tab w:val="clear" w:pos="1021"/>
          <w:tab w:val="right" w:pos="1020"/>
        </w:tabs>
      </w:pPr>
      <w:r w:rsidRPr="00797D75">
        <w:tab/>
      </w:r>
      <w:r w:rsidRPr="000A2418">
        <w:rPr>
          <w:rStyle w:val="FootnoteReference"/>
        </w:rPr>
        <w:footnoteRef/>
      </w:r>
      <w:r>
        <w:tab/>
      </w:r>
      <w:r w:rsidRPr="00797D75">
        <w:t xml:space="preserve">In accordance with the draft programme of work of the Inland Transport Committee for 2016-2017 </w:t>
      </w:r>
      <w:r w:rsidRPr="000A2418">
        <w:t>(</w:t>
      </w:r>
      <w:hyperlink r:id="rId1" w:tgtFrame="_blank" w:history="1">
        <w:r w:rsidRPr="000A2418">
          <w:rPr>
            <w:color w:val="0000FF"/>
          </w:rPr>
          <w:t>ECE/TRANS/2016/28/Add.1</w:t>
        </w:r>
      </w:hyperlink>
      <w:r w:rsidRPr="000A2418">
        <w:t xml:space="preserve">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18" w:rsidRPr="000A2418" w:rsidRDefault="000A2418" w:rsidP="000A2418">
    <w:pPr>
      <w:pStyle w:val="Header"/>
    </w:pPr>
    <w:r w:rsidRPr="000A2418">
      <w:t>ECE/TRANS/WP.15/AC.2/2016/40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18" w:rsidRPr="000A2418" w:rsidRDefault="000A2418" w:rsidP="000A2418">
    <w:pPr>
      <w:pStyle w:val="Header"/>
      <w:jc w:val="right"/>
    </w:pPr>
    <w:r w:rsidRPr="000A2418">
      <w:t>ECE/TRANS/WP.15/AC.2/2016/40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AC"/>
    <w:rsid w:val="00046E92"/>
    <w:rsid w:val="00050A3D"/>
    <w:rsid w:val="000A2418"/>
    <w:rsid w:val="000F71AC"/>
    <w:rsid w:val="001170DC"/>
    <w:rsid w:val="00141EF5"/>
    <w:rsid w:val="00154A6A"/>
    <w:rsid w:val="001F3A08"/>
    <w:rsid w:val="00247E2C"/>
    <w:rsid w:val="002A6475"/>
    <w:rsid w:val="002D6C53"/>
    <w:rsid w:val="002F5595"/>
    <w:rsid w:val="00322CF7"/>
    <w:rsid w:val="00334F6A"/>
    <w:rsid w:val="00342AC8"/>
    <w:rsid w:val="00351EA0"/>
    <w:rsid w:val="00372E3D"/>
    <w:rsid w:val="003B4550"/>
    <w:rsid w:val="00461253"/>
    <w:rsid w:val="00463DAC"/>
    <w:rsid w:val="005042C2"/>
    <w:rsid w:val="0056599A"/>
    <w:rsid w:val="006059F3"/>
    <w:rsid w:val="00671529"/>
    <w:rsid w:val="006A7789"/>
    <w:rsid w:val="00717266"/>
    <w:rsid w:val="007268F9"/>
    <w:rsid w:val="007C52B0"/>
    <w:rsid w:val="00812B68"/>
    <w:rsid w:val="00817E52"/>
    <w:rsid w:val="009411B4"/>
    <w:rsid w:val="009D0139"/>
    <w:rsid w:val="009D2C84"/>
    <w:rsid w:val="009F5CDC"/>
    <w:rsid w:val="00A775CF"/>
    <w:rsid w:val="00AB3C7E"/>
    <w:rsid w:val="00AD4F10"/>
    <w:rsid w:val="00B06045"/>
    <w:rsid w:val="00C35A27"/>
    <w:rsid w:val="00E02C2B"/>
    <w:rsid w:val="00E449CA"/>
    <w:rsid w:val="00ED6C48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28196A-CA85-467B-8B92-018A9AAA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A2418"/>
    <w:pPr>
      <w:spacing w:before="1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0A241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Docs/journal/asp/ws.asp?m=ECE/TRANS/2016/28/Add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E742-BA3D-47E4-8E25-2F7833C8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1609290</vt:lpstr>
    </vt:vector>
  </TitlesOfParts>
  <Company>DCM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1609290</dc:title>
  <dc:subject>ECE/TRANS/WP.15/AC.2/2016/40</dc:subject>
  <dc:creator>Escalante</dc:creator>
  <cp:keywords/>
  <dc:description>final</dc:description>
  <cp:lastModifiedBy>OICA</cp:lastModifiedBy>
  <cp:revision>2</cp:revision>
  <cp:lastPrinted>2016-06-23T12:56:00Z</cp:lastPrinted>
  <dcterms:created xsi:type="dcterms:W3CDTF">2016-06-27T15:26:00Z</dcterms:created>
  <dcterms:modified xsi:type="dcterms:W3CDTF">2016-06-27T15:26:00Z</dcterms:modified>
</cp:coreProperties>
</file>