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8C0" w:rsidRPr="007E68C0" w:rsidRDefault="00B21642" w:rsidP="000A4580">
      <w:pPr>
        <w:spacing w:after="0"/>
        <w:ind w:left="5387" w:right="-286"/>
        <w:outlineLvl w:val="0"/>
        <w:rPr>
          <w:rFonts w:ascii="Arial" w:hAnsi="Arial"/>
          <w:snapToGrid w:val="0"/>
          <w:sz w:val="20"/>
          <w:lang w:val="en-US" w:eastAsia="fr-FR" w:bidi="fr-FR"/>
        </w:rPr>
      </w:pPr>
      <w:bookmarkStart w:id="0" w:name="_GoBack"/>
      <w:bookmarkEnd w:id="0"/>
      <w:r>
        <w:rPr>
          <w:noProof/>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-68580</wp:posOffset>
            </wp:positionV>
            <wp:extent cx="1713865" cy="60452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sidR="007E68C0" w:rsidRPr="007E68C0">
        <w:rPr>
          <w:rFonts w:ascii="Arial" w:eastAsia="Arial" w:hAnsi="Arial" w:cs="Arial"/>
          <w:bCs/>
          <w:sz w:val="20"/>
          <w:szCs w:val="24"/>
          <w:lang w:val="en-US" w:eastAsia="de-DE"/>
        </w:rPr>
        <w:t>CCNR-ZKR/ADN/WP.15/AC.2/201</w:t>
      </w:r>
      <w:r w:rsidR="002E779A">
        <w:rPr>
          <w:rFonts w:ascii="Arial" w:eastAsia="Arial" w:hAnsi="Arial" w:cs="Arial"/>
          <w:bCs/>
          <w:sz w:val="20"/>
          <w:szCs w:val="24"/>
          <w:lang w:val="en-US" w:eastAsia="de-DE"/>
        </w:rPr>
        <w:t>6</w:t>
      </w:r>
      <w:r w:rsidR="007E68C0" w:rsidRPr="007E68C0">
        <w:rPr>
          <w:rFonts w:ascii="Arial" w:eastAsia="Arial" w:hAnsi="Arial" w:cs="Arial"/>
          <w:bCs/>
          <w:sz w:val="20"/>
          <w:szCs w:val="24"/>
          <w:lang w:val="en-US" w:eastAsia="de-DE"/>
        </w:rPr>
        <w:t>/</w:t>
      </w:r>
      <w:r w:rsidR="00663CC9">
        <w:rPr>
          <w:rFonts w:ascii="Arial" w:eastAsia="Arial" w:hAnsi="Arial" w:cs="Arial"/>
          <w:bCs/>
          <w:sz w:val="20"/>
          <w:szCs w:val="24"/>
          <w:lang w:val="en-US" w:eastAsia="de-DE"/>
        </w:rPr>
        <w:t>41</w:t>
      </w:r>
    </w:p>
    <w:p w:rsidR="007E68C0" w:rsidRPr="007E68C0" w:rsidRDefault="007E68C0" w:rsidP="007E68C0">
      <w:pPr>
        <w:tabs>
          <w:tab w:val="left" w:pos="5670"/>
        </w:tabs>
        <w:spacing w:after="0"/>
        <w:ind w:left="5387"/>
        <w:rPr>
          <w:rFonts w:ascii="Arial" w:hAnsi="Arial" w:cs="Arial"/>
          <w:sz w:val="16"/>
          <w:szCs w:val="24"/>
          <w:lang w:val="de-DE" w:eastAsia="de-DE"/>
        </w:rPr>
      </w:pPr>
      <w:r w:rsidRPr="007E68C0">
        <w:rPr>
          <w:rFonts w:ascii="Arial" w:hAnsi="Arial" w:cs="Arial"/>
          <w:sz w:val="16"/>
          <w:szCs w:val="24"/>
          <w:lang w:val="de-DE" w:eastAsia="de-DE"/>
        </w:rPr>
        <w:t>Allgemeine Verteilung</w:t>
      </w:r>
    </w:p>
    <w:p w:rsidR="007E68C0" w:rsidRPr="007E68C0" w:rsidRDefault="00663CC9" w:rsidP="007E68C0">
      <w:pPr>
        <w:tabs>
          <w:tab w:val="right" w:pos="3856"/>
          <w:tab w:val="left" w:pos="5670"/>
        </w:tabs>
        <w:spacing w:after="0"/>
        <w:ind w:left="5387"/>
        <w:rPr>
          <w:rFonts w:ascii="Arial" w:eastAsia="Arial" w:hAnsi="Arial" w:cs="Arial"/>
          <w:sz w:val="20"/>
          <w:szCs w:val="24"/>
          <w:lang w:val="de-DE" w:eastAsia="de-DE"/>
        </w:rPr>
      </w:pPr>
      <w:r>
        <w:rPr>
          <w:rFonts w:ascii="Arial" w:eastAsia="Arial" w:hAnsi="Arial" w:cs="Arial"/>
          <w:sz w:val="20"/>
          <w:szCs w:val="24"/>
          <w:lang w:val="de-DE" w:eastAsia="de-DE"/>
        </w:rPr>
        <w:t>8</w:t>
      </w:r>
      <w:r w:rsidR="007E68C0" w:rsidRPr="007E68C0">
        <w:rPr>
          <w:rFonts w:ascii="Arial" w:eastAsia="Arial" w:hAnsi="Arial" w:cs="Arial"/>
          <w:sz w:val="20"/>
          <w:szCs w:val="24"/>
          <w:lang w:val="de-DE" w:eastAsia="de-DE"/>
        </w:rPr>
        <w:t xml:space="preserve">. </w:t>
      </w:r>
      <w:r>
        <w:rPr>
          <w:rFonts w:ascii="Arial" w:eastAsia="Arial" w:hAnsi="Arial" w:cs="Arial"/>
          <w:sz w:val="20"/>
          <w:szCs w:val="24"/>
          <w:lang w:val="de-DE" w:eastAsia="de-DE"/>
        </w:rPr>
        <w:t>Juni</w:t>
      </w:r>
      <w:r w:rsidR="007E68C0" w:rsidRPr="007E68C0">
        <w:rPr>
          <w:rFonts w:ascii="Arial" w:eastAsia="Arial" w:hAnsi="Arial" w:cs="Arial"/>
          <w:sz w:val="20"/>
          <w:szCs w:val="24"/>
          <w:lang w:val="de-DE" w:eastAsia="de-DE"/>
        </w:rPr>
        <w:t xml:space="preserve"> 201</w:t>
      </w:r>
      <w:r w:rsidR="002E779A">
        <w:rPr>
          <w:rFonts w:ascii="Arial" w:eastAsia="Arial" w:hAnsi="Arial" w:cs="Arial"/>
          <w:sz w:val="20"/>
          <w:szCs w:val="24"/>
          <w:lang w:val="de-DE" w:eastAsia="de-DE"/>
        </w:rPr>
        <w:t>6</w:t>
      </w:r>
    </w:p>
    <w:p w:rsidR="007E68C0" w:rsidRPr="007E68C0" w:rsidRDefault="007E68C0" w:rsidP="007E68C0">
      <w:pPr>
        <w:tabs>
          <w:tab w:val="right" w:pos="3856"/>
          <w:tab w:val="left" w:pos="5670"/>
        </w:tabs>
        <w:spacing w:after="0"/>
        <w:ind w:left="5387" w:right="565"/>
        <w:rPr>
          <w:rFonts w:ascii="Arial" w:hAnsi="Arial" w:cs="Arial"/>
          <w:snapToGrid w:val="0"/>
          <w:kern w:val="1"/>
          <w:sz w:val="20"/>
          <w:lang w:val="de-DE" w:eastAsia="de-DE"/>
        </w:rPr>
      </w:pPr>
      <w:r w:rsidRPr="007E68C0">
        <w:rPr>
          <w:rFonts w:ascii="Arial" w:eastAsia="Arial" w:hAnsi="Arial" w:cs="Arial"/>
          <w:sz w:val="16"/>
          <w:szCs w:val="24"/>
          <w:lang w:val="de-DE" w:eastAsia="de-DE"/>
        </w:rPr>
        <w:t>Or. DEUTSCH</w:t>
      </w:r>
    </w:p>
    <w:p w:rsidR="007E68C0" w:rsidRPr="007E68C0" w:rsidRDefault="007E68C0" w:rsidP="007E68C0">
      <w:pPr>
        <w:spacing w:after="0"/>
        <w:rPr>
          <w:rFonts w:ascii="Arial" w:hAnsi="Arial" w:cs="Arial"/>
          <w:sz w:val="16"/>
          <w:szCs w:val="24"/>
          <w:lang w:val="de-DE" w:eastAsia="de-DE"/>
        </w:rPr>
      </w:pPr>
    </w:p>
    <w:p w:rsidR="007E68C0" w:rsidRPr="007E68C0" w:rsidRDefault="007E68C0" w:rsidP="007E68C0">
      <w:pPr>
        <w:spacing w:after="0"/>
        <w:rPr>
          <w:rFonts w:ascii="Arial" w:hAnsi="Arial" w:cs="Arial"/>
          <w:sz w:val="16"/>
          <w:szCs w:val="24"/>
          <w:lang w:val="de-DE" w:eastAsia="de-DE"/>
        </w:rPr>
      </w:pPr>
    </w:p>
    <w:p w:rsidR="007E68C0" w:rsidRPr="007E68C0" w:rsidRDefault="007E68C0" w:rsidP="000A4580">
      <w:pPr>
        <w:overflowPunct w:val="0"/>
        <w:autoSpaceDE w:val="0"/>
        <w:autoSpaceDN w:val="0"/>
        <w:adjustRightInd w:val="0"/>
        <w:spacing w:after="0"/>
        <w:ind w:left="4111" w:right="-2"/>
        <w:jc w:val="both"/>
        <w:textAlignment w:val="baseline"/>
        <w:rPr>
          <w:rFonts w:ascii="Arial" w:hAnsi="Arial" w:cs="Arial"/>
          <w:snapToGrid w:val="0"/>
          <w:sz w:val="16"/>
          <w:szCs w:val="16"/>
          <w:lang w:val="de-DE" w:eastAsia="fr-FR"/>
        </w:rPr>
      </w:pPr>
      <w:r w:rsidRPr="007E68C0">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7E68C0" w:rsidRPr="007E68C0" w:rsidRDefault="007E68C0" w:rsidP="007E68C0">
      <w:pPr>
        <w:overflowPunct w:val="0"/>
        <w:autoSpaceDE w:val="0"/>
        <w:autoSpaceDN w:val="0"/>
        <w:adjustRightInd w:val="0"/>
        <w:spacing w:after="0"/>
        <w:ind w:left="4111" w:right="-2"/>
        <w:textAlignment w:val="baseline"/>
        <w:rPr>
          <w:rFonts w:ascii="Arial" w:hAnsi="Arial" w:cs="Arial"/>
          <w:snapToGrid w:val="0"/>
          <w:sz w:val="16"/>
          <w:szCs w:val="16"/>
          <w:lang w:val="de-DE" w:eastAsia="fr-FR"/>
        </w:rPr>
      </w:pPr>
      <w:r w:rsidRPr="007E68C0">
        <w:rPr>
          <w:rFonts w:ascii="Arial" w:hAnsi="Arial" w:cs="Arial"/>
          <w:snapToGrid w:val="0"/>
          <w:sz w:val="16"/>
          <w:szCs w:val="16"/>
          <w:lang w:val="de-DE" w:eastAsia="fr-FR"/>
        </w:rPr>
        <w:t>BEIGEFÜGTE VERORDNUNG (ADN)</w:t>
      </w:r>
    </w:p>
    <w:p w:rsidR="007E68C0" w:rsidRPr="007E68C0" w:rsidRDefault="007E68C0" w:rsidP="007E68C0">
      <w:pPr>
        <w:tabs>
          <w:tab w:val="left" w:pos="2977"/>
        </w:tabs>
        <w:spacing w:after="0"/>
        <w:ind w:left="4111" w:right="-2"/>
        <w:rPr>
          <w:rFonts w:ascii="Arial" w:hAnsi="Arial" w:cs="Arial"/>
          <w:snapToGrid w:val="0"/>
          <w:sz w:val="16"/>
          <w:szCs w:val="16"/>
          <w:lang w:val="de-DE" w:eastAsia="fr-FR"/>
        </w:rPr>
      </w:pPr>
      <w:r w:rsidRPr="007E68C0">
        <w:rPr>
          <w:rFonts w:ascii="Arial" w:hAnsi="Arial" w:cs="Arial"/>
          <w:snapToGrid w:val="0"/>
          <w:sz w:val="16"/>
          <w:szCs w:val="16"/>
          <w:lang w:val="de-DE" w:eastAsia="fr-FR"/>
        </w:rPr>
        <w:t>(SICHERHEITSAUSSCHUSS)</w:t>
      </w:r>
    </w:p>
    <w:p w:rsidR="007E68C0" w:rsidRPr="007E68C0" w:rsidRDefault="007E68C0" w:rsidP="007E68C0">
      <w:pPr>
        <w:tabs>
          <w:tab w:val="left" w:pos="2977"/>
        </w:tabs>
        <w:spacing w:after="0"/>
        <w:ind w:left="4111" w:right="-2"/>
        <w:rPr>
          <w:rFonts w:ascii="Arial" w:hAnsi="Arial" w:cs="Arial"/>
          <w:snapToGrid w:val="0"/>
          <w:sz w:val="16"/>
          <w:szCs w:val="16"/>
          <w:lang w:val="de-DE" w:eastAsia="fr-FR"/>
        </w:rPr>
      </w:pPr>
      <w:r w:rsidRPr="007E68C0">
        <w:rPr>
          <w:rFonts w:ascii="Arial" w:hAnsi="Arial" w:cs="Arial"/>
          <w:snapToGrid w:val="0"/>
          <w:sz w:val="16"/>
          <w:szCs w:val="16"/>
          <w:lang w:val="de-DE" w:eastAsia="fr-FR"/>
        </w:rPr>
        <w:t>(2</w:t>
      </w:r>
      <w:r w:rsidR="002E779A">
        <w:rPr>
          <w:rFonts w:ascii="Arial" w:hAnsi="Arial" w:cs="Arial"/>
          <w:snapToGrid w:val="0"/>
          <w:sz w:val="16"/>
          <w:szCs w:val="16"/>
          <w:lang w:val="de-DE" w:eastAsia="fr-FR"/>
        </w:rPr>
        <w:t>9</w:t>
      </w:r>
      <w:r w:rsidRPr="007E68C0">
        <w:rPr>
          <w:rFonts w:ascii="Arial" w:hAnsi="Arial" w:cs="Arial"/>
          <w:snapToGrid w:val="0"/>
          <w:sz w:val="16"/>
          <w:szCs w:val="16"/>
          <w:lang w:val="de-DE" w:eastAsia="fr-FR"/>
        </w:rPr>
        <w:t>. Tagung, Genf, 2</w:t>
      </w:r>
      <w:r w:rsidR="002E779A">
        <w:rPr>
          <w:rFonts w:ascii="Arial" w:hAnsi="Arial" w:cs="Arial"/>
          <w:snapToGrid w:val="0"/>
          <w:sz w:val="16"/>
          <w:szCs w:val="16"/>
          <w:lang w:val="de-DE" w:eastAsia="fr-FR"/>
        </w:rPr>
        <w:t>2</w:t>
      </w:r>
      <w:r w:rsidRPr="007E68C0">
        <w:rPr>
          <w:rFonts w:ascii="Arial" w:hAnsi="Arial" w:cs="Arial"/>
          <w:snapToGrid w:val="0"/>
          <w:sz w:val="16"/>
          <w:szCs w:val="16"/>
          <w:lang w:val="de-DE" w:eastAsia="fr-FR"/>
        </w:rPr>
        <w:t>. bis 2</w:t>
      </w:r>
      <w:r w:rsidR="00663CC9">
        <w:rPr>
          <w:rFonts w:ascii="Arial" w:hAnsi="Arial" w:cs="Arial"/>
          <w:snapToGrid w:val="0"/>
          <w:sz w:val="16"/>
          <w:szCs w:val="16"/>
          <w:lang w:val="de-DE" w:eastAsia="fr-FR"/>
        </w:rPr>
        <w:t>5</w:t>
      </w:r>
      <w:r w:rsidRPr="007E68C0">
        <w:rPr>
          <w:rFonts w:ascii="Arial" w:hAnsi="Arial" w:cs="Arial"/>
          <w:snapToGrid w:val="0"/>
          <w:sz w:val="16"/>
          <w:szCs w:val="16"/>
          <w:lang w:val="de-DE" w:eastAsia="fr-FR"/>
        </w:rPr>
        <w:t xml:space="preserve">. </w:t>
      </w:r>
      <w:r w:rsidR="00F7234B">
        <w:rPr>
          <w:rFonts w:ascii="Arial" w:hAnsi="Arial" w:cs="Arial"/>
          <w:snapToGrid w:val="0"/>
          <w:sz w:val="16"/>
          <w:szCs w:val="16"/>
          <w:lang w:val="de-DE" w:eastAsia="fr-FR"/>
        </w:rPr>
        <w:t>August</w:t>
      </w:r>
      <w:r w:rsidRPr="007E68C0">
        <w:rPr>
          <w:rFonts w:ascii="Arial" w:hAnsi="Arial" w:cs="Arial"/>
          <w:snapToGrid w:val="0"/>
          <w:sz w:val="16"/>
          <w:szCs w:val="16"/>
          <w:lang w:val="de-DE" w:eastAsia="fr-FR"/>
        </w:rPr>
        <w:t xml:space="preserve"> 201</w:t>
      </w:r>
      <w:r w:rsidR="007C6A8F">
        <w:rPr>
          <w:rFonts w:ascii="Arial" w:hAnsi="Arial" w:cs="Arial"/>
          <w:snapToGrid w:val="0"/>
          <w:sz w:val="16"/>
          <w:szCs w:val="16"/>
          <w:lang w:val="de-DE" w:eastAsia="fr-FR"/>
        </w:rPr>
        <w:t>6</w:t>
      </w:r>
      <w:r w:rsidRPr="007E68C0">
        <w:rPr>
          <w:rFonts w:ascii="Arial" w:hAnsi="Arial" w:cs="Arial"/>
          <w:snapToGrid w:val="0"/>
          <w:sz w:val="16"/>
          <w:szCs w:val="16"/>
          <w:lang w:val="de-DE" w:eastAsia="fr-FR"/>
        </w:rPr>
        <w:t>)</w:t>
      </w:r>
    </w:p>
    <w:p w:rsidR="007E68C0" w:rsidRDefault="007E68C0" w:rsidP="007E68C0">
      <w:pPr>
        <w:tabs>
          <w:tab w:val="left" w:pos="2977"/>
        </w:tabs>
        <w:spacing w:after="0"/>
        <w:ind w:left="4111" w:right="-2"/>
        <w:rPr>
          <w:rFonts w:ascii="Arial" w:hAnsi="Arial" w:cs="Arial"/>
          <w:snapToGrid w:val="0"/>
          <w:sz w:val="16"/>
          <w:szCs w:val="16"/>
          <w:lang w:val="de-DE" w:eastAsia="fr-FR"/>
        </w:rPr>
      </w:pPr>
      <w:r w:rsidRPr="007E68C0">
        <w:rPr>
          <w:rFonts w:ascii="Arial" w:hAnsi="Arial" w:cs="Arial"/>
          <w:snapToGrid w:val="0"/>
          <w:sz w:val="16"/>
          <w:szCs w:val="16"/>
          <w:lang w:val="de-DE" w:eastAsia="fr-FR"/>
        </w:rPr>
        <w:t xml:space="preserve">Punkt </w:t>
      </w:r>
      <w:r w:rsidR="009145E4">
        <w:rPr>
          <w:rFonts w:ascii="Arial" w:hAnsi="Arial" w:cs="Arial"/>
          <w:snapToGrid w:val="0"/>
          <w:sz w:val="16"/>
          <w:szCs w:val="16"/>
          <w:lang w:val="de-DE" w:eastAsia="fr-FR"/>
        </w:rPr>
        <w:t>4 b)</w:t>
      </w:r>
      <w:r w:rsidRPr="007E68C0">
        <w:rPr>
          <w:rFonts w:ascii="Arial" w:hAnsi="Arial" w:cs="Arial"/>
          <w:snapToGrid w:val="0"/>
          <w:sz w:val="16"/>
          <w:szCs w:val="16"/>
          <w:lang w:val="de-DE" w:eastAsia="fr-FR"/>
        </w:rPr>
        <w:t xml:space="preserve"> zur vorläufigen Tagesordnung</w:t>
      </w:r>
    </w:p>
    <w:p w:rsidR="00C80965" w:rsidRPr="00C80965" w:rsidRDefault="00C80965" w:rsidP="00C80965">
      <w:pPr>
        <w:tabs>
          <w:tab w:val="left" w:pos="2977"/>
        </w:tabs>
        <w:spacing w:after="0"/>
        <w:ind w:left="4111" w:right="-2"/>
        <w:rPr>
          <w:rFonts w:ascii="Arial" w:hAnsi="Arial" w:cs="Arial"/>
          <w:b/>
          <w:snapToGrid w:val="0"/>
          <w:sz w:val="16"/>
          <w:szCs w:val="16"/>
          <w:lang w:val="de-DE" w:eastAsia="fr-FR"/>
        </w:rPr>
      </w:pPr>
      <w:r w:rsidRPr="00C80965">
        <w:rPr>
          <w:rFonts w:ascii="Arial" w:hAnsi="Arial" w:cs="Arial"/>
          <w:b/>
          <w:snapToGrid w:val="0"/>
          <w:sz w:val="16"/>
          <w:szCs w:val="16"/>
          <w:lang w:val="de-DE" w:eastAsia="fr-FR"/>
        </w:rPr>
        <w:t xml:space="preserve">Vorschläge </w:t>
      </w:r>
      <w:r>
        <w:rPr>
          <w:rFonts w:ascii="Arial" w:hAnsi="Arial" w:cs="Arial"/>
          <w:b/>
          <w:snapToGrid w:val="0"/>
          <w:sz w:val="16"/>
          <w:szCs w:val="16"/>
          <w:lang w:val="de-DE" w:eastAsia="fr-FR"/>
        </w:rPr>
        <w:t>f</w:t>
      </w:r>
      <w:r w:rsidRPr="00C80965">
        <w:rPr>
          <w:rFonts w:ascii="Arial" w:hAnsi="Arial" w:cs="Arial"/>
          <w:b/>
          <w:snapToGrid w:val="0"/>
          <w:sz w:val="16"/>
          <w:szCs w:val="16"/>
          <w:lang w:val="de-DE" w:eastAsia="fr-FR"/>
        </w:rPr>
        <w:t xml:space="preserve">ür Änderungen </w:t>
      </w:r>
      <w:r>
        <w:rPr>
          <w:rFonts w:ascii="Arial" w:hAnsi="Arial" w:cs="Arial"/>
          <w:b/>
          <w:snapToGrid w:val="0"/>
          <w:sz w:val="16"/>
          <w:szCs w:val="16"/>
          <w:lang w:val="de-DE" w:eastAsia="fr-FR"/>
        </w:rPr>
        <w:t>d</w:t>
      </w:r>
      <w:r w:rsidRPr="00C80965">
        <w:rPr>
          <w:rFonts w:ascii="Arial" w:hAnsi="Arial" w:cs="Arial"/>
          <w:b/>
          <w:snapToGrid w:val="0"/>
          <w:sz w:val="16"/>
          <w:szCs w:val="16"/>
          <w:lang w:val="de-DE" w:eastAsia="fr-FR"/>
        </w:rPr>
        <w:t xml:space="preserve">er </w:t>
      </w:r>
      <w:r>
        <w:rPr>
          <w:rFonts w:ascii="Arial" w:hAnsi="Arial" w:cs="Arial"/>
          <w:b/>
          <w:snapToGrid w:val="0"/>
          <w:sz w:val="16"/>
          <w:szCs w:val="16"/>
          <w:lang w:val="de-DE" w:eastAsia="fr-FR"/>
        </w:rPr>
        <w:t>d</w:t>
      </w:r>
      <w:r w:rsidRPr="00C80965">
        <w:rPr>
          <w:rFonts w:ascii="Arial" w:hAnsi="Arial" w:cs="Arial"/>
          <w:b/>
          <w:snapToGrid w:val="0"/>
          <w:sz w:val="16"/>
          <w:szCs w:val="16"/>
          <w:lang w:val="de-DE" w:eastAsia="fr-FR"/>
        </w:rPr>
        <w:t>em A</w:t>
      </w:r>
      <w:r>
        <w:rPr>
          <w:rFonts w:ascii="Arial" w:hAnsi="Arial" w:cs="Arial"/>
          <w:b/>
          <w:snapToGrid w:val="0"/>
          <w:sz w:val="16"/>
          <w:szCs w:val="16"/>
          <w:lang w:val="de-DE" w:eastAsia="fr-FR"/>
        </w:rPr>
        <w:t>DN</w:t>
      </w:r>
      <w:r w:rsidRPr="00C80965">
        <w:rPr>
          <w:rFonts w:ascii="Arial" w:hAnsi="Arial" w:cs="Arial"/>
          <w:b/>
          <w:snapToGrid w:val="0"/>
          <w:sz w:val="16"/>
          <w:szCs w:val="16"/>
          <w:lang w:val="de-DE" w:eastAsia="fr-FR"/>
        </w:rPr>
        <w:t xml:space="preserve"> </w:t>
      </w:r>
      <w:r>
        <w:rPr>
          <w:rFonts w:ascii="Arial" w:hAnsi="Arial" w:cs="Arial"/>
          <w:b/>
          <w:snapToGrid w:val="0"/>
          <w:sz w:val="16"/>
          <w:szCs w:val="16"/>
          <w:lang w:val="de-DE" w:eastAsia="fr-FR"/>
        </w:rPr>
        <w:t>b</w:t>
      </w:r>
      <w:r w:rsidRPr="00C80965">
        <w:rPr>
          <w:rFonts w:ascii="Arial" w:hAnsi="Arial" w:cs="Arial"/>
          <w:b/>
          <w:snapToGrid w:val="0"/>
          <w:sz w:val="16"/>
          <w:szCs w:val="16"/>
          <w:lang w:val="de-DE" w:eastAsia="fr-FR"/>
        </w:rPr>
        <w:t>eigefügten Verordnung:</w:t>
      </w:r>
    </w:p>
    <w:p w:rsidR="00C80965" w:rsidRPr="00C80965" w:rsidRDefault="00C80965" w:rsidP="00C80965">
      <w:pPr>
        <w:tabs>
          <w:tab w:val="left" w:pos="2977"/>
        </w:tabs>
        <w:spacing w:after="0"/>
        <w:ind w:left="4111" w:right="-2"/>
        <w:rPr>
          <w:rFonts w:ascii="Arial" w:hAnsi="Arial" w:cs="Arial"/>
          <w:snapToGrid w:val="0"/>
          <w:sz w:val="16"/>
          <w:szCs w:val="16"/>
          <w:lang w:val="de-DE" w:eastAsia="fr-FR"/>
        </w:rPr>
      </w:pPr>
      <w:r w:rsidRPr="00C80965">
        <w:rPr>
          <w:rFonts w:ascii="Arial" w:hAnsi="Arial" w:cs="Arial"/>
          <w:b/>
          <w:snapToGrid w:val="0"/>
          <w:sz w:val="16"/>
          <w:szCs w:val="16"/>
          <w:lang w:val="de-DE" w:eastAsia="fr-FR"/>
        </w:rPr>
        <w:t>Weitere Änderungsvorschläge</w:t>
      </w:r>
    </w:p>
    <w:p w:rsidR="00A909D8" w:rsidRPr="00942BC4" w:rsidRDefault="00A909D8" w:rsidP="00942BC4">
      <w:pPr>
        <w:spacing w:after="0"/>
        <w:rPr>
          <w:rFonts w:ascii="Arial" w:hAnsi="Arial" w:cs="Arial"/>
          <w:b/>
          <w:sz w:val="20"/>
          <w:lang w:val="de-DE"/>
        </w:rPr>
      </w:pPr>
    </w:p>
    <w:p w:rsidR="00A909D8" w:rsidRPr="00942BC4" w:rsidRDefault="00A909D8" w:rsidP="00942BC4">
      <w:pPr>
        <w:spacing w:after="0"/>
        <w:rPr>
          <w:rFonts w:ascii="Arial" w:hAnsi="Arial" w:cs="Arial"/>
          <w:sz w:val="20"/>
          <w:lang w:val="de-DE"/>
        </w:rPr>
      </w:pPr>
    </w:p>
    <w:p w:rsidR="009145E4" w:rsidRPr="009145E4" w:rsidRDefault="009145E4" w:rsidP="009145E4">
      <w:pPr>
        <w:snapToGrid w:val="0"/>
        <w:spacing w:after="0"/>
        <w:rPr>
          <w:rFonts w:ascii="Arial" w:hAnsi="Arial"/>
          <w:b/>
          <w:sz w:val="20"/>
          <w:szCs w:val="24"/>
          <w:lang w:val="de-DE" w:eastAsia="fr-FR"/>
        </w:rPr>
      </w:pPr>
    </w:p>
    <w:p w:rsidR="00A909D8" w:rsidRPr="000A4580" w:rsidRDefault="00662D1A" w:rsidP="005B50F9">
      <w:pPr>
        <w:spacing w:after="360" w:line="360" w:lineRule="auto"/>
        <w:ind w:left="1134"/>
        <w:rPr>
          <w:b/>
          <w:bCs/>
          <w:sz w:val="28"/>
          <w:szCs w:val="28"/>
          <w:lang w:val="de-DE" w:eastAsia="fr-FR"/>
        </w:rPr>
      </w:pPr>
      <w:r w:rsidRPr="000A4580">
        <w:rPr>
          <w:b/>
          <w:sz w:val="28"/>
          <w:szCs w:val="28"/>
          <w:lang w:val="de-DE"/>
        </w:rPr>
        <w:t>B</w:t>
      </w:r>
      <w:r w:rsidR="000C63F9" w:rsidRPr="000A4580">
        <w:rPr>
          <w:b/>
          <w:sz w:val="28"/>
          <w:szCs w:val="28"/>
          <w:lang w:val="de-DE"/>
        </w:rPr>
        <w:t>auwerkstoffe</w:t>
      </w:r>
    </w:p>
    <w:p w:rsidR="00BC51C3" w:rsidRPr="00853BD3" w:rsidRDefault="009F4E31" w:rsidP="00ED29C5">
      <w:pPr>
        <w:suppressAutoHyphens/>
        <w:spacing w:after="0" w:line="240" w:lineRule="atLeast"/>
        <w:ind w:left="1134" w:right="567"/>
        <w:jc w:val="both"/>
        <w:rPr>
          <w:sz w:val="20"/>
          <w:vertAlign w:val="superscript"/>
          <w:lang w:val="de-DE"/>
        </w:rPr>
      </w:pPr>
      <w:r w:rsidRPr="000A4580">
        <w:rPr>
          <w:b/>
          <w:snapToGrid w:val="0"/>
          <w:lang w:val="de-DE" w:eastAsia="fr-FR"/>
        </w:rPr>
        <w:t>Gemeinsam e</w:t>
      </w:r>
      <w:r w:rsidR="00905493" w:rsidRPr="000A4580">
        <w:rPr>
          <w:b/>
          <w:snapToGrid w:val="0"/>
          <w:lang w:val="de-DE" w:eastAsia="fr-FR"/>
        </w:rPr>
        <w:t xml:space="preserve">ingereicht </w:t>
      </w:r>
      <w:r w:rsidR="00AF42C7" w:rsidRPr="000A4580">
        <w:rPr>
          <w:b/>
          <w:snapToGrid w:val="0"/>
          <w:lang w:val="de-DE" w:eastAsia="fr-FR"/>
        </w:rPr>
        <w:t xml:space="preserve">durch die </w:t>
      </w:r>
      <w:r w:rsidR="0045718A" w:rsidRPr="000A4580">
        <w:rPr>
          <w:b/>
          <w:snapToGrid w:val="0"/>
          <w:lang w:val="de-DE" w:eastAsia="fr-FR"/>
        </w:rPr>
        <w:t>Europäische Binnenschif</w:t>
      </w:r>
      <w:r w:rsidR="000A1F33" w:rsidRPr="000A4580">
        <w:rPr>
          <w:b/>
          <w:snapToGrid w:val="0"/>
          <w:lang w:val="de-DE" w:eastAsia="fr-FR"/>
        </w:rPr>
        <w:t>f</w:t>
      </w:r>
      <w:r w:rsidR="0045718A" w:rsidRPr="000A4580">
        <w:rPr>
          <w:b/>
          <w:snapToGrid w:val="0"/>
          <w:lang w:val="de-DE" w:eastAsia="fr-FR"/>
        </w:rPr>
        <w:t>fahrts</w:t>
      </w:r>
      <w:r w:rsidR="00CF33C1" w:rsidRPr="000A4580">
        <w:rPr>
          <w:b/>
          <w:snapToGrid w:val="0"/>
          <w:lang w:val="de-DE" w:eastAsia="fr-FR"/>
        </w:rPr>
        <w:t xml:space="preserve"> U</w:t>
      </w:r>
      <w:r w:rsidR="0045718A" w:rsidRPr="000A4580">
        <w:rPr>
          <w:b/>
          <w:snapToGrid w:val="0"/>
          <w:lang w:val="de-DE" w:eastAsia="fr-FR"/>
        </w:rPr>
        <w:t>nion</w:t>
      </w:r>
      <w:r w:rsidRPr="000A4580">
        <w:rPr>
          <w:b/>
          <w:snapToGrid w:val="0"/>
          <w:lang w:val="de-DE" w:eastAsia="fr-FR"/>
        </w:rPr>
        <w:t xml:space="preserve"> (EBU)</w:t>
      </w:r>
      <w:r w:rsidR="00935E15" w:rsidRPr="000A4580">
        <w:rPr>
          <w:b/>
          <w:snapToGrid w:val="0"/>
          <w:lang w:val="de-DE" w:eastAsia="fr-FR"/>
        </w:rPr>
        <w:t xml:space="preserve">, ERSTU (European River Sea Transport Union) </w:t>
      </w:r>
      <w:r w:rsidRPr="000A4580">
        <w:rPr>
          <w:b/>
          <w:snapToGrid w:val="0"/>
          <w:lang w:val="de-DE" w:eastAsia="fr-FR"/>
        </w:rPr>
        <w:t>und die Europäische Schifferorganisation</w:t>
      </w:r>
      <w:r w:rsidR="00AC5A95">
        <w:rPr>
          <w:b/>
          <w:snapToGrid w:val="0"/>
          <w:lang w:val="de-DE" w:eastAsia="fr-FR"/>
        </w:rPr>
        <w:t xml:space="preserve"> </w:t>
      </w:r>
      <w:r w:rsidRPr="000A4580">
        <w:rPr>
          <w:b/>
          <w:snapToGrid w:val="0"/>
          <w:lang w:val="de-DE" w:eastAsia="fr-FR"/>
        </w:rPr>
        <w:t>(ESO)</w:t>
      </w:r>
      <w:r w:rsidR="005B50F9" w:rsidRPr="005B50F9">
        <w:rPr>
          <w:b/>
          <w:noProof/>
          <w:snapToGrid w:val="0"/>
          <w:sz w:val="18"/>
          <w:szCs w:val="24"/>
          <w:vertAlign w:val="superscript"/>
          <w:lang w:val="de-DE" w:eastAsia="fr-FR"/>
        </w:rPr>
        <w:footnoteReference w:id="2"/>
      </w:r>
      <w:r w:rsidR="00B766BA" w:rsidRPr="008D27FB">
        <w:rPr>
          <w:b/>
          <w:i/>
          <w:snapToGrid w:val="0"/>
          <w:sz w:val="16"/>
          <w:szCs w:val="16"/>
          <w:lang w:val="de-DE" w:eastAsia="fr-FR"/>
        </w:rPr>
        <w:t>,</w:t>
      </w:r>
      <w:r w:rsidR="00B766BA" w:rsidRPr="00B766BA">
        <w:rPr>
          <w:b/>
          <w:noProof/>
          <w:snapToGrid w:val="0"/>
          <w:sz w:val="18"/>
          <w:szCs w:val="24"/>
          <w:vertAlign w:val="superscript"/>
          <w:lang w:val="de-DE" w:eastAsia="fr-FR"/>
        </w:rPr>
        <w:t xml:space="preserve"> </w:t>
      </w:r>
      <w:r w:rsidR="00B766BA" w:rsidRPr="00062511">
        <w:rPr>
          <w:b/>
          <w:noProof/>
          <w:snapToGrid w:val="0"/>
          <w:sz w:val="18"/>
          <w:szCs w:val="24"/>
          <w:vertAlign w:val="superscript"/>
          <w:lang w:val="de-DE" w:eastAsia="fr-FR"/>
        </w:rPr>
        <w:footnoteReference w:id="3"/>
      </w:r>
    </w:p>
    <w:p w:rsidR="00A909D8" w:rsidRDefault="00A909D8" w:rsidP="00942BC4">
      <w:pPr>
        <w:suppressAutoHyphens/>
        <w:spacing w:after="0"/>
        <w:jc w:val="center"/>
        <w:rPr>
          <w:sz w:val="20"/>
          <w:u w:val="single"/>
          <w:lang w:val="de-DE"/>
        </w:rPr>
      </w:pPr>
    </w:p>
    <w:p w:rsidR="000A4580" w:rsidRPr="00853BD3" w:rsidRDefault="000A4580" w:rsidP="00942BC4">
      <w:pPr>
        <w:suppressAutoHyphens/>
        <w:spacing w:after="0"/>
        <w:jc w:val="center"/>
        <w:rPr>
          <w:sz w:val="20"/>
          <w:u w:val="single"/>
          <w:lang w:val="de-DE"/>
        </w:rPr>
      </w:pPr>
    </w:p>
    <w:p w:rsidR="002217E3" w:rsidRPr="00622B7E" w:rsidRDefault="000A4580" w:rsidP="002217E3">
      <w:pPr>
        <w:ind w:left="284" w:hanging="284"/>
        <w:rPr>
          <w:rFonts w:eastAsia="Calibri" w:cs="Arial"/>
          <w:b/>
          <w:bCs/>
          <w:sz w:val="28"/>
          <w:szCs w:val="28"/>
          <w:lang w:val="de-DE" w:eastAsia="nl-NL"/>
        </w:rPr>
      </w:pPr>
      <w:r w:rsidRPr="00622B7E">
        <w:rPr>
          <w:rFonts w:eastAsia="Calibri" w:cs="Arial"/>
          <w:b/>
          <w:bCs/>
          <w:sz w:val="28"/>
          <w:szCs w:val="28"/>
          <w:lang w:val="de-DE" w:eastAsia="nl-NL"/>
        </w:rPr>
        <w:t>Einleitung</w:t>
      </w:r>
    </w:p>
    <w:p w:rsidR="00A31582" w:rsidRDefault="007B3035" w:rsidP="00662D1A">
      <w:pPr>
        <w:tabs>
          <w:tab w:val="left" w:pos="567"/>
          <w:tab w:val="left" w:pos="1985"/>
          <w:tab w:val="left" w:pos="2552"/>
          <w:tab w:val="left" w:pos="3119"/>
          <w:tab w:val="left" w:pos="3686"/>
        </w:tabs>
        <w:spacing w:after="0"/>
        <w:ind w:left="567" w:hanging="567"/>
        <w:jc w:val="both"/>
        <w:rPr>
          <w:sz w:val="20"/>
          <w:lang w:val="de-DE"/>
        </w:rPr>
      </w:pPr>
      <w:r w:rsidRPr="000A4580">
        <w:rPr>
          <w:sz w:val="20"/>
          <w:lang w:val="de-DE"/>
        </w:rPr>
        <w:t>1.</w:t>
      </w:r>
      <w:r w:rsidRPr="000A4580">
        <w:rPr>
          <w:sz w:val="20"/>
          <w:lang w:val="de-DE"/>
        </w:rPr>
        <w:tab/>
      </w:r>
      <w:r w:rsidR="00AC5A95">
        <w:rPr>
          <w:sz w:val="20"/>
          <w:lang w:val="de-DE"/>
        </w:rPr>
        <w:t xml:space="preserve">Der ADN Sicherheitsausschuss hat sich in seiner 28. Sitzung darauf geeinigt, den in 9.3.1.0.1 geregelten Sachverhalt in Tabellenform darzustellen. Das vom Binnenschifffahrtsgewerbe </w:t>
      </w:r>
      <w:r w:rsidR="00ED29C5">
        <w:rPr>
          <w:sz w:val="20"/>
          <w:lang w:val="de-DE"/>
        </w:rPr>
        <w:t xml:space="preserve">zur 28. Sitzung </w:t>
      </w:r>
      <w:r w:rsidR="00AC5A95">
        <w:rPr>
          <w:sz w:val="20"/>
          <w:lang w:val="de-DE"/>
        </w:rPr>
        <w:t>vorgelegte Muster für eine solche Tabelle enthielt auch lose Ausrüstungsgegenstände. Vorschriften für lose Ausrüstungsbestandteile fallen aber unter Teil 7 der Verordnung.</w:t>
      </w:r>
    </w:p>
    <w:p w:rsidR="00AC5A95" w:rsidRDefault="00AC5A95" w:rsidP="00662D1A">
      <w:pPr>
        <w:tabs>
          <w:tab w:val="left" w:pos="567"/>
          <w:tab w:val="left" w:pos="1985"/>
          <w:tab w:val="left" w:pos="2552"/>
          <w:tab w:val="left" w:pos="3119"/>
          <w:tab w:val="left" w:pos="3686"/>
        </w:tabs>
        <w:spacing w:after="0"/>
        <w:ind w:left="567" w:hanging="567"/>
        <w:jc w:val="both"/>
        <w:rPr>
          <w:sz w:val="20"/>
          <w:lang w:val="de-DE"/>
        </w:rPr>
      </w:pPr>
    </w:p>
    <w:p w:rsidR="00AC5A95" w:rsidRDefault="00AC5A95" w:rsidP="001A6E17">
      <w:pPr>
        <w:tabs>
          <w:tab w:val="left" w:pos="1985"/>
          <w:tab w:val="left" w:pos="2552"/>
          <w:tab w:val="left" w:pos="3119"/>
          <w:tab w:val="left" w:pos="3686"/>
        </w:tabs>
        <w:spacing w:after="0"/>
        <w:ind w:left="567"/>
        <w:jc w:val="both"/>
        <w:rPr>
          <w:sz w:val="20"/>
          <w:lang w:val="de-DE"/>
        </w:rPr>
      </w:pPr>
      <w:r>
        <w:rPr>
          <w:sz w:val="20"/>
          <w:lang w:val="de-DE"/>
        </w:rPr>
        <w:t xml:space="preserve">Das Binnenschifffahrtsgewerbe wurde </w:t>
      </w:r>
      <w:r w:rsidR="00ED29C5">
        <w:rPr>
          <w:sz w:val="20"/>
          <w:lang w:val="de-DE"/>
        </w:rPr>
        <w:t xml:space="preserve">daher darum </w:t>
      </w:r>
      <w:r>
        <w:rPr>
          <w:sz w:val="20"/>
          <w:lang w:val="de-DE"/>
        </w:rPr>
        <w:t>gebeten, unter Berücksichtigung dieser Feststellung einen</w:t>
      </w:r>
      <w:r w:rsidR="00C80965">
        <w:rPr>
          <w:sz w:val="20"/>
          <w:lang w:val="de-DE"/>
        </w:rPr>
        <w:t xml:space="preserve"> neuen Vorschlag zu erarbeiten.</w:t>
      </w:r>
    </w:p>
    <w:p w:rsidR="00A31582" w:rsidRDefault="00A31582" w:rsidP="00662D1A">
      <w:pPr>
        <w:tabs>
          <w:tab w:val="left" w:pos="567"/>
          <w:tab w:val="left" w:pos="1985"/>
          <w:tab w:val="left" w:pos="2552"/>
          <w:tab w:val="left" w:pos="3119"/>
          <w:tab w:val="left" w:pos="3686"/>
        </w:tabs>
        <w:spacing w:after="0"/>
        <w:ind w:left="567" w:hanging="567"/>
        <w:jc w:val="both"/>
        <w:rPr>
          <w:sz w:val="20"/>
          <w:lang w:val="de-DE"/>
        </w:rPr>
      </w:pPr>
    </w:p>
    <w:p w:rsidR="00232B5A" w:rsidRDefault="00B766BA" w:rsidP="00232B5A">
      <w:pPr>
        <w:tabs>
          <w:tab w:val="left" w:pos="567"/>
          <w:tab w:val="left" w:pos="1985"/>
          <w:tab w:val="left" w:pos="2552"/>
          <w:tab w:val="left" w:pos="3119"/>
          <w:tab w:val="left" w:pos="3686"/>
        </w:tabs>
        <w:spacing w:after="0"/>
        <w:ind w:left="567" w:hanging="567"/>
        <w:jc w:val="both"/>
        <w:rPr>
          <w:b/>
          <w:sz w:val="28"/>
          <w:szCs w:val="28"/>
          <w:lang w:val="de-DE"/>
        </w:rPr>
      </w:pPr>
      <w:r>
        <w:rPr>
          <w:b/>
          <w:sz w:val="28"/>
          <w:szCs w:val="28"/>
          <w:lang w:val="de-DE"/>
        </w:rPr>
        <w:br w:type="page"/>
      </w:r>
      <w:r w:rsidR="00232B5A" w:rsidRPr="00232B5A">
        <w:rPr>
          <w:b/>
          <w:sz w:val="28"/>
          <w:szCs w:val="28"/>
          <w:lang w:val="de-DE"/>
        </w:rPr>
        <w:lastRenderedPageBreak/>
        <w:t>Vorschlag 1</w:t>
      </w:r>
    </w:p>
    <w:p w:rsidR="00232B5A" w:rsidRDefault="00232B5A" w:rsidP="00232B5A">
      <w:pPr>
        <w:tabs>
          <w:tab w:val="left" w:pos="567"/>
          <w:tab w:val="left" w:pos="1985"/>
          <w:tab w:val="left" w:pos="2552"/>
          <w:tab w:val="left" w:pos="3119"/>
          <w:tab w:val="left" w:pos="3686"/>
        </w:tabs>
        <w:spacing w:after="0"/>
        <w:ind w:left="567" w:hanging="567"/>
        <w:jc w:val="both"/>
        <w:rPr>
          <w:sz w:val="20"/>
          <w:lang w:val="de-DE"/>
        </w:rPr>
      </w:pPr>
    </w:p>
    <w:p w:rsidR="00232B5A" w:rsidRDefault="00232B5A" w:rsidP="00232B5A">
      <w:pPr>
        <w:tabs>
          <w:tab w:val="left" w:pos="567"/>
          <w:tab w:val="left" w:pos="1985"/>
          <w:tab w:val="left" w:pos="2552"/>
          <w:tab w:val="left" w:pos="3119"/>
          <w:tab w:val="left" w:pos="3686"/>
        </w:tabs>
        <w:spacing w:after="0"/>
        <w:ind w:left="567" w:hanging="567"/>
        <w:jc w:val="both"/>
        <w:rPr>
          <w:sz w:val="20"/>
          <w:lang w:val="de-DE"/>
        </w:rPr>
      </w:pPr>
      <w:r>
        <w:rPr>
          <w:sz w:val="20"/>
          <w:lang w:val="de-DE"/>
        </w:rPr>
        <w:t>2</w:t>
      </w:r>
      <w:r w:rsidRPr="000A4580">
        <w:rPr>
          <w:sz w:val="20"/>
          <w:lang w:val="de-DE"/>
        </w:rPr>
        <w:t>.</w:t>
      </w:r>
      <w:r w:rsidRPr="000A4580">
        <w:rPr>
          <w:sz w:val="20"/>
          <w:lang w:val="de-DE"/>
        </w:rPr>
        <w:tab/>
      </w:r>
      <w:r>
        <w:rPr>
          <w:sz w:val="20"/>
          <w:lang w:val="de-DE"/>
        </w:rPr>
        <w:t xml:space="preserve">Die Verbände der Binnenschifffahrt </w:t>
      </w:r>
      <w:r w:rsidR="00F7234B">
        <w:rPr>
          <w:sz w:val="20"/>
          <w:lang w:val="de-DE"/>
        </w:rPr>
        <w:t>halten an dem Vorschlag fest</w:t>
      </w:r>
      <w:r>
        <w:rPr>
          <w:sz w:val="20"/>
          <w:lang w:val="de-DE"/>
        </w:rPr>
        <w:t xml:space="preserve">, den bisher in 9.3.x.0.3 a) bis c) geregelten Sachverhalt im ADN in Tabellenform darzustellen. Ein entsprechender Vorschlag ist als Anlage 1 diesem Antrag beigefügt. </w:t>
      </w:r>
      <w:r w:rsidR="00AC5A95" w:rsidRPr="00E65E1D">
        <w:rPr>
          <w:b/>
          <w:sz w:val="20"/>
          <w:lang w:val="de-DE"/>
        </w:rPr>
        <w:t xml:space="preserve">Lose Ausrüstungsbestandteile </w:t>
      </w:r>
      <w:r w:rsidR="00E65E1D" w:rsidRPr="00E65E1D">
        <w:rPr>
          <w:b/>
          <w:sz w:val="20"/>
          <w:lang w:val="de-DE"/>
        </w:rPr>
        <w:t xml:space="preserve">sind in der Tabelle </w:t>
      </w:r>
      <w:r w:rsidR="00F7234B">
        <w:rPr>
          <w:b/>
          <w:sz w:val="20"/>
          <w:lang w:val="de-DE"/>
        </w:rPr>
        <w:t xml:space="preserve">jedoch </w:t>
      </w:r>
      <w:r w:rsidR="00E65E1D" w:rsidRPr="00E65E1D">
        <w:rPr>
          <w:b/>
          <w:sz w:val="20"/>
          <w:lang w:val="de-DE"/>
        </w:rPr>
        <w:t>nicht mehr aufgeführt.</w:t>
      </w:r>
      <w:r w:rsidR="00E65E1D">
        <w:rPr>
          <w:sz w:val="20"/>
          <w:lang w:val="de-DE"/>
        </w:rPr>
        <w:t xml:space="preserve"> </w:t>
      </w:r>
      <w:r>
        <w:rPr>
          <w:sz w:val="20"/>
          <w:lang w:val="de-DE"/>
        </w:rPr>
        <w:t xml:space="preserve">Unterpunkt d) </w:t>
      </w:r>
      <w:r w:rsidR="008002E6">
        <w:rPr>
          <w:sz w:val="20"/>
          <w:lang w:val="de-DE"/>
        </w:rPr>
        <w:t xml:space="preserve">von 9.3.x.0.3 </w:t>
      </w:r>
      <w:r>
        <w:rPr>
          <w:sz w:val="20"/>
          <w:lang w:val="de-DE"/>
        </w:rPr>
        <w:t xml:space="preserve">bleibt </w:t>
      </w:r>
      <w:r w:rsidR="008002E6">
        <w:rPr>
          <w:sz w:val="20"/>
          <w:lang w:val="de-DE"/>
        </w:rPr>
        <w:t xml:space="preserve">unverändert </w:t>
      </w:r>
      <w:r>
        <w:rPr>
          <w:sz w:val="20"/>
          <w:lang w:val="de-DE"/>
        </w:rPr>
        <w:t>erhalten.</w:t>
      </w:r>
    </w:p>
    <w:p w:rsidR="00232B5A" w:rsidRDefault="00232B5A" w:rsidP="00232B5A">
      <w:pPr>
        <w:tabs>
          <w:tab w:val="left" w:pos="567"/>
          <w:tab w:val="left" w:pos="1985"/>
          <w:tab w:val="left" w:pos="2552"/>
          <w:tab w:val="left" w:pos="3119"/>
          <w:tab w:val="left" w:pos="3686"/>
        </w:tabs>
        <w:spacing w:after="0"/>
        <w:ind w:left="567" w:hanging="567"/>
        <w:jc w:val="both"/>
        <w:rPr>
          <w:sz w:val="20"/>
          <w:lang w:val="de-DE"/>
        </w:rPr>
      </w:pPr>
    </w:p>
    <w:p w:rsidR="00B766BA" w:rsidRDefault="00B766BA" w:rsidP="00232B5A">
      <w:pPr>
        <w:tabs>
          <w:tab w:val="left" w:pos="567"/>
          <w:tab w:val="left" w:pos="1985"/>
          <w:tab w:val="left" w:pos="2552"/>
          <w:tab w:val="left" w:pos="3119"/>
          <w:tab w:val="left" w:pos="3686"/>
        </w:tabs>
        <w:spacing w:after="0"/>
        <w:ind w:left="567" w:hanging="567"/>
        <w:jc w:val="both"/>
        <w:rPr>
          <w:sz w:val="20"/>
          <w:lang w:val="de-DE"/>
        </w:rPr>
      </w:pPr>
    </w:p>
    <w:p w:rsidR="00232B5A" w:rsidRDefault="00232B5A" w:rsidP="00232B5A">
      <w:pPr>
        <w:tabs>
          <w:tab w:val="left" w:pos="567"/>
          <w:tab w:val="left" w:pos="1985"/>
          <w:tab w:val="left" w:pos="2552"/>
          <w:tab w:val="left" w:pos="3119"/>
          <w:tab w:val="left" w:pos="3686"/>
        </w:tabs>
        <w:spacing w:after="0"/>
        <w:ind w:left="567" w:hanging="567"/>
        <w:jc w:val="both"/>
        <w:rPr>
          <w:b/>
          <w:sz w:val="28"/>
          <w:szCs w:val="28"/>
          <w:lang w:val="de-DE"/>
        </w:rPr>
      </w:pPr>
      <w:r w:rsidRPr="00232B5A">
        <w:rPr>
          <w:b/>
          <w:sz w:val="28"/>
          <w:szCs w:val="28"/>
          <w:lang w:val="de-DE"/>
        </w:rPr>
        <w:t xml:space="preserve">Vorschlag </w:t>
      </w:r>
      <w:r>
        <w:rPr>
          <w:b/>
          <w:sz w:val="28"/>
          <w:szCs w:val="28"/>
          <w:lang w:val="de-DE"/>
        </w:rPr>
        <w:t>2</w:t>
      </w:r>
    </w:p>
    <w:p w:rsidR="00232B5A" w:rsidRDefault="00232B5A" w:rsidP="00232B5A">
      <w:pPr>
        <w:tabs>
          <w:tab w:val="left" w:pos="567"/>
          <w:tab w:val="left" w:pos="1985"/>
          <w:tab w:val="left" w:pos="2552"/>
          <w:tab w:val="left" w:pos="3119"/>
          <w:tab w:val="left" w:pos="3686"/>
        </w:tabs>
        <w:spacing w:after="0"/>
        <w:ind w:left="567" w:hanging="567"/>
        <w:jc w:val="both"/>
        <w:rPr>
          <w:sz w:val="20"/>
          <w:lang w:val="de-DE"/>
        </w:rPr>
      </w:pPr>
    </w:p>
    <w:p w:rsidR="00232B5A" w:rsidRDefault="00232B5A" w:rsidP="00232B5A">
      <w:pPr>
        <w:tabs>
          <w:tab w:val="left" w:pos="567"/>
          <w:tab w:val="left" w:pos="1985"/>
          <w:tab w:val="left" w:pos="2552"/>
          <w:tab w:val="left" w:pos="3119"/>
          <w:tab w:val="left" w:pos="3686"/>
        </w:tabs>
        <w:spacing w:after="0"/>
        <w:ind w:left="567" w:hanging="567"/>
        <w:jc w:val="both"/>
        <w:rPr>
          <w:sz w:val="20"/>
          <w:lang w:val="de-DE"/>
        </w:rPr>
      </w:pPr>
      <w:r>
        <w:rPr>
          <w:sz w:val="20"/>
          <w:lang w:val="de-DE"/>
        </w:rPr>
        <w:t>3</w:t>
      </w:r>
      <w:r w:rsidRPr="000A4580">
        <w:rPr>
          <w:sz w:val="20"/>
          <w:lang w:val="de-DE"/>
        </w:rPr>
        <w:t>.</w:t>
      </w:r>
      <w:r w:rsidRPr="000A4580">
        <w:rPr>
          <w:sz w:val="20"/>
          <w:lang w:val="de-DE"/>
        </w:rPr>
        <w:tab/>
      </w:r>
      <w:r>
        <w:rPr>
          <w:sz w:val="20"/>
          <w:lang w:val="de-DE"/>
        </w:rPr>
        <w:t xml:space="preserve">Die Verbände der Binnenschifffahrt schlagen vor, </w:t>
      </w:r>
      <w:r w:rsidR="00E65E1D">
        <w:rPr>
          <w:sz w:val="20"/>
          <w:lang w:val="de-DE"/>
        </w:rPr>
        <w:t>in Teil 7 der Verordnung an geeigneter Stelle folgenden Unterabschnitt einzufügen:</w:t>
      </w:r>
    </w:p>
    <w:p w:rsidR="00E65E1D" w:rsidRDefault="00E65E1D" w:rsidP="00232B5A">
      <w:pPr>
        <w:tabs>
          <w:tab w:val="left" w:pos="567"/>
          <w:tab w:val="left" w:pos="1985"/>
          <w:tab w:val="left" w:pos="2552"/>
          <w:tab w:val="left" w:pos="3119"/>
          <w:tab w:val="left" w:pos="3686"/>
        </w:tabs>
        <w:spacing w:after="0"/>
        <w:ind w:left="567" w:hanging="567"/>
        <w:jc w:val="both"/>
        <w:rPr>
          <w:sz w:val="20"/>
          <w:lang w:val="de-DE"/>
        </w:rPr>
      </w:pPr>
    </w:p>
    <w:p w:rsidR="00E65E1D" w:rsidRDefault="00E65E1D" w:rsidP="001A6E17">
      <w:pPr>
        <w:tabs>
          <w:tab w:val="left" w:pos="1985"/>
          <w:tab w:val="left" w:pos="2552"/>
          <w:tab w:val="left" w:pos="3119"/>
          <w:tab w:val="left" w:pos="3686"/>
        </w:tabs>
        <w:spacing w:after="0"/>
        <w:ind w:left="567"/>
        <w:jc w:val="both"/>
        <w:rPr>
          <w:sz w:val="20"/>
          <w:lang w:val="de-DE"/>
        </w:rPr>
      </w:pPr>
      <w:r>
        <w:rPr>
          <w:sz w:val="20"/>
          <w:lang w:val="de-DE"/>
        </w:rPr>
        <w:t>„Im Bereich der Ladung dürfen nur solche losen Ausrüstungsgegenstände verwendet werden, die aus Werkstoffen bestehen, die weder durch die Ladung angegriffen werden oder eine Zersetzung der Ladung verursachen noch mit ihr schädliche oder gefährliche Verbindungen eingehen können</w:t>
      </w:r>
      <w:r w:rsidR="0029285E">
        <w:rPr>
          <w:sz w:val="20"/>
          <w:lang w:val="de-DE"/>
        </w:rPr>
        <w:t>, sofern sie mit der Ladung in Berührung kommen können</w:t>
      </w:r>
      <w:r>
        <w:rPr>
          <w:sz w:val="20"/>
          <w:lang w:val="de-DE"/>
        </w:rPr>
        <w:t>.</w:t>
      </w:r>
      <w:r w:rsidR="0029285E">
        <w:rPr>
          <w:sz w:val="20"/>
          <w:lang w:val="de-DE"/>
        </w:rPr>
        <w:t xml:space="preserve"> Es dürfen nur Gummimatten verwendet werden, die aus nicht leitfähigem Material hergestellt sind.</w:t>
      </w:r>
      <w:r>
        <w:rPr>
          <w:sz w:val="20"/>
          <w:lang w:val="de-DE"/>
        </w:rPr>
        <w:t>“</w:t>
      </w:r>
    </w:p>
    <w:p w:rsidR="00E65E1D" w:rsidRDefault="00E65E1D" w:rsidP="00232B5A">
      <w:pPr>
        <w:tabs>
          <w:tab w:val="left" w:pos="567"/>
          <w:tab w:val="left" w:pos="1985"/>
          <w:tab w:val="left" w:pos="2552"/>
          <w:tab w:val="left" w:pos="3119"/>
          <w:tab w:val="left" w:pos="3686"/>
        </w:tabs>
        <w:spacing w:after="0"/>
        <w:ind w:left="567" w:hanging="567"/>
        <w:jc w:val="both"/>
        <w:rPr>
          <w:sz w:val="20"/>
          <w:lang w:val="de-DE"/>
        </w:rPr>
      </w:pPr>
    </w:p>
    <w:p w:rsidR="00E65E1D" w:rsidRDefault="00E65E1D" w:rsidP="00232B5A">
      <w:pPr>
        <w:tabs>
          <w:tab w:val="left" w:pos="567"/>
          <w:tab w:val="left" w:pos="1985"/>
          <w:tab w:val="left" w:pos="2552"/>
          <w:tab w:val="left" w:pos="3119"/>
          <w:tab w:val="left" w:pos="3686"/>
        </w:tabs>
        <w:spacing w:after="0"/>
        <w:ind w:left="567" w:hanging="567"/>
        <w:jc w:val="both"/>
        <w:rPr>
          <w:sz w:val="20"/>
          <w:lang w:val="de-DE"/>
        </w:rPr>
      </w:pPr>
      <w:r>
        <w:rPr>
          <w:sz w:val="20"/>
          <w:lang w:val="de-DE"/>
        </w:rPr>
        <w:tab/>
        <w:t>Anmerkung: Diese Formulierung wurde an Unterabschnitt 9.3.1.0.1 angelehnt.</w:t>
      </w:r>
    </w:p>
    <w:p w:rsidR="00E65E1D" w:rsidRDefault="00E65E1D" w:rsidP="00232B5A">
      <w:pPr>
        <w:tabs>
          <w:tab w:val="left" w:pos="567"/>
          <w:tab w:val="left" w:pos="1985"/>
          <w:tab w:val="left" w:pos="2552"/>
          <w:tab w:val="left" w:pos="3119"/>
          <w:tab w:val="left" w:pos="3686"/>
        </w:tabs>
        <w:spacing w:after="0"/>
        <w:ind w:left="567" w:hanging="567"/>
        <w:jc w:val="both"/>
        <w:rPr>
          <w:sz w:val="20"/>
          <w:lang w:val="de-DE"/>
        </w:rPr>
      </w:pPr>
    </w:p>
    <w:p w:rsidR="00B766BA" w:rsidRDefault="00B766BA" w:rsidP="00232B5A">
      <w:pPr>
        <w:tabs>
          <w:tab w:val="left" w:pos="567"/>
          <w:tab w:val="left" w:pos="1985"/>
          <w:tab w:val="left" w:pos="2552"/>
          <w:tab w:val="left" w:pos="3119"/>
          <w:tab w:val="left" w:pos="3686"/>
        </w:tabs>
        <w:spacing w:after="0"/>
        <w:ind w:left="567" w:hanging="567"/>
        <w:jc w:val="both"/>
        <w:rPr>
          <w:sz w:val="20"/>
          <w:lang w:val="de-DE"/>
        </w:rPr>
      </w:pPr>
    </w:p>
    <w:p w:rsidR="00277944" w:rsidRDefault="00277944" w:rsidP="00277944">
      <w:pPr>
        <w:tabs>
          <w:tab w:val="left" w:pos="567"/>
          <w:tab w:val="left" w:pos="1985"/>
          <w:tab w:val="left" w:pos="2552"/>
          <w:tab w:val="left" w:pos="3119"/>
          <w:tab w:val="left" w:pos="3686"/>
        </w:tabs>
        <w:spacing w:after="0"/>
        <w:ind w:left="567" w:hanging="567"/>
        <w:jc w:val="both"/>
        <w:rPr>
          <w:b/>
          <w:sz w:val="28"/>
          <w:szCs w:val="28"/>
          <w:lang w:val="de-DE"/>
        </w:rPr>
      </w:pPr>
      <w:r w:rsidRPr="00232B5A">
        <w:rPr>
          <w:b/>
          <w:sz w:val="28"/>
          <w:szCs w:val="28"/>
          <w:lang w:val="de-DE"/>
        </w:rPr>
        <w:t xml:space="preserve">Vorschlag </w:t>
      </w:r>
      <w:r>
        <w:rPr>
          <w:b/>
          <w:sz w:val="28"/>
          <w:szCs w:val="28"/>
          <w:lang w:val="de-DE"/>
        </w:rPr>
        <w:t>3</w:t>
      </w:r>
    </w:p>
    <w:p w:rsidR="00277944" w:rsidRDefault="00277944" w:rsidP="00277944">
      <w:pPr>
        <w:tabs>
          <w:tab w:val="left" w:pos="567"/>
          <w:tab w:val="left" w:pos="1985"/>
          <w:tab w:val="left" w:pos="2552"/>
          <w:tab w:val="left" w:pos="3119"/>
          <w:tab w:val="left" w:pos="3686"/>
        </w:tabs>
        <w:spacing w:after="0"/>
        <w:ind w:left="567" w:hanging="567"/>
        <w:jc w:val="both"/>
        <w:rPr>
          <w:sz w:val="20"/>
          <w:lang w:val="de-DE"/>
        </w:rPr>
      </w:pPr>
    </w:p>
    <w:p w:rsidR="00277944" w:rsidRPr="000A4580" w:rsidRDefault="00277944" w:rsidP="00277944">
      <w:pPr>
        <w:tabs>
          <w:tab w:val="left" w:pos="709"/>
          <w:tab w:val="left" w:pos="1985"/>
          <w:tab w:val="left" w:pos="2552"/>
          <w:tab w:val="left" w:pos="3119"/>
          <w:tab w:val="left" w:pos="3686"/>
        </w:tabs>
        <w:spacing w:after="0"/>
        <w:ind w:left="567" w:hanging="567"/>
        <w:jc w:val="both"/>
        <w:rPr>
          <w:sz w:val="20"/>
          <w:lang w:val="de-DE"/>
        </w:rPr>
      </w:pPr>
      <w:r>
        <w:rPr>
          <w:sz w:val="20"/>
          <w:lang w:val="de-DE"/>
        </w:rPr>
        <w:t>4.</w:t>
      </w:r>
      <w:r w:rsidRPr="000A4580">
        <w:rPr>
          <w:sz w:val="20"/>
          <w:lang w:val="de-DE"/>
        </w:rPr>
        <w:tab/>
        <w:t>9.3.x.0.5 lautet wie folgt:</w:t>
      </w:r>
    </w:p>
    <w:p w:rsidR="00277944" w:rsidRPr="00C80965" w:rsidRDefault="00277944" w:rsidP="00C80965">
      <w:pPr>
        <w:autoSpaceDE w:val="0"/>
        <w:autoSpaceDN w:val="0"/>
        <w:adjustRightInd w:val="0"/>
        <w:spacing w:before="120" w:after="0"/>
        <w:ind w:left="567"/>
        <w:jc w:val="both"/>
        <w:rPr>
          <w:rFonts w:eastAsia="Calibri"/>
          <w:sz w:val="20"/>
          <w:lang w:val="de-DE" w:eastAsia="nl-NL"/>
        </w:rPr>
      </w:pPr>
      <w:r>
        <w:rPr>
          <w:rFonts w:eastAsia="Calibri"/>
          <w:sz w:val="20"/>
          <w:lang w:val="de-DE" w:eastAsia="nl-NL"/>
        </w:rPr>
        <w:t>„</w:t>
      </w:r>
      <w:r w:rsidRPr="000A4580">
        <w:rPr>
          <w:rFonts w:eastAsia="Calibri"/>
          <w:sz w:val="20"/>
          <w:lang w:val="de-DE" w:eastAsia="nl-NL"/>
        </w:rPr>
        <w:t>Die Verwendung von Kunststoffen für Beiboote ist nur zulässig, wenn das Material schwer entflammbar ist.</w:t>
      </w:r>
      <w:r>
        <w:rPr>
          <w:rFonts w:eastAsia="Calibri"/>
          <w:sz w:val="20"/>
          <w:lang w:val="de-DE" w:eastAsia="nl-NL"/>
        </w:rPr>
        <w:t>“</w:t>
      </w:r>
    </w:p>
    <w:p w:rsidR="00277944" w:rsidRDefault="00277944" w:rsidP="00277944">
      <w:pPr>
        <w:tabs>
          <w:tab w:val="left" w:pos="709"/>
          <w:tab w:val="left" w:pos="1985"/>
          <w:tab w:val="left" w:pos="2552"/>
          <w:tab w:val="left" w:pos="3119"/>
          <w:tab w:val="left" w:pos="3686"/>
        </w:tabs>
        <w:spacing w:after="0"/>
        <w:ind w:left="567" w:hanging="567"/>
        <w:jc w:val="both"/>
        <w:rPr>
          <w:sz w:val="20"/>
          <w:lang w:val="de-DE"/>
        </w:rPr>
      </w:pPr>
    </w:p>
    <w:p w:rsidR="00277944" w:rsidRPr="000A4580" w:rsidRDefault="00277944" w:rsidP="001A6E17">
      <w:pPr>
        <w:tabs>
          <w:tab w:val="left" w:pos="1985"/>
          <w:tab w:val="left" w:pos="2552"/>
          <w:tab w:val="left" w:pos="3119"/>
          <w:tab w:val="left" w:pos="3686"/>
        </w:tabs>
        <w:spacing w:after="0"/>
        <w:ind w:left="567"/>
        <w:jc w:val="both"/>
        <w:rPr>
          <w:sz w:val="20"/>
          <w:lang w:val="de-DE"/>
        </w:rPr>
      </w:pPr>
      <w:r w:rsidRPr="000A4580">
        <w:rPr>
          <w:sz w:val="20"/>
          <w:lang w:val="de-DE"/>
        </w:rPr>
        <w:t>9.3.x.0.5 wird wie folgt geändert:</w:t>
      </w:r>
    </w:p>
    <w:p w:rsidR="00277944" w:rsidRDefault="00277944" w:rsidP="00277944">
      <w:pPr>
        <w:autoSpaceDE w:val="0"/>
        <w:autoSpaceDN w:val="0"/>
        <w:adjustRightInd w:val="0"/>
        <w:spacing w:before="120" w:after="0"/>
        <w:ind w:left="567"/>
        <w:jc w:val="both"/>
        <w:rPr>
          <w:rFonts w:eastAsia="Calibri"/>
          <w:sz w:val="20"/>
          <w:lang w:val="de-DE" w:eastAsia="nl-NL"/>
        </w:rPr>
      </w:pPr>
      <w:r>
        <w:rPr>
          <w:rFonts w:eastAsia="Calibri"/>
          <w:sz w:val="20"/>
          <w:lang w:val="de-DE" w:eastAsia="nl-NL"/>
        </w:rPr>
        <w:t>„</w:t>
      </w:r>
      <w:r w:rsidRPr="000A4580">
        <w:rPr>
          <w:rFonts w:eastAsia="Calibri"/>
          <w:sz w:val="20"/>
          <w:lang w:val="de-DE" w:eastAsia="nl-NL"/>
        </w:rPr>
        <w:t>Die Verwendung von Kunststoffen für Beiboote im Bereich der Ladung ist nur zulässig, wenn das M</w:t>
      </w:r>
      <w:r w:rsidR="00C80965">
        <w:rPr>
          <w:rFonts w:eastAsia="Calibri"/>
          <w:sz w:val="20"/>
          <w:lang w:val="de-DE" w:eastAsia="nl-NL"/>
        </w:rPr>
        <w:t>aterial schwer entflammbar ist.</w:t>
      </w:r>
    </w:p>
    <w:p w:rsidR="00277944" w:rsidRPr="000A4580" w:rsidRDefault="00277944" w:rsidP="00277944">
      <w:pPr>
        <w:autoSpaceDE w:val="0"/>
        <w:autoSpaceDN w:val="0"/>
        <w:adjustRightInd w:val="0"/>
        <w:spacing w:before="120" w:after="0"/>
        <w:ind w:left="567"/>
        <w:jc w:val="both"/>
        <w:rPr>
          <w:sz w:val="20"/>
          <w:lang w:val="de-DE" w:eastAsia="de-DE"/>
        </w:rPr>
      </w:pPr>
      <w:r w:rsidRPr="000A4580">
        <w:rPr>
          <w:rFonts w:eastAsia="Calibri"/>
          <w:sz w:val="20"/>
          <w:lang w:val="de-DE" w:eastAsia="nl-NL"/>
        </w:rPr>
        <w:t xml:space="preserve">Die Verwendung von Aluminiumlegierungen </w:t>
      </w:r>
      <w:r w:rsidR="00363991">
        <w:rPr>
          <w:rFonts w:eastAsia="Calibri"/>
          <w:sz w:val="20"/>
          <w:lang w:val="de-DE" w:eastAsia="nl-NL"/>
        </w:rPr>
        <w:t>oder Kunststoffe</w:t>
      </w:r>
      <w:r w:rsidR="00B958E7">
        <w:rPr>
          <w:rFonts w:eastAsia="Calibri"/>
          <w:sz w:val="20"/>
          <w:lang w:val="de-DE" w:eastAsia="nl-NL"/>
        </w:rPr>
        <w:t>n</w:t>
      </w:r>
      <w:r w:rsidR="00363991">
        <w:rPr>
          <w:rFonts w:eastAsia="Calibri"/>
          <w:sz w:val="20"/>
          <w:lang w:val="de-DE" w:eastAsia="nl-NL"/>
        </w:rPr>
        <w:t xml:space="preserve"> </w:t>
      </w:r>
      <w:r w:rsidRPr="000A4580">
        <w:rPr>
          <w:rFonts w:eastAsia="Calibri"/>
          <w:sz w:val="20"/>
          <w:lang w:val="de-DE" w:eastAsia="nl-NL"/>
        </w:rPr>
        <w:t xml:space="preserve">für Gehwege </w:t>
      </w:r>
      <w:r w:rsidR="00363991">
        <w:rPr>
          <w:rFonts w:eastAsia="Calibri"/>
          <w:sz w:val="20"/>
          <w:lang w:val="de-DE" w:eastAsia="nl-NL"/>
        </w:rPr>
        <w:t xml:space="preserve">(Laufstege) </w:t>
      </w:r>
      <w:r w:rsidRPr="000A4580">
        <w:rPr>
          <w:rFonts w:eastAsia="Calibri"/>
          <w:sz w:val="20"/>
          <w:lang w:val="de-DE" w:eastAsia="nl-NL"/>
        </w:rPr>
        <w:t xml:space="preserve">im Bereich der Ladung ist nur zulässig, wenn das Material schwer entflammbar </w:t>
      </w:r>
      <w:r w:rsidR="00B958E7">
        <w:rPr>
          <w:rFonts w:eastAsia="Calibri"/>
          <w:sz w:val="20"/>
          <w:lang w:val="de-DE" w:eastAsia="nl-NL"/>
        </w:rPr>
        <w:t xml:space="preserve">und elektrisch leitfähig </w:t>
      </w:r>
      <w:r w:rsidRPr="000A4580">
        <w:rPr>
          <w:rFonts w:eastAsia="Calibri"/>
          <w:sz w:val="20"/>
          <w:lang w:val="de-DE" w:eastAsia="nl-NL"/>
        </w:rPr>
        <w:t>ist.</w:t>
      </w:r>
      <w:r>
        <w:rPr>
          <w:rFonts w:eastAsia="Calibri"/>
          <w:sz w:val="20"/>
          <w:lang w:val="de-DE" w:eastAsia="nl-NL"/>
        </w:rPr>
        <w:t>“</w:t>
      </w:r>
    </w:p>
    <w:p w:rsidR="009F4E31" w:rsidRDefault="009F4E31" w:rsidP="00223092">
      <w:pPr>
        <w:spacing w:after="0"/>
        <w:ind w:left="1701" w:hanging="1701"/>
        <w:rPr>
          <w:i/>
          <w:sz w:val="20"/>
          <w:lang w:val="de-DE"/>
        </w:rPr>
      </w:pPr>
    </w:p>
    <w:p w:rsidR="000A4580" w:rsidRPr="000A4580" w:rsidRDefault="000A4580" w:rsidP="00223092">
      <w:pPr>
        <w:spacing w:after="0"/>
        <w:ind w:left="1701" w:hanging="1701"/>
        <w:rPr>
          <w:i/>
          <w:sz w:val="20"/>
          <w:lang w:val="de-DE"/>
        </w:rPr>
      </w:pPr>
    </w:p>
    <w:p w:rsidR="009F4E31" w:rsidRPr="000A4580" w:rsidRDefault="002217E3" w:rsidP="009F4E31">
      <w:pPr>
        <w:rPr>
          <w:b/>
          <w:sz w:val="28"/>
          <w:szCs w:val="28"/>
          <w:lang w:val="de-DE"/>
        </w:rPr>
      </w:pPr>
      <w:r w:rsidRPr="000A4580">
        <w:rPr>
          <w:b/>
          <w:sz w:val="28"/>
          <w:szCs w:val="28"/>
          <w:lang w:val="de-DE"/>
        </w:rPr>
        <w:t>Begründung</w:t>
      </w:r>
    </w:p>
    <w:p w:rsidR="00B85E8E" w:rsidRDefault="00277944" w:rsidP="00E65E1D">
      <w:pPr>
        <w:tabs>
          <w:tab w:val="left" w:pos="709"/>
          <w:tab w:val="left" w:pos="1985"/>
          <w:tab w:val="left" w:pos="2552"/>
          <w:tab w:val="left" w:pos="3119"/>
          <w:tab w:val="left" w:pos="3686"/>
        </w:tabs>
        <w:spacing w:after="0"/>
        <w:jc w:val="both"/>
        <w:rPr>
          <w:sz w:val="20"/>
          <w:lang w:val="de-DE"/>
        </w:rPr>
      </w:pPr>
      <w:r>
        <w:rPr>
          <w:sz w:val="20"/>
          <w:lang w:val="de-DE"/>
        </w:rPr>
        <w:t>5</w:t>
      </w:r>
      <w:r w:rsidR="00B85E8E" w:rsidRPr="000A4580">
        <w:rPr>
          <w:sz w:val="20"/>
          <w:lang w:val="de-DE"/>
        </w:rPr>
        <w:t>.</w:t>
      </w:r>
      <w:r w:rsidR="00B85E8E" w:rsidRPr="000A4580">
        <w:rPr>
          <w:sz w:val="20"/>
          <w:lang w:val="de-DE"/>
        </w:rPr>
        <w:tab/>
      </w:r>
      <w:r w:rsidR="00E65E1D">
        <w:rPr>
          <w:sz w:val="20"/>
          <w:lang w:val="de-DE"/>
        </w:rPr>
        <w:t xml:space="preserve">Der Sicherheitsausschuss hat der Darstellung des in Unterabschnitt 9.3.1.0.3 geregelten Sachverhalts in Tabellenform bereits zugestimmt. Die Herausnahme loser Ausrüstungsgegenstände entspricht dem Wunsch des Sicherheitsausschusses. </w:t>
      </w:r>
      <w:r w:rsidR="00ED29C5">
        <w:rPr>
          <w:sz w:val="20"/>
          <w:lang w:val="de-DE"/>
        </w:rPr>
        <w:t>Angesichts der Vielzahl möglicher loser Ausrüstungsgegenstände sollte in T</w:t>
      </w:r>
      <w:r w:rsidR="00E65E1D">
        <w:rPr>
          <w:sz w:val="20"/>
          <w:lang w:val="de-DE"/>
        </w:rPr>
        <w:t xml:space="preserve">eil 7 </w:t>
      </w:r>
      <w:r w:rsidR="00ED29C5">
        <w:rPr>
          <w:sz w:val="20"/>
          <w:lang w:val="de-DE"/>
        </w:rPr>
        <w:t>der Verordnung eine allgemein formulierte Vorschrift enthalten sein.</w:t>
      </w:r>
    </w:p>
    <w:p w:rsidR="00ED29C5" w:rsidRDefault="00ED29C5" w:rsidP="00E65E1D">
      <w:pPr>
        <w:tabs>
          <w:tab w:val="left" w:pos="709"/>
          <w:tab w:val="left" w:pos="1985"/>
          <w:tab w:val="left" w:pos="2552"/>
          <w:tab w:val="left" w:pos="3119"/>
          <w:tab w:val="left" w:pos="3686"/>
        </w:tabs>
        <w:spacing w:after="0"/>
        <w:jc w:val="both"/>
        <w:rPr>
          <w:sz w:val="20"/>
          <w:lang w:val="de-DE"/>
        </w:rPr>
      </w:pPr>
    </w:p>
    <w:p w:rsidR="00ED29C5" w:rsidRPr="000A4580" w:rsidRDefault="00ED29C5" w:rsidP="00E65E1D">
      <w:pPr>
        <w:tabs>
          <w:tab w:val="left" w:pos="709"/>
          <w:tab w:val="left" w:pos="1985"/>
          <w:tab w:val="left" w:pos="2552"/>
          <w:tab w:val="left" w:pos="3119"/>
          <w:tab w:val="left" w:pos="3686"/>
        </w:tabs>
        <w:spacing w:after="0"/>
        <w:jc w:val="both"/>
        <w:rPr>
          <w:sz w:val="20"/>
          <w:lang w:val="de-DE"/>
        </w:rPr>
      </w:pPr>
      <w:r>
        <w:rPr>
          <w:sz w:val="20"/>
          <w:lang w:val="de-DE"/>
        </w:rPr>
        <w:t xml:space="preserve">Der Vorschlag dient im </w:t>
      </w:r>
      <w:r w:rsidR="00B766BA">
        <w:rPr>
          <w:sz w:val="20"/>
          <w:lang w:val="de-DE"/>
        </w:rPr>
        <w:t>W</w:t>
      </w:r>
      <w:r>
        <w:rPr>
          <w:sz w:val="20"/>
          <w:lang w:val="de-DE"/>
        </w:rPr>
        <w:t xml:space="preserve">esentlichen zur Verbesserung der </w:t>
      </w:r>
      <w:r w:rsidR="001A6E17">
        <w:rPr>
          <w:sz w:val="20"/>
          <w:lang w:val="de-DE"/>
        </w:rPr>
        <w:t>Klarheit und Übersichtlichkeit.</w:t>
      </w:r>
    </w:p>
    <w:p w:rsidR="009F4E31" w:rsidRPr="001A6E17" w:rsidRDefault="009F4E31" w:rsidP="009F4E31">
      <w:pPr>
        <w:pStyle w:val="N2"/>
        <w:tabs>
          <w:tab w:val="clear" w:pos="-340"/>
          <w:tab w:val="clear" w:pos="284"/>
          <w:tab w:val="clear" w:pos="454"/>
          <w:tab w:val="clear" w:pos="680"/>
          <w:tab w:val="left" w:pos="-142"/>
        </w:tabs>
        <w:spacing w:line="240" w:lineRule="exact"/>
        <w:ind w:left="0" w:firstLine="0"/>
        <w:rPr>
          <w:rFonts w:ascii="Times New Roman" w:hAnsi="Times New Roman"/>
          <w:sz w:val="20"/>
          <w:lang w:val="de-DE"/>
        </w:rPr>
      </w:pPr>
    </w:p>
    <w:p w:rsidR="001F13D4" w:rsidRPr="001A6E17" w:rsidRDefault="001F13D4" w:rsidP="009F4E31">
      <w:pPr>
        <w:pStyle w:val="N2"/>
        <w:tabs>
          <w:tab w:val="clear" w:pos="-340"/>
          <w:tab w:val="clear" w:pos="284"/>
          <w:tab w:val="clear" w:pos="454"/>
          <w:tab w:val="clear" w:pos="680"/>
          <w:tab w:val="left" w:pos="-142"/>
        </w:tabs>
        <w:spacing w:line="240" w:lineRule="exact"/>
        <w:ind w:left="0" w:firstLine="0"/>
        <w:rPr>
          <w:rFonts w:ascii="Times New Roman" w:hAnsi="Times New Roman"/>
          <w:sz w:val="20"/>
          <w:lang w:val="de-DE"/>
        </w:rPr>
        <w:sectPr w:rsidR="001F13D4" w:rsidRPr="001A6E17" w:rsidSect="001A6E17">
          <w:headerReference w:type="even" r:id="rId9"/>
          <w:footerReference w:type="even" r:id="rId10"/>
          <w:footerReference w:type="default" r:id="rId11"/>
          <w:headerReference w:type="first" r:id="rId12"/>
          <w:endnotePr>
            <w:numFmt w:val="decimal"/>
          </w:endnotePr>
          <w:type w:val="continuous"/>
          <w:pgSz w:w="11907" w:h="16840" w:code="9"/>
          <w:pgMar w:top="1418" w:right="1418" w:bottom="1418" w:left="1418" w:header="680" w:footer="680" w:gutter="0"/>
          <w:cols w:space="720"/>
          <w:docGrid w:linePitch="326"/>
        </w:sectPr>
      </w:pPr>
    </w:p>
    <w:p w:rsidR="001F13D4" w:rsidRPr="006E1D8C" w:rsidRDefault="001F13D4" w:rsidP="001A6E17">
      <w:pPr>
        <w:keepNext/>
        <w:keepLines/>
        <w:suppressAutoHyphens/>
        <w:spacing w:before="360" w:after="0" w:line="300" w:lineRule="exact"/>
        <w:ind w:right="1134"/>
        <w:rPr>
          <w:b/>
          <w:sz w:val="28"/>
          <w:szCs w:val="28"/>
          <w:lang w:val="de-DE" w:eastAsia="fr-FR"/>
        </w:rPr>
      </w:pPr>
      <w:r w:rsidRPr="001F13D4">
        <w:rPr>
          <w:b/>
          <w:sz w:val="28"/>
          <w:szCs w:val="28"/>
          <w:lang w:val="de-DE" w:eastAsia="fr-FR"/>
        </w:rPr>
        <w:lastRenderedPageBreak/>
        <w:t>Vorschlag 1 - 9.3.x.0.3 (Antrag EBU / ESO / ERSTU)</w:t>
      </w:r>
    </w:p>
    <w:p w:rsidR="001F13D4" w:rsidRPr="001F13D4" w:rsidRDefault="001F13D4" w:rsidP="001A6E17">
      <w:pPr>
        <w:keepNext/>
        <w:keepLines/>
        <w:tabs>
          <w:tab w:val="right" w:pos="851"/>
        </w:tabs>
        <w:suppressAutoHyphens/>
        <w:spacing w:before="360" w:after="0" w:line="300" w:lineRule="exact"/>
        <w:ind w:right="1134"/>
        <w:rPr>
          <w:b/>
          <w:szCs w:val="24"/>
          <w:lang w:val="de-DE" w:eastAsia="fr-FR"/>
        </w:rPr>
      </w:pPr>
    </w:p>
    <w:tbl>
      <w:tblPr>
        <w:tblW w:w="13280" w:type="dxa"/>
        <w:tblInd w:w="55" w:type="dxa"/>
        <w:tblCellMar>
          <w:left w:w="70" w:type="dxa"/>
          <w:right w:w="70" w:type="dxa"/>
        </w:tblCellMar>
        <w:tblLook w:val="04A0" w:firstRow="1" w:lastRow="0" w:firstColumn="1" w:lastColumn="0" w:noHBand="0" w:noVBand="1"/>
      </w:tblPr>
      <w:tblGrid>
        <w:gridCol w:w="6841"/>
        <w:gridCol w:w="1353"/>
        <w:gridCol w:w="2380"/>
        <w:gridCol w:w="1353"/>
        <w:gridCol w:w="1353"/>
      </w:tblGrid>
      <w:tr w:rsidR="001F13D4" w:rsidRPr="001F13D4" w:rsidTr="00A54D4A">
        <w:trPr>
          <w:trHeight w:val="227"/>
        </w:trPr>
        <w:tc>
          <w:tcPr>
            <w:tcW w:w="684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F13D4" w:rsidRPr="001F13D4" w:rsidRDefault="001F13D4" w:rsidP="001F13D4">
            <w:pPr>
              <w:spacing w:after="0"/>
              <w:rPr>
                <w:i/>
                <w:sz w:val="20"/>
                <w:lang w:val="de-DE" w:eastAsia="fr-FR"/>
              </w:rPr>
            </w:pPr>
            <w:r w:rsidRPr="001F13D4">
              <w:rPr>
                <w:i/>
                <w:sz w:val="20"/>
                <w:lang w:val="de-DE" w:eastAsia="fr-FR"/>
              </w:rPr>
              <w:t> </w:t>
            </w:r>
          </w:p>
        </w:tc>
        <w:tc>
          <w:tcPr>
            <w:tcW w:w="1353" w:type="dxa"/>
            <w:tcBorders>
              <w:top w:val="single" w:sz="4" w:space="0" w:color="auto"/>
              <w:left w:val="nil"/>
              <w:bottom w:val="single" w:sz="8" w:space="0" w:color="auto"/>
              <w:right w:val="single" w:sz="8" w:space="0" w:color="auto"/>
            </w:tcBorders>
            <w:shd w:val="clear" w:color="auto" w:fill="auto"/>
            <w:noWrap/>
            <w:vAlign w:val="bottom"/>
            <w:hideMark/>
          </w:tcPr>
          <w:p w:rsidR="001F13D4" w:rsidRPr="001F13D4" w:rsidRDefault="001F13D4" w:rsidP="001F13D4">
            <w:pPr>
              <w:spacing w:after="0"/>
              <w:jc w:val="center"/>
              <w:rPr>
                <w:i/>
                <w:sz w:val="20"/>
                <w:lang w:val="fr-FR" w:eastAsia="fr-FR"/>
              </w:rPr>
            </w:pPr>
            <w:r w:rsidRPr="001F13D4">
              <w:rPr>
                <w:i/>
                <w:sz w:val="20"/>
                <w:lang w:val="fr-FR" w:eastAsia="fr-FR"/>
              </w:rPr>
              <w:t>Holz</w:t>
            </w:r>
          </w:p>
        </w:tc>
        <w:tc>
          <w:tcPr>
            <w:tcW w:w="2380" w:type="dxa"/>
            <w:tcBorders>
              <w:top w:val="single" w:sz="4" w:space="0" w:color="auto"/>
              <w:left w:val="nil"/>
              <w:bottom w:val="single" w:sz="8" w:space="0" w:color="auto"/>
              <w:right w:val="single" w:sz="8" w:space="0" w:color="auto"/>
            </w:tcBorders>
            <w:shd w:val="clear" w:color="auto" w:fill="auto"/>
            <w:noWrap/>
            <w:vAlign w:val="bottom"/>
            <w:hideMark/>
          </w:tcPr>
          <w:p w:rsidR="001F13D4" w:rsidRPr="001F13D4" w:rsidRDefault="001F13D4" w:rsidP="001F13D4">
            <w:pPr>
              <w:spacing w:after="0"/>
              <w:jc w:val="center"/>
              <w:rPr>
                <w:i/>
                <w:sz w:val="20"/>
                <w:lang w:val="fr-FR" w:eastAsia="fr-FR"/>
              </w:rPr>
            </w:pPr>
            <w:r w:rsidRPr="001F13D4">
              <w:rPr>
                <w:i/>
                <w:sz w:val="20"/>
                <w:lang w:val="fr-FR" w:eastAsia="fr-FR"/>
              </w:rPr>
              <w:t>Aluminiumlegierungen</w:t>
            </w:r>
          </w:p>
        </w:tc>
        <w:tc>
          <w:tcPr>
            <w:tcW w:w="1353" w:type="dxa"/>
            <w:tcBorders>
              <w:top w:val="single" w:sz="4" w:space="0" w:color="auto"/>
              <w:left w:val="nil"/>
              <w:bottom w:val="single" w:sz="8" w:space="0" w:color="auto"/>
              <w:right w:val="single" w:sz="8" w:space="0" w:color="auto"/>
            </w:tcBorders>
            <w:shd w:val="clear" w:color="auto" w:fill="auto"/>
            <w:noWrap/>
            <w:vAlign w:val="bottom"/>
            <w:hideMark/>
          </w:tcPr>
          <w:p w:rsidR="001F13D4" w:rsidRPr="001F13D4" w:rsidRDefault="001F13D4" w:rsidP="001F13D4">
            <w:pPr>
              <w:spacing w:after="0"/>
              <w:jc w:val="center"/>
              <w:rPr>
                <w:i/>
                <w:sz w:val="20"/>
                <w:lang w:val="fr-FR" w:eastAsia="fr-FR"/>
              </w:rPr>
            </w:pPr>
            <w:r w:rsidRPr="001F13D4">
              <w:rPr>
                <w:i/>
                <w:sz w:val="20"/>
                <w:lang w:val="fr-FR" w:eastAsia="fr-FR"/>
              </w:rPr>
              <w:t>Kunststoff</w:t>
            </w:r>
          </w:p>
        </w:tc>
        <w:tc>
          <w:tcPr>
            <w:tcW w:w="1353" w:type="dxa"/>
            <w:tcBorders>
              <w:top w:val="single" w:sz="4" w:space="0" w:color="auto"/>
              <w:left w:val="nil"/>
              <w:bottom w:val="single" w:sz="8" w:space="0" w:color="auto"/>
              <w:right w:val="single" w:sz="8" w:space="0" w:color="auto"/>
            </w:tcBorders>
            <w:shd w:val="clear" w:color="auto" w:fill="auto"/>
            <w:noWrap/>
            <w:vAlign w:val="bottom"/>
            <w:hideMark/>
          </w:tcPr>
          <w:p w:rsidR="001F13D4" w:rsidRPr="001F13D4" w:rsidRDefault="001F13D4" w:rsidP="001F13D4">
            <w:pPr>
              <w:spacing w:after="0"/>
              <w:jc w:val="center"/>
              <w:rPr>
                <w:i/>
                <w:sz w:val="20"/>
                <w:lang w:val="fr-FR" w:eastAsia="fr-FR"/>
              </w:rPr>
            </w:pPr>
            <w:r w:rsidRPr="001F13D4">
              <w:rPr>
                <w:i/>
                <w:sz w:val="20"/>
                <w:lang w:val="fr-FR" w:eastAsia="fr-FR"/>
              </w:rPr>
              <w:t>Gummi</w:t>
            </w:r>
          </w:p>
        </w:tc>
      </w:tr>
      <w:tr w:rsidR="001F13D4" w:rsidRPr="001F13D4" w:rsidTr="00A54D4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sz w:val="20"/>
                <w:lang w:val="fr-FR" w:eastAsia="fr-FR"/>
              </w:rPr>
            </w:pPr>
            <w:r w:rsidRPr="001F13D4">
              <w:rPr>
                <w:sz w:val="20"/>
                <w:lang w:val="fr-FR" w:eastAsia="fr-FR"/>
              </w:rPr>
              <w:t xml:space="preserve">Landstege </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 </w:t>
            </w:r>
          </w:p>
        </w:tc>
      </w:tr>
      <w:tr w:rsidR="001F13D4" w:rsidRPr="001F13D4" w:rsidTr="00A54D4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sz w:val="20"/>
                <w:lang w:val="fr-FR" w:eastAsia="fr-FR"/>
              </w:rPr>
            </w:pPr>
            <w:r w:rsidRPr="001F13D4">
              <w:rPr>
                <w:sz w:val="20"/>
                <w:lang w:val="fr-FR" w:eastAsia="fr-FR"/>
              </w:rPr>
              <w:t>Außenbordtreppen und Gehwege (Laufstege)</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 </w:t>
            </w: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 </w:t>
            </w:r>
          </w:p>
        </w:tc>
      </w:tr>
      <w:tr w:rsidR="001F13D4" w:rsidRPr="001F13D4" w:rsidTr="00A54D4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sz w:val="20"/>
                <w:lang w:val="de-DE" w:eastAsia="fr-FR"/>
              </w:rPr>
            </w:pPr>
            <w:r w:rsidRPr="001F13D4">
              <w:rPr>
                <w:sz w:val="20"/>
                <w:lang w:val="de-DE" w:eastAsia="fr-FR"/>
              </w:rPr>
              <w:t>die Lagerung der vom Schiffskörper unabhängigen Tanks sowie die Lagerung von Einrichtungen und Ausrüstungen</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 </w:t>
            </w:r>
          </w:p>
        </w:tc>
      </w:tr>
      <w:tr w:rsidR="001F13D4" w:rsidRPr="001F13D4" w:rsidTr="00A54D4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rFonts w:ascii="Arial" w:hAnsi="Arial" w:cs="Arial"/>
                <w:sz w:val="18"/>
                <w:szCs w:val="18"/>
                <w:lang w:val="de-DE" w:eastAsia="fr-FR"/>
              </w:rPr>
            </w:pPr>
            <w:r w:rsidRPr="001F13D4">
              <w:rPr>
                <w:sz w:val="20"/>
                <w:lang w:val="de-DE" w:eastAsia="fr-FR"/>
              </w:rPr>
              <w:t xml:space="preserve">Masten, Flaggenstöcke und ähnliche Rundhölzer </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 </w:t>
            </w:r>
          </w:p>
        </w:tc>
      </w:tr>
      <w:tr w:rsidR="001F13D4" w:rsidRPr="001F13D4" w:rsidTr="00A54D4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sz w:val="20"/>
                <w:lang w:val="fr-FR" w:eastAsia="fr-FR"/>
              </w:rPr>
            </w:pPr>
            <w:r w:rsidRPr="001F13D4">
              <w:rPr>
                <w:sz w:val="20"/>
                <w:lang w:val="fr-FR" w:eastAsia="fr-FR"/>
              </w:rPr>
              <w:t>Maschinenteile</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 </w:t>
            </w:r>
          </w:p>
        </w:tc>
      </w:tr>
      <w:tr w:rsidR="001F13D4" w:rsidRPr="001F13D4" w:rsidTr="00A54D4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sz w:val="20"/>
                <w:lang w:val="de-DE" w:eastAsia="fr-FR"/>
              </w:rPr>
            </w:pPr>
            <w:r w:rsidRPr="001F13D4">
              <w:rPr>
                <w:sz w:val="20"/>
                <w:lang w:val="de-DE" w:eastAsia="fr-FR"/>
              </w:rPr>
              <w:t>Schutzkleider von Motoren und Pumpen</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de-DE" w:eastAsia="fr-FR"/>
              </w:rPr>
            </w:pP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de-DE" w:eastAsia="fr-FR"/>
              </w:rPr>
            </w:pP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 </w:t>
            </w:r>
          </w:p>
        </w:tc>
      </w:tr>
      <w:tr w:rsidR="001F13D4" w:rsidRPr="001F13D4" w:rsidTr="00A54D4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rFonts w:ascii="Arial" w:hAnsi="Arial" w:cs="Arial"/>
                <w:sz w:val="18"/>
                <w:szCs w:val="18"/>
                <w:lang w:val="fr-FR" w:eastAsia="fr-FR"/>
              </w:rPr>
            </w:pPr>
            <w:r w:rsidRPr="001F13D4">
              <w:rPr>
                <w:sz w:val="20"/>
                <w:lang w:val="de-DE" w:eastAsia="fr-FR"/>
              </w:rPr>
              <w:t xml:space="preserve">Teile der elektrischen Anlage incl. </w:t>
            </w:r>
            <w:r w:rsidRPr="001F13D4">
              <w:rPr>
                <w:sz w:val="20"/>
                <w:lang w:val="fr-FR" w:eastAsia="fr-FR"/>
              </w:rPr>
              <w:t>Isolierungen, Abdichtungen usw.</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r>
      <w:tr w:rsidR="001F13D4" w:rsidRPr="001F13D4" w:rsidTr="00A54D4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sz w:val="20"/>
                <w:lang w:val="de-DE" w:eastAsia="fr-FR"/>
              </w:rPr>
            </w:pPr>
            <w:r w:rsidRPr="001F13D4">
              <w:rPr>
                <w:sz w:val="20"/>
                <w:lang w:val="de-DE" w:eastAsia="fr-FR"/>
              </w:rPr>
              <w:t>Teile der Lade- und Löschanlage incl. Abdichtungen usw.</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r>
      <w:tr w:rsidR="001F13D4" w:rsidRPr="001F13D4" w:rsidTr="00A54D4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sz w:val="20"/>
                <w:lang w:val="de-DE" w:eastAsia="fr-FR"/>
              </w:rPr>
            </w:pPr>
            <w:r w:rsidRPr="001F13D4">
              <w:rPr>
                <w:sz w:val="20"/>
                <w:lang w:val="de-DE" w:eastAsia="fr-FR"/>
              </w:rPr>
              <w:t xml:space="preserve">Kisten, Schränke oder Container an Deck zur Lagerung von losen Ausrüstungsbestandteilen, </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de-DE" w:eastAsia="fr-FR"/>
              </w:rPr>
            </w:pP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2"/>
                <w:szCs w:val="22"/>
                <w:lang w:val="fr-FR" w:eastAsia="fr-FR"/>
              </w:rPr>
            </w:pPr>
            <w:r w:rsidRPr="001F13D4">
              <w:rPr>
                <w:sz w:val="22"/>
                <w:szCs w:val="22"/>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2"/>
                <w:szCs w:val="22"/>
                <w:lang w:val="fr-FR" w:eastAsia="fr-FR"/>
              </w:rPr>
            </w:pPr>
            <w:r w:rsidRPr="001F13D4">
              <w:rPr>
                <w:sz w:val="22"/>
                <w:szCs w:val="22"/>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trike/>
                <w:sz w:val="20"/>
                <w:lang w:val="fr-FR" w:eastAsia="fr-FR"/>
              </w:rPr>
              <w:t> </w:t>
            </w:r>
          </w:p>
        </w:tc>
      </w:tr>
      <w:tr w:rsidR="001F13D4" w:rsidRPr="001F13D4" w:rsidTr="00A54D4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rFonts w:ascii="Arial" w:hAnsi="Arial" w:cs="Arial"/>
                <w:sz w:val="18"/>
                <w:szCs w:val="18"/>
                <w:lang w:val="de-DE" w:eastAsia="fr-FR"/>
              </w:rPr>
            </w:pPr>
            <w:r w:rsidRPr="001F13D4">
              <w:rPr>
                <w:sz w:val="20"/>
                <w:lang w:val="de-DE" w:eastAsia="fr-FR"/>
              </w:rPr>
              <w:t xml:space="preserve">Auflagerblöcke und Anschläge aller Art </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 </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 X</w:t>
            </w:r>
          </w:p>
        </w:tc>
      </w:tr>
      <w:tr w:rsidR="001F13D4" w:rsidRPr="001F13D4" w:rsidTr="00A54D4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sz w:val="20"/>
                <w:lang w:val="de-DE" w:eastAsia="fr-FR"/>
              </w:rPr>
            </w:pPr>
            <w:r w:rsidRPr="001F13D4">
              <w:rPr>
                <w:sz w:val="20"/>
                <w:lang w:val="de-DE" w:eastAsia="fr-FR"/>
              </w:rPr>
              <w:t>Ventilatoren einschließlich der Schlauchleitungen für die Belüftung</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de-DE" w:eastAsia="fr-FR"/>
              </w:rPr>
            </w:pPr>
            <w:r w:rsidRPr="001F13D4">
              <w:rPr>
                <w:sz w:val="20"/>
                <w:lang w:val="de-DE" w:eastAsia="fr-FR"/>
              </w:rPr>
              <w:t> </w:t>
            </w: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2"/>
                <w:szCs w:val="22"/>
                <w:lang w:val="fr-FR" w:eastAsia="fr-FR"/>
              </w:rPr>
            </w:pPr>
            <w:r w:rsidRPr="001F13D4">
              <w:rPr>
                <w:sz w:val="22"/>
                <w:szCs w:val="22"/>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2"/>
                <w:szCs w:val="22"/>
                <w:lang w:val="fr-FR" w:eastAsia="fr-FR"/>
              </w:rPr>
            </w:pPr>
            <w:r w:rsidRPr="001F13D4">
              <w:rPr>
                <w:sz w:val="22"/>
                <w:szCs w:val="22"/>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 </w:t>
            </w:r>
          </w:p>
        </w:tc>
      </w:tr>
      <w:tr w:rsidR="001F13D4" w:rsidRPr="001F13D4" w:rsidTr="00A54D4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sz w:val="20"/>
                <w:lang w:val="de-DE" w:eastAsia="fr-FR"/>
              </w:rPr>
            </w:pPr>
            <w:r w:rsidRPr="001F13D4">
              <w:rPr>
                <w:sz w:val="20"/>
                <w:lang w:val="de-DE" w:eastAsia="fr-FR"/>
              </w:rPr>
              <w:t>Teile der Wassersprühanlage und der Dusche und das Augen- und Gesichtsbad</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de-DE" w:eastAsia="fr-FR"/>
              </w:rPr>
            </w:pPr>
            <w:r w:rsidRPr="001F13D4">
              <w:rPr>
                <w:sz w:val="20"/>
                <w:lang w:val="de-DE" w:eastAsia="fr-FR"/>
              </w:rPr>
              <w:t> </w:t>
            </w: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2"/>
                <w:szCs w:val="22"/>
                <w:lang w:val="fr-FR" w:eastAsia="fr-FR"/>
              </w:rPr>
            </w:pPr>
            <w:r w:rsidRPr="001F13D4">
              <w:rPr>
                <w:sz w:val="22"/>
                <w:szCs w:val="22"/>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2"/>
                <w:szCs w:val="22"/>
                <w:lang w:val="fr-FR" w:eastAsia="fr-FR"/>
              </w:rPr>
            </w:pPr>
            <w:r w:rsidRPr="001F13D4">
              <w:rPr>
                <w:sz w:val="22"/>
                <w:szCs w:val="22"/>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 </w:t>
            </w:r>
          </w:p>
        </w:tc>
      </w:tr>
      <w:tr w:rsidR="001F13D4" w:rsidRPr="001F13D4" w:rsidTr="00A54D4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rFonts w:ascii="Arial" w:hAnsi="Arial" w:cs="Arial"/>
                <w:sz w:val="18"/>
                <w:szCs w:val="18"/>
                <w:lang w:val="de-DE" w:eastAsia="fr-FR"/>
              </w:rPr>
            </w:pPr>
            <w:r w:rsidRPr="001F13D4">
              <w:rPr>
                <w:sz w:val="20"/>
                <w:lang w:val="de-DE" w:eastAsia="fr-FR"/>
              </w:rPr>
              <w:t xml:space="preserve">Isolierung der Ladetanks, der Lade- und Löschleitungen, der Gasabfuhrleitungen und der Heizungsleitungen </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de-DE" w:eastAsia="fr-FR"/>
              </w:rPr>
            </w:pPr>
            <w:r w:rsidRPr="001F13D4">
              <w:rPr>
                <w:sz w:val="20"/>
                <w:lang w:val="de-DE" w:eastAsia="fr-FR"/>
              </w:rPr>
              <w:t> </w:t>
            </w: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de-DE" w:eastAsia="fr-FR"/>
              </w:rPr>
            </w:pPr>
            <w:r w:rsidRPr="001F13D4">
              <w:rPr>
                <w:sz w:val="20"/>
                <w:lang w:val="de-DE" w:eastAsia="fr-FR"/>
              </w:rPr>
              <w:t> 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r>
      <w:tr w:rsidR="001F13D4" w:rsidRPr="001F13D4" w:rsidTr="00A54D4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sz w:val="20"/>
                <w:lang w:val="de-DE" w:eastAsia="fr-FR"/>
              </w:rPr>
            </w:pPr>
            <w:r w:rsidRPr="001F13D4">
              <w:rPr>
                <w:sz w:val="20"/>
                <w:lang w:val="de-DE" w:eastAsia="fr-FR"/>
              </w:rPr>
              <w:t>Auskleidung der Tanks und der Lade-/Löschleitungen</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de-DE" w:eastAsia="fr-FR"/>
              </w:rPr>
            </w:pPr>
            <w:r w:rsidRPr="001F13D4">
              <w:rPr>
                <w:sz w:val="20"/>
                <w:lang w:val="de-DE" w:eastAsia="fr-FR"/>
              </w:rPr>
              <w:t> </w:t>
            </w: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2"/>
                <w:szCs w:val="22"/>
                <w:lang w:val="fr-FR" w:eastAsia="fr-FR"/>
              </w:rPr>
            </w:pPr>
            <w:r w:rsidRPr="001F13D4">
              <w:rPr>
                <w:sz w:val="22"/>
                <w:szCs w:val="22"/>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p>
        </w:tc>
      </w:tr>
    </w:tbl>
    <w:p w:rsidR="001F13D4" w:rsidRPr="001F13D4" w:rsidRDefault="001F13D4" w:rsidP="001F13D4">
      <w:pPr>
        <w:widowControl w:val="0"/>
        <w:tabs>
          <w:tab w:val="left" w:pos="-142"/>
          <w:tab w:val="left" w:pos="1418"/>
        </w:tabs>
        <w:overflowPunct w:val="0"/>
        <w:autoSpaceDE w:val="0"/>
        <w:autoSpaceDN w:val="0"/>
        <w:adjustRightInd w:val="0"/>
        <w:spacing w:after="0" w:line="240" w:lineRule="exact"/>
        <w:jc w:val="both"/>
        <w:textAlignment w:val="baseline"/>
        <w:rPr>
          <w:sz w:val="20"/>
          <w:lang w:val="de-DE" w:eastAsia="fr-FR"/>
        </w:rPr>
      </w:pPr>
    </w:p>
    <w:p w:rsidR="001F13D4" w:rsidRPr="001F13D4" w:rsidRDefault="001F13D4" w:rsidP="001F13D4">
      <w:pPr>
        <w:widowControl w:val="0"/>
        <w:tabs>
          <w:tab w:val="left" w:pos="-142"/>
          <w:tab w:val="left" w:pos="1418"/>
        </w:tabs>
        <w:overflowPunct w:val="0"/>
        <w:autoSpaceDE w:val="0"/>
        <w:autoSpaceDN w:val="0"/>
        <w:adjustRightInd w:val="0"/>
        <w:spacing w:after="0" w:line="240" w:lineRule="exact"/>
        <w:jc w:val="both"/>
        <w:textAlignment w:val="baseline"/>
        <w:rPr>
          <w:sz w:val="20"/>
          <w:lang w:val="de-DE" w:eastAsia="fr-FR"/>
        </w:rPr>
      </w:pPr>
      <w:r w:rsidRPr="001F13D4">
        <w:rPr>
          <w:sz w:val="20"/>
          <w:lang w:val="de-DE" w:eastAsia="fr-FR"/>
        </w:rPr>
        <w:t>Peilstäbe aus Aluminium sind zugelassen, wenn sie zur Verhinderung der Funkenbildung mit einem Fuß aus Messing versehen oder in anderer Weise geschützt sind.</w:t>
      </w:r>
    </w:p>
    <w:p w:rsidR="001F13D4" w:rsidRDefault="001F13D4" w:rsidP="006177D0">
      <w:pPr>
        <w:tabs>
          <w:tab w:val="left" w:pos="1418"/>
          <w:tab w:val="left" w:pos="1985"/>
          <w:tab w:val="left" w:pos="2552"/>
          <w:tab w:val="left" w:pos="3119"/>
          <w:tab w:val="left" w:pos="3686"/>
        </w:tabs>
        <w:spacing w:after="0"/>
        <w:jc w:val="center"/>
        <w:rPr>
          <w:sz w:val="20"/>
          <w:lang w:val="de-DE"/>
        </w:rPr>
      </w:pPr>
    </w:p>
    <w:p w:rsidR="00FF20BF" w:rsidRPr="00853BD3" w:rsidRDefault="006177D0" w:rsidP="006177D0">
      <w:pPr>
        <w:tabs>
          <w:tab w:val="left" w:pos="1418"/>
          <w:tab w:val="left" w:pos="1985"/>
          <w:tab w:val="left" w:pos="2552"/>
          <w:tab w:val="left" w:pos="3119"/>
          <w:tab w:val="left" w:pos="3686"/>
        </w:tabs>
        <w:spacing w:after="0"/>
        <w:jc w:val="center"/>
        <w:rPr>
          <w:sz w:val="20"/>
          <w:lang w:val="de-DE"/>
        </w:rPr>
      </w:pPr>
      <w:r w:rsidRPr="00853BD3">
        <w:rPr>
          <w:sz w:val="20"/>
          <w:lang w:val="de-DE"/>
        </w:rPr>
        <w:t>***</w:t>
      </w:r>
    </w:p>
    <w:sectPr w:rsidR="00FF20BF" w:rsidRPr="00853BD3" w:rsidSect="001F13D4">
      <w:footerReference w:type="first" r:id="rId13"/>
      <w:endnotePr>
        <w:numFmt w:val="decimal"/>
      </w:endnotePr>
      <w:pgSz w:w="16840" w:h="11907" w:orient="landscape"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24C" w:rsidRDefault="0060224C">
      <w:pPr>
        <w:pStyle w:val="Footer"/>
      </w:pPr>
    </w:p>
  </w:endnote>
  <w:endnote w:type="continuationSeparator" w:id="0">
    <w:p w:rsidR="0060224C" w:rsidRDefault="0060224C">
      <w:pPr>
        <w:spacing w:after="0"/>
      </w:pPr>
    </w:p>
  </w:endnote>
  <w:endnote w:type="continuationNotice" w:id="1">
    <w:p w:rsidR="0060224C" w:rsidRDefault="006022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5E" w:rsidRPr="000A4580" w:rsidRDefault="0029285E" w:rsidP="004554A5">
    <w:pPr>
      <w:tabs>
        <w:tab w:val="center" w:pos="4536"/>
        <w:tab w:val="left" w:pos="7177"/>
        <w:tab w:val="right" w:pos="9070"/>
      </w:tabs>
      <w:spacing w:after="0"/>
      <w:jc w:val="right"/>
      <w:rPr>
        <w:szCs w:val="24"/>
        <w:lang w:val="en-US" w:eastAsia="de-DE"/>
      </w:rPr>
    </w:pPr>
    <w:r w:rsidRPr="000A4580">
      <w:rPr>
        <w:rFonts w:ascii="Arial" w:hAnsi="Arial"/>
        <w:noProof/>
        <w:sz w:val="12"/>
        <w:szCs w:val="24"/>
        <w:lang w:val="en-US" w:eastAsia="fr-FR"/>
      </w:rPr>
      <w:t>mm/adn_wp15_ac2_201</w:t>
    </w:r>
    <w:r w:rsidR="00C80965">
      <w:rPr>
        <w:rFonts w:ascii="Arial" w:hAnsi="Arial"/>
        <w:noProof/>
        <w:sz w:val="12"/>
        <w:szCs w:val="24"/>
        <w:lang w:val="en-US" w:eastAsia="fr-FR"/>
      </w:rPr>
      <w:t>6</w:t>
    </w:r>
    <w:r w:rsidRPr="000A4580">
      <w:rPr>
        <w:rFonts w:ascii="Arial" w:hAnsi="Arial"/>
        <w:noProof/>
        <w:sz w:val="12"/>
        <w:szCs w:val="24"/>
        <w:lang w:val="en-US" w:eastAsia="fr-FR"/>
      </w:rPr>
      <w:t>_</w:t>
    </w:r>
    <w:r w:rsidR="00663CC9">
      <w:rPr>
        <w:rFonts w:ascii="Arial" w:hAnsi="Arial"/>
        <w:noProof/>
        <w:sz w:val="12"/>
        <w:szCs w:val="24"/>
        <w:lang w:val="en-US" w:eastAsia="fr-FR"/>
      </w:rPr>
      <w:t>41</w:t>
    </w:r>
    <w:r w:rsidRPr="000A4580">
      <w:rPr>
        <w:rFonts w:ascii="Arial" w:hAnsi="Arial"/>
        <w:noProof/>
        <w:sz w:val="12"/>
        <w:szCs w:val="24"/>
        <w:lang w:val="en-US"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5E" w:rsidRPr="000A4580" w:rsidRDefault="0029285E" w:rsidP="000A4580">
    <w:pPr>
      <w:tabs>
        <w:tab w:val="center" w:pos="4536"/>
        <w:tab w:val="left" w:pos="7177"/>
        <w:tab w:val="right" w:pos="9070"/>
      </w:tabs>
      <w:spacing w:after="0"/>
      <w:jc w:val="right"/>
      <w:rPr>
        <w:szCs w:val="24"/>
        <w:lang w:val="en-US" w:eastAsia="de-DE"/>
      </w:rPr>
    </w:pPr>
    <w:r w:rsidRPr="000A4580">
      <w:rPr>
        <w:rFonts w:ascii="Arial" w:hAnsi="Arial"/>
        <w:noProof/>
        <w:sz w:val="12"/>
        <w:szCs w:val="24"/>
        <w:lang w:val="en-US" w:eastAsia="fr-FR"/>
      </w:rPr>
      <w:t>mm/adn_wp15_ac2_201</w:t>
    </w:r>
    <w:r w:rsidR="001A6E17">
      <w:rPr>
        <w:rFonts w:ascii="Arial" w:hAnsi="Arial"/>
        <w:noProof/>
        <w:sz w:val="12"/>
        <w:szCs w:val="24"/>
        <w:lang w:val="en-US" w:eastAsia="fr-FR"/>
      </w:rPr>
      <w:t>6</w:t>
    </w:r>
    <w:r w:rsidRPr="000A4580">
      <w:rPr>
        <w:rFonts w:ascii="Arial" w:hAnsi="Arial"/>
        <w:noProof/>
        <w:sz w:val="12"/>
        <w:szCs w:val="24"/>
        <w:lang w:val="en-US" w:eastAsia="fr-FR"/>
      </w:rPr>
      <w:t>_</w:t>
    </w:r>
    <w:r w:rsidR="00663CC9">
      <w:rPr>
        <w:rFonts w:ascii="Arial" w:hAnsi="Arial"/>
        <w:noProof/>
        <w:sz w:val="12"/>
        <w:szCs w:val="24"/>
        <w:lang w:val="en-US" w:eastAsia="fr-FR"/>
      </w:rPr>
      <w:t>41</w:t>
    </w:r>
    <w:r w:rsidRPr="000A4580">
      <w:rPr>
        <w:rFonts w:ascii="Arial" w:hAnsi="Arial"/>
        <w:noProof/>
        <w:sz w:val="12"/>
        <w:szCs w:val="24"/>
        <w:lang w:val="en-US" w:eastAsia="fr-FR"/>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A9" w:rsidRPr="000A4580" w:rsidRDefault="00367AA9" w:rsidP="00367AA9">
    <w:pPr>
      <w:tabs>
        <w:tab w:val="center" w:pos="4536"/>
        <w:tab w:val="left" w:pos="7177"/>
        <w:tab w:val="right" w:pos="9070"/>
      </w:tabs>
      <w:spacing w:after="0"/>
      <w:jc w:val="right"/>
      <w:rPr>
        <w:szCs w:val="24"/>
        <w:lang w:val="en-US" w:eastAsia="de-DE"/>
      </w:rPr>
    </w:pPr>
    <w:r w:rsidRPr="000A4580">
      <w:rPr>
        <w:rFonts w:ascii="Arial" w:hAnsi="Arial"/>
        <w:noProof/>
        <w:sz w:val="12"/>
        <w:szCs w:val="24"/>
        <w:lang w:val="en-US" w:eastAsia="fr-FR"/>
      </w:rPr>
      <w:t>mm/adn_wp15_ac2_201</w:t>
    </w:r>
    <w:r>
      <w:rPr>
        <w:rFonts w:ascii="Arial" w:hAnsi="Arial"/>
        <w:noProof/>
        <w:sz w:val="12"/>
        <w:szCs w:val="24"/>
        <w:lang w:val="en-US" w:eastAsia="fr-FR"/>
      </w:rPr>
      <w:t>6</w:t>
    </w:r>
    <w:r w:rsidRPr="000A4580">
      <w:rPr>
        <w:rFonts w:ascii="Arial" w:hAnsi="Arial"/>
        <w:noProof/>
        <w:sz w:val="12"/>
        <w:szCs w:val="24"/>
        <w:lang w:val="en-US" w:eastAsia="fr-FR"/>
      </w:rPr>
      <w:t>_</w:t>
    </w:r>
    <w:r w:rsidR="00663CC9">
      <w:rPr>
        <w:rFonts w:ascii="Arial" w:hAnsi="Arial"/>
        <w:noProof/>
        <w:sz w:val="12"/>
        <w:szCs w:val="24"/>
        <w:lang w:val="en-US" w:eastAsia="fr-FR"/>
      </w:rPr>
      <w:t>41</w:t>
    </w:r>
    <w:r w:rsidRPr="000A4580">
      <w:rPr>
        <w:rFonts w:ascii="Arial" w:hAnsi="Arial"/>
        <w:noProof/>
        <w:sz w:val="12"/>
        <w:szCs w:val="24"/>
        <w:lang w:val="en-US"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24C" w:rsidRDefault="0060224C">
      <w:pPr>
        <w:spacing w:after="0"/>
      </w:pPr>
      <w:r>
        <w:separator/>
      </w:r>
    </w:p>
  </w:footnote>
  <w:footnote w:type="continuationSeparator" w:id="0">
    <w:p w:rsidR="0060224C" w:rsidRDefault="0060224C">
      <w:pPr>
        <w:spacing w:after="0"/>
        <w:rPr>
          <w:u w:val="single"/>
        </w:rPr>
      </w:pPr>
      <w:r>
        <w:rPr>
          <w:u w:val="single"/>
        </w:rPr>
        <w:tab/>
      </w:r>
      <w:r>
        <w:rPr>
          <w:u w:val="single"/>
        </w:rPr>
        <w:tab/>
      </w:r>
      <w:r>
        <w:rPr>
          <w:u w:val="single"/>
        </w:rPr>
        <w:tab/>
      </w:r>
      <w:r>
        <w:rPr>
          <w:u w:val="single"/>
        </w:rPr>
        <w:tab/>
      </w:r>
    </w:p>
  </w:footnote>
  <w:footnote w:type="continuationNotice" w:id="1">
    <w:p w:rsidR="0060224C" w:rsidRDefault="0060224C">
      <w:pPr>
        <w:spacing w:after="0"/>
      </w:pPr>
    </w:p>
  </w:footnote>
  <w:footnote w:id="2">
    <w:p w:rsidR="005B50F9" w:rsidRPr="006F296A" w:rsidRDefault="005B50F9" w:rsidP="00B766BA">
      <w:pPr>
        <w:pStyle w:val="FootnoteText"/>
        <w:tabs>
          <w:tab w:val="left" w:pos="284"/>
        </w:tabs>
        <w:spacing w:after="0"/>
        <w:ind w:left="284" w:hanging="284"/>
        <w:jc w:val="both"/>
        <w:rPr>
          <w:szCs w:val="24"/>
          <w:lang w:val="de-DE"/>
        </w:rPr>
      </w:pPr>
      <w:r w:rsidRPr="00B25753">
        <w:rPr>
          <w:rStyle w:val="FootnoteReference"/>
          <w:sz w:val="20"/>
        </w:rPr>
        <w:footnoteRef/>
      </w:r>
      <w:r w:rsidRPr="006F296A">
        <w:rPr>
          <w:szCs w:val="24"/>
          <w:lang w:val="de-DE"/>
        </w:rPr>
        <w:tab/>
      </w:r>
      <w:r w:rsidRPr="006F296A">
        <w:rPr>
          <w:noProof/>
          <w:sz w:val="16"/>
          <w:szCs w:val="24"/>
          <w:lang w:val="de-DE"/>
        </w:rPr>
        <w:t>Von der UN-ECE in Englisch, Französisch und Russisch unter dem Aktenzeichen ECE/TRANS/WP.15/AC.2/201</w:t>
      </w:r>
      <w:r w:rsidR="001A6E17">
        <w:rPr>
          <w:noProof/>
          <w:sz w:val="16"/>
          <w:szCs w:val="24"/>
          <w:lang w:val="de-DE"/>
        </w:rPr>
        <w:t>6</w:t>
      </w:r>
      <w:r w:rsidRPr="006F296A">
        <w:rPr>
          <w:noProof/>
          <w:sz w:val="16"/>
          <w:szCs w:val="24"/>
          <w:lang w:val="de-DE"/>
        </w:rPr>
        <w:t>/</w:t>
      </w:r>
      <w:r w:rsidR="00663CC9">
        <w:rPr>
          <w:noProof/>
          <w:sz w:val="16"/>
          <w:szCs w:val="24"/>
          <w:lang w:val="de-DE"/>
        </w:rPr>
        <w:t>41</w:t>
      </w:r>
      <w:r w:rsidRPr="006F296A">
        <w:rPr>
          <w:noProof/>
          <w:sz w:val="16"/>
          <w:szCs w:val="24"/>
          <w:lang w:val="de-DE"/>
        </w:rPr>
        <w:t xml:space="preserve"> verteilt.</w:t>
      </w:r>
    </w:p>
  </w:footnote>
  <w:footnote w:id="3">
    <w:p w:rsidR="00B766BA" w:rsidRPr="00447333" w:rsidRDefault="00B766BA" w:rsidP="00B766BA">
      <w:pPr>
        <w:pStyle w:val="FootnoteText"/>
        <w:tabs>
          <w:tab w:val="left" w:pos="284"/>
        </w:tabs>
        <w:ind w:left="284" w:hanging="284"/>
        <w:rPr>
          <w:sz w:val="16"/>
          <w:szCs w:val="16"/>
          <w:lang w:val="de-DE"/>
        </w:rPr>
      </w:pPr>
      <w:r w:rsidRPr="00AD34AF">
        <w:rPr>
          <w:rStyle w:val="FootnoteReference"/>
          <w:sz w:val="16"/>
          <w:szCs w:val="16"/>
        </w:rPr>
        <w:footnoteRef/>
      </w:r>
      <w:r w:rsidRPr="00AD34AF">
        <w:rPr>
          <w:sz w:val="16"/>
          <w:szCs w:val="16"/>
          <w:lang w:val="de-DE"/>
        </w:rPr>
        <w:t xml:space="preserve"> </w:t>
      </w:r>
      <w:r>
        <w:rPr>
          <w:lang w:val="de-DE"/>
        </w:rPr>
        <w:tab/>
      </w:r>
      <w:r w:rsidRPr="00447333">
        <w:rPr>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5E" w:rsidRPr="00805FA0" w:rsidRDefault="0029285E" w:rsidP="00853BD3">
    <w:pPr>
      <w:pStyle w:val="Header"/>
      <w:spacing w:after="0"/>
      <w:rPr>
        <w:rFonts w:ascii="Arial" w:hAnsi="Arial" w:cs="Arial"/>
        <w:sz w:val="16"/>
        <w:szCs w:val="16"/>
        <w:lang w:val="en-US"/>
      </w:rPr>
    </w:pPr>
    <w:r w:rsidRPr="00805FA0">
      <w:rPr>
        <w:rFonts w:ascii="Arial" w:hAnsi="Arial" w:cs="Arial"/>
        <w:sz w:val="16"/>
        <w:szCs w:val="16"/>
        <w:lang w:val="en-US"/>
      </w:rPr>
      <w:t>CCNR-ZKR/ADN/WP.15/AC.2/201</w:t>
    </w:r>
    <w:r w:rsidR="001A6E17">
      <w:rPr>
        <w:rFonts w:ascii="Arial" w:hAnsi="Arial" w:cs="Arial"/>
        <w:sz w:val="16"/>
        <w:szCs w:val="16"/>
        <w:lang w:val="en-US"/>
      </w:rPr>
      <w:t>6</w:t>
    </w:r>
    <w:r w:rsidRPr="00805FA0">
      <w:rPr>
        <w:rFonts w:ascii="Arial" w:hAnsi="Arial" w:cs="Arial"/>
        <w:sz w:val="16"/>
        <w:szCs w:val="16"/>
        <w:lang w:val="en-US"/>
      </w:rPr>
      <w:t>/</w:t>
    </w:r>
    <w:r w:rsidR="00663CC9">
      <w:rPr>
        <w:rFonts w:ascii="Arial" w:hAnsi="Arial" w:cs="Arial"/>
        <w:sz w:val="16"/>
        <w:szCs w:val="16"/>
        <w:lang w:val="en-US"/>
      </w:rPr>
      <w:t>41</w:t>
    </w:r>
  </w:p>
  <w:p w:rsidR="0029285E" w:rsidRPr="00226EA3" w:rsidRDefault="0029285E" w:rsidP="00F20225">
    <w:pPr>
      <w:pStyle w:val="Header"/>
      <w:spacing w:after="0"/>
      <w:rPr>
        <w:rFonts w:ascii="Arial" w:hAnsi="Arial" w:cs="Arial"/>
        <w:sz w:val="16"/>
        <w:szCs w:val="16"/>
      </w:rPr>
    </w:pPr>
    <w:r>
      <w:rPr>
        <w:rFonts w:ascii="Arial" w:hAnsi="Arial" w:cs="Arial"/>
        <w:sz w:val="16"/>
        <w:szCs w:val="16"/>
      </w:rPr>
      <w:t>Seite</w:t>
    </w:r>
    <w:r w:rsidRPr="00226EA3">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B21642">
      <w:rPr>
        <w:rFonts w:ascii="Arial" w:hAnsi="Arial" w:cs="Arial"/>
        <w:noProof/>
        <w:sz w:val="16"/>
        <w:szCs w:val="16"/>
      </w:rPr>
      <w:t>2</w:t>
    </w:r>
    <w:r w:rsidRPr="00226EA3">
      <w:rPr>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17" w:rsidRPr="00805FA0" w:rsidRDefault="001A6E17" w:rsidP="001A6E17">
    <w:pPr>
      <w:pStyle w:val="Header"/>
      <w:spacing w:after="0"/>
      <w:jc w:val="right"/>
      <w:rPr>
        <w:rFonts w:ascii="Arial" w:hAnsi="Arial" w:cs="Arial"/>
        <w:sz w:val="16"/>
        <w:szCs w:val="16"/>
        <w:lang w:val="en-US"/>
      </w:rPr>
    </w:pPr>
    <w:r w:rsidRPr="00805FA0">
      <w:rPr>
        <w:rFonts w:ascii="Arial" w:hAnsi="Arial" w:cs="Arial"/>
        <w:sz w:val="16"/>
        <w:szCs w:val="16"/>
        <w:lang w:val="en-US"/>
      </w:rPr>
      <w:t>CCNR-ZKR/ADN/WP.15/AC.2/201</w:t>
    </w:r>
    <w:r>
      <w:rPr>
        <w:rFonts w:ascii="Arial" w:hAnsi="Arial" w:cs="Arial"/>
        <w:sz w:val="16"/>
        <w:szCs w:val="16"/>
        <w:lang w:val="en-US"/>
      </w:rPr>
      <w:t>6</w:t>
    </w:r>
    <w:r w:rsidRPr="00805FA0">
      <w:rPr>
        <w:rFonts w:ascii="Arial" w:hAnsi="Arial" w:cs="Arial"/>
        <w:sz w:val="16"/>
        <w:szCs w:val="16"/>
        <w:lang w:val="en-US"/>
      </w:rPr>
      <w:t>/</w:t>
    </w:r>
    <w:r w:rsidR="00663CC9">
      <w:rPr>
        <w:rFonts w:ascii="Arial" w:hAnsi="Arial" w:cs="Arial"/>
        <w:sz w:val="16"/>
        <w:szCs w:val="16"/>
        <w:lang w:val="en-US"/>
      </w:rPr>
      <w:t>41</w:t>
    </w:r>
  </w:p>
  <w:p w:rsidR="001A6E17" w:rsidRDefault="001A6E17" w:rsidP="001A6E17">
    <w:pPr>
      <w:pStyle w:val="Header"/>
      <w:jc w:val="right"/>
    </w:pPr>
    <w:r>
      <w:rPr>
        <w:rFonts w:ascii="Arial" w:hAnsi="Arial" w:cs="Arial"/>
        <w:sz w:val="16"/>
        <w:szCs w:val="16"/>
      </w:rPr>
      <w:t>Seite</w:t>
    </w:r>
    <w:r w:rsidRPr="00226EA3">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B21642">
      <w:rPr>
        <w:rFonts w:ascii="Arial" w:hAnsi="Arial" w:cs="Arial"/>
        <w:noProof/>
        <w:sz w:val="16"/>
        <w:szCs w:val="16"/>
      </w:rPr>
      <w:t>3</w:t>
    </w:r>
    <w:r w:rsidRPr="00226EA3">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421B4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727330"/>
    <w:multiLevelType w:val="multilevel"/>
    <w:tmpl w:val="1A7436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6456D9"/>
    <w:multiLevelType w:val="hybridMultilevel"/>
    <w:tmpl w:val="B1128A9E"/>
    <w:lvl w:ilvl="0" w:tplc="A4E8E9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0C457817"/>
    <w:multiLevelType w:val="hybridMultilevel"/>
    <w:tmpl w:val="76D8A708"/>
    <w:lvl w:ilvl="0" w:tplc="1316A59A">
      <w:start w:val="1"/>
      <w:numFmt w:val="decimal"/>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0FB0797B"/>
    <w:multiLevelType w:val="hybridMultilevel"/>
    <w:tmpl w:val="F7C4C088"/>
    <w:lvl w:ilvl="0" w:tplc="A7029C84">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8"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0"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A7512A3"/>
    <w:multiLevelType w:val="hybridMultilevel"/>
    <w:tmpl w:val="2E12B66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4"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59B286B"/>
    <w:multiLevelType w:val="hybridMultilevel"/>
    <w:tmpl w:val="AEEE90B6"/>
    <w:lvl w:ilvl="0" w:tplc="760635E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650F83"/>
    <w:multiLevelType w:val="hybridMultilevel"/>
    <w:tmpl w:val="5CB89710"/>
    <w:lvl w:ilvl="0" w:tplc="B3B484A6">
      <w:start w:val="2"/>
      <w:numFmt w:val="bullet"/>
      <w:lvlText w:val="-"/>
      <w:lvlJc w:val="left"/>
      <w:pPr>
        <w:ind w:left="1494" w:hanging="360"/>
      </w:pPr>
      <w:rPr>
        <w:rFonts w:ascii="Times New Roman" w:eastAsia="Times New Roman" w:hAnsi="Times New Roman" w:cs="Times New Roman" w:hint="default"/>
        <w:sz w:val="2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8"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F916DE8"/>
    <w:multiLevelType w:val="hybridMultilevel"/>
    <w:tmpl w:val="BC580066"/>
    <w:lvl w:ilvl="0" w:tplc="E7BA9182">
      <w:start w:val="1"/>
      <w:numFmt w:val="lowerLetter"/>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20"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3663371"/>
    <w:multiLevelType w:val="multilevel"/>
    <w:tmpl w:val="040C001D"/>
    <w:numStyleLink w:val="1ai"/>
  </w:abstractNum>
  <w:abstractNum w:abstractNumId="22" w15:restartNumberingAfterBreak="0">
    <w:nsid w:val="67667352"/>
    <w:multiLevelType w:val="hybridMultilevel"/>
    <w:tmpl w:val="9B303026"/>
    <w:lvl w:ilvl="0" w:tplc="8F10C1E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3" w15:restartNumberingAfterBreak="0">
    <w:nsid w:val="6E69714E"/>
    <w:multiLevelType w:val="hybridMultilevel"/>
    <w:tmpl w:val="F568547E"/>
    <w:lvl w:ilvl="0" w:tplc="A5647188">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4"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8"/>
  </w:num>
  <w:num w:numId="2">
    <w:abstractNumId w:val="13"/>
  </w:num>
  <w:num w:numId="3">
    <w:abstractNumId w:val="8"/>
  </w:num>
  <w:num w:numId="4">
    <w:abstractNumId w:val="14"/>
  </w:num>
  <w:num w:numId="5">
    <w:abstractNumId w:val="0"/>
  </w:num>
  <w:num w:numId="6">
    <w:abstractNumId w:val="25"/>
  </w:num>
  <w:num w:numId="7">
    <w:abstractNumId w:val="20"/>
  </w:num>
  <w:num w:numId="8">
    <w:abstractNumId w:val="9"/>
  </w:num>
  <w:num w:numId="9">
    <w:abstractNumId w:val="10"/>
  </w:num>
  <w:num w:numId="10">
    <w:abstractNumId w:val="11"/>
  </w:num>
  <w:num w:numId="11">
    <w:abstractNumId w:val="15"/>
  </w:num>
  <w:num w:numId="12">
    <w:abstractNumId w:val="24"/>
  </w:num>
  <w:num w:numId="13">
    <w:abstractNumId w:val="1"/>
  </w:num>
  <w:num w:numId="14">
    <w:abstractNumId w:val="16"/>
  </w:num>
  <w:num w:numId="15">
    <w:abstractNumId w:val="21"/>
  </w:num>
  <w:num w:numId="16">
    <w:abstractNumId w:val="5"/>
  </w:num>
  <w:num w:numId="17">
    <w:abstractNumId w:val="12"/>
  </w:num>
  <w:num w:numId="18">
    <w:abstractNumId w:val="6"/>
  </w:num>
  <w:num w:numId="19">
    <w:abstractNumId w:val="3"/>
  </w:num>
  <w:num w:numId="20">
    <w:abstractNumId w:val="2"/>
  </w:num>
  <w:num w:numId="21">
    <w:abstractNumId w:val="22"/>
  </w:num>
  <w:num w:numId="22">
    <w:abstractNumId w:val="19"/>
  </w:num>
  <w:num w:numId="23">
    <w:abstractNumId w:val="17"/>
  </w:num>
  <w:num w:numId="24">
    <w:abstractNumId w:val="7"/>
  </w:num>
  <w:num w:numId="25">
    <w:abstractNumId w:val="23"/>
  </w:num>
  <w:num w:numId="2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22"/>
    <w:rsid w:val="00001E90"/>
    <w:rsid w:val="0000299C"/>
    <w:rsid w:val="00014411"/>
    <w:rsid w:val="00015247"/>
    <w:rsid w:val="000217BA"/>
    <w:rsid w:val="00023C38"/>
    <w:rsid w:val="000328A4"/>
    <w:rsid w:val="0004300F"/>
    <w:rsid w:val="00043DCD"/>
    <w:rsid w:val="000442E2"/>
    <w:rsid w:val="00044BFC"/>
    <w:rsid w:val="000500BF"/>
    <w:rsid w:val="000516AA"/>
    <w:rsid w:val="0005197F"/>
    <w:rsid w:val="00054082"/>
    <w:rsid w:val="00054A90"/>
    <w:rsid w:val="000558EB"/>
    <w:rsid w:val="00061AD3"/>
    <w:rsid w:val="000667CE"/>
    <w:rsid w:val="00070E56"/>
    <w:rsid w:val="00077F19"/>
    <w:rsid w:val="00093086"/>
    <w:rsid w:val="000A1F33"/>
    <w:rsid w:val="000A4580"/>
    <w:rsid w:val="000B1CC3"/>
    <w:rsid w:val="000B1DCB"/>
    <w:rsid w:val="000B25D0"/>
    <w:rsid w:val="000B2C67"/>
    <w:rsid w:val="000B2FCE"/>
    <w:rsid w:val="000B360C"/>
    <w:rsid w:val="000B3F5E"/>
    <w:rsid w:val="000C100E"/>
    <w:rsid w:val="000C120B"/>
    <w:rsid w:val="000C3D08"/>
    <w:rsid w:val="000C3F0A"/>
    <w:rsid w:val="000C618B"/>
    <w:rsid w:val="000C63F9"/>
    <w:rsid w:val="000D561F"/>
    <w:rsid w:val="000E06E4"/>
    <w:rsid w:val="000E09F2"/>
    <w:rsid w:val="000E5406"/>
    <w:rsid w:val="000F2999"/>
    <w:rsid w:val="000F3755"/>
    <w:rsid w:val="000F3B3B"/>
    <w:rsid w:val="000F574C"/>
    <w:rsid w:val="00101181"/>
    <w:rsid w:val="00103619"/>
    <w:rsid w:val="00106C1B"/>
    <w:rsid w:val="00114717"/>
    <w:rsid w:val="00114C05"/>
    <w:rsid w:val="001162B6"/>
    <w:rsid w:val="001168E3"/>
    <w:rsid w:val="0012049D"/>
    <w:rsid w:val="00122163"/>
    <w:rsid w:val="0012596F"/>
    <w:rsid w:val="001309F5"/>
    <w:rsid w:val="00131898"/>
    <w:rsid w:val="00137616"/>
    <w:rsid w:val="00141BE2"/>
    <w:rsid w:val="00143FA2"/>
    <w:rsid w:val="0014423E"/>
    <w:rsid w:val="00151E1A"/>
    <w:rsid w:val="0015581D"/>
    <w:rsid w:val="00157422"/>
    <w:rsid w:val="00160FD5"/>
    <w:rsid w:val="0016201E"/>
    <w:rsid w:val="00163706"/>
    <w:rsid w:val="00164C45"/>
    <w:rsid w:val="001675D0"/>
    <w:rsid w:val="00172BDF"/>
    <w:rsid w:val="001770A9"/>
    <w:rsid w:val="001811D0"/>
    <w:rsid w:val="001817AF"/>
    <w:rsid w:val="001853A3"/>
    <w:rsid w:val="00186BF8"/>
    <w:rsid w:val="00186CCD"/>
    <w:rsid w:val="00192271"/>
    <w:rsid w:val="00192DC1"/>
    <w:rsid w:val="001A04FA"/>
    <w:rsid w:val="001A6E17"/>
    <w:rsid w:val="001A6F70"/>
    <w:rsid w:val="001A705C"/>
    <w:rsid w:val="001B387B"/>
    <w:rsid w:val="001B731A"/>
    <w:rsid w:val="001C024F"/>
    <w:rsid w:val="001C6029"/>
    <w:rsid w:val="001D2866"/>
    <w:rsid w:val="001D33BE"/>
    <w:rsid w:val="001E50C6"/>
    <w:rsid w:val="001E65B5"/>
    <w:rsid w:val="001F09CC"/>
    <w:rsid w:val="001F1079"/>
    <w:rsid w:val="001F13D4"/>
    <w:rsid w:val="001F1F05"/>
    <w:rsid w:val="001F42B0"/>
    <w:rsid w:val="001F4523"/>
    <w:rsid w:val="001F52BC"/>
    <w:rsid w:val="001F7C9F"/>
    <w:rsid w:val="002009F7"/>
    <w:rsid w:val="00201C24"/>
    <w:rsid w:val="002021FE"/>
    <w:rsid w:val="00205FC7"/>
    <w:rsid w:val="00211CEC"/>
    <w:rsid w:val="00211D4E"/>
    <w:rsid w:val="002217E3"/>
    <w:rsid w:val="00223092"/>
    <w:rsid w:val="00223B06"/>
    <w:rsid w:val="00226EA3"/>
    <w:rsid w:val="00230BAD"/>
    <w:rsid w:val="00232B5A"/>
    <w:rsid w:val="00245CD7"/>
    <w:rsid w:val="002471F5"/>
    <w:rsid w:val="00252C35"/>
    <w:rsid w:val="00253F77"/>
    <w:rsid w:val="00256038"/>
    <w:rsid w:val="00256D16"/>
    <w:rsid w:val="002613AC"/>
    <w:rsid w:val="0026451D"/>
    <w:rsid w:val="00277944"/>
    <w:rsid w:val="0028124B"/>
    <w:rsid w:val="002850A9"/>
    <w:rsid w:val="002861A4"/>
    <w:rsid w:val="002925CC"/>
    <w:rsid w:val="0029285E"/>
    <w:rsid w:val="00292F26"/>
    <w:rsid w:val="00293A26"/>
    <w:rsid w:val="00294E58"/>
    <w:rsid w:val="002953F1"/>
    <w:rsid w:val="002A00FC"/>
    <w:rsid w:val="002A26E5"/>
    <w:rsid w:val="002A5AC5"/>
    <w:rsid w:val="002B1104"/>
    <w:rsid w:val="002B22DA"/>
    <w:rsid w:val="002B5575"/>
    <w:rsid w:val="002C34CD"/>
    <w:rsid w:val="002C7555"/>
    <w:rsid w:val="002D007A"/>
    <w:rsid w:val="002D43AB"/>
    <w:rsid w:val="002D48DF"/>
    <w:rsid w:val="002E1922"/>
    <w:rsid w:val="002E274C"/>
    <w:rsid w:val="002E4E6B"/>
    <w:rsid w:val="002E5219"/>
    <w:rsid w:val="002E62E4"/>
    <w:rsid w:val="002E779A"/>
    <w:rsid w:val="002F2DBA"/>
    <w:rsid w:val="002F46DA"/>
    <w:rsid w:val="00301EB1"/>
    <w:rsid w:val="00302200"/>
    <w:rsid w:val="00303A9C"/>
    <w:rsid w:val="00303F98"/>
    <w:rsid w:val="003119F2"/>
    <w:rsid w:val="00311C72"/>
    <w:rsid w:val="0031257D"/>
    <w:rsid w:val="00315C33"/>
    <w:rsid w:val="0031701F"/>
    <w:rsid w:val="00321463"/>
    <w:rsid w:val="00321655"/>
    <w:rsid w:val="003241E3"/>
    <w:rsid w:val="00325611"/>
    <w:rsid w:val="00332EBE"/>
    <w:rsid w:val="003330A3"/>
    <w:rsid w:val="00333424"/>
    <w:rsid w:val="003371B3"/>
    <w:rsid w:val="0034481F"/>
    <w:rsid w:val="0035078B"/>
    <w:rsid w:val="00350F80"/>
    <w:rsid w:val="00357395"/>
    <w:rsid w:val="00357FB2"/>
    <w:rsid w:val="00363991"/>
    <w:rsid w:val="0036658D"/>
    <w:rsid w:val="00367AA9"/>
    <w:rsid w:val="003775F5"/>
    <w:rsid w:val="00380212"/>
    <w:rsid w:val="00381EBE"/>
    <w:rsid w:val="00385969"/>
    <w:rsid w:val="00385C45"/>
    <w:rsid w:val="00387E5C"/>
    <w:rsid w:val="003927D1"/>
    <w:rsid w:val="00396812"/>
    <w:rsid w:val="00396BD5"/>
    <w:rsid w:val="00396E3E"/>
    <w:rsid w:val="003A103A"/>
    <w:rsid w:val="003A2C42"/>
    <w:rsid w:val="003A410E"/>
    <w:rsid w:val="003A4137"/>
    <w:rsid w:val="003A5CB0"/>
    <w:rsid w:val="003A6B3B"/>
    <w:rsid w:val="003B2756"/>
    <w:rsid w:val="003B2AD6"/>
    <w:rsid w:val="003B66A3"/>
    <w:rsid w:val="003C1B4B"/>
    <w:rsid w:val="003C242B"/>
    <w:rsid w:val="003C2B9A"/>
    <w:rsid w:val="003D3310"/>
    <w:rsid w:val="003D3C1B"/>
    <w:rsid w:val="003D55E0"/>
    <w:rsid w:val="003D605F"/>
    <w:rsid w:val="003D6093"/>
    <w:rsid w:val="003E200E"/>
    <w:rsid w:val="003E2A6D"/>
    <w:rsid w:val="003E3EF1"/>
    <w:rsid w:val="003E45A3"/>
    <w:rsid w:val="003F1078"/>
    <w:rsid w:val="003F3660"/>
    <w:rsid w:val="003F42D3"/>
    <w:rsid w:val="00400C64"/>
    <w:rsid w:val="00401556"/>
    <w:rsid w:val="004029F9"/>
    <w:rsid w:val="004047B2"/>
    <w:rsid w:val="00404F0D"/>
    <w:rsid w:val="00413D2B"/>
    <w:rsid w:val="004143AE"/>
    <w:rsid w:val="0041550B"/>
    <w:rsid w:val="0041778F"/>
    <w:rsid w:val="00422BE9"/>
    <w:rsid w:val="00423E82"/>
    <w:rsid w:val="00424CC3"/>
    <w:rsid w:val="00425585"/>
    <w:rsid w:val="0042684E"/>
    <w:rsid w:val="004320DB"/>
    <w:rsid w:val="00442372"/>
    <w:rsid w:val="00444CFD"/>
    <w:rsid w:val="004554A5"/>
    <w:rsid w:val="0045718A"/>
    <w:rsid w:val="004669B8"/>
    <w:rsid w:val="00467EB8"/>
    <w:rsid w:val="00470EAF"/>
    <w:rsid w:val="00473011"/>
    <w:rsid w:val="00474E24"/>
    <w:rsid w:val="0048327E"/>
    <w:rsid w:val="00484775"/>
    <w:rsid w:val="004867AC"/>
    <w:rsid w:val="0048680A"/>
    <w:rsid w:val="00487574"/>
    <w:rsid w:val="00491BBA"/>
    <w:rsid w:val="00497080"/>
    <w:rsid w:val="004A62A6"/>
    <w:rsid w:val="004A70B5"/>
    <w:rsid w:val="004A712F"/>
    <w:rsid w:val="004B0AC6"/>
    <w:rsid w:val="004B71E1"/>
    <w:rsid w:val="004C1A89"/>
    <w:rsid w:val="004C499D"/>
    <w:rsid w:val="004C6E8E"/>
    <w:rsid w:val="004C7D3E"/>
    <w:rsid w:val="004C7D6F"/>
    <w:rsid w:val="004D290A"/>
    <w:rsid w:val="004E0A12"/>
    <w:rsid w:val="004E1CB7"/>
    <w:rsid w:val="004E32AA"/>
    <w:rsid w:val="004E39CD"/>
    <w:rsid w:val="004E5AE9"/>
    <w:rsid w:val="004E66A8"/>
    <w:rsid w:val="004F17AC"/>
    <w:rsid w:val="004F669F"/>
    <w:rsid w:val="00504561"/>
    <w:rsid w:val="00510DAE"/>
    <w:rsid w:val="00520195"/>
    <w:rsid w:val="005241F0"/>
    <w:rsid w:val="00525173"/>
    <w:rsid w:val="00526388"/>
    <w:rsid w:val="005275C4"/>
    <w:rsid w:val="00530A8E"/>
    <w:rsid w:val="00532AC5"/>
    <w:rsid w:val="00532AFB"/>
    <w:rsid w:val="00532CD7"/>
    <w:rsid w:val="00534113"/>
    <w:rsid w:val="00534523"/>
    <w:rsid w:val="00535D55"/>
    <w:rsid w:val="00550ADC"/>
    <w:rsid w:val="00550D9B"/>
    <w:rsid w:val="005525CA"/>
    <w:rsid w:val="00552F76"/>
    <w:rsid w:val="00553406"/>
    <w:rsid w:val="00556D9C"/>
    <w:rsid w:val="00557DAC"/>
    <w:rsid w:val="00560E53"/>
    <w:rsid w:val="005612A0"/>
    <w:rsid w:val="00562BC7"/>
    <w:rsid w:val="0056334B"/>
    <w:rsid w:val="005664DA"/>
    <w:rsid w:val="00571CD2"/>
    <w:rsid w:val="00574037"/>
    <w:rsid w:val="00574F1F"/>
    <w:rsid w:val="00576A92"/>
    <w:rsid w:val="00580650"/>
    <w:rsid w:val="0058091D"/>
    <w:rsid w:val="00584873"/>
    <w:rsid w:val="00591CEB"/>
    <w:rsid w:val="00593BD5"/>
    <w:rsid w:val="005948EF"/>
    <w:rsid w:val="005962CC"/>
    <w:rsid w:val="00597B92"/>
    <w:rsid w:val="005A02C4"/>
    <w:rsid w:val="005A1286"/>
    <w:rsid w:val="005A5A3E"/>
    <w:rsid w:val="005A7E96"/>
    <w:rsid w:val="005B31A6"/>
    <w:rsid w:val="005B4D67"/>
    <w:rsid w:val="005B50F9"/>
    <w:rsid w:val="005B7895"/>
    <w:rsid w:val="005C042B"/>
    <w:rsid w:val="005C16F4"/>
    <w:rsid w:val="005C4896"/>
    <w:rsid w:val="005C742B"/>
    <w:rsid w:val="005D10B8"/>
    <w:rsid w:val="005D1B6E"/>
    <w:rsid w:val="005D3544"/>
    <w:rsid w:val="005D5010"/>
    <w:rsid w:val="005E0960"/>
    <w:rsid w:val="005E09D8"/>
    <w:rsid w:val="005E4558"/>
    <w:rsid w:val="005F5A66"/>
    <w:rsid w:val="005F6C6E"/>
    <w:rsid w:val="006010D9"/>
    <w:rsid w:val="0060224C"/>
    <w:rsid w:val="006068D6"/>
    <w:rsid w:val="006071ED"/>
    <w:rsid w:val="00607392"/>
    <w:rsid w:val="00607C04"/>
    <w:rsid w:val="00611305"/>
    <w:rsid w:val="0061282B"/>
    <w:rsid w:val="00615BE1"/>
    <w:rsid w:val="00616DFD"/>
    <w:rsid w:val="006177D0"/>
    <w:rsid w:val="00622416"/>
    <w:rsid w:val="00622B7E"/>
    <w:rsid w:val="006254A7"/>
    <w:rsid w:val="00632B6A"/>
    <w:rsid w:val="0063521C"/>
    <w:rsid w:val="00636D08"/>
    <w:rsid w:val="00642FC8"/>
    <w:rsid w:val="0064454F"/>
    <w:rsid w:val="0064737B"/>
    <w:rsid w:val="00647AEE"/>
    <w:rsid w:val="006505F6"/>
    <w:rsid w:val="006550C1"/>
    <w:rsid w:val="0065740E"/>
    <w:rsid w:val="00662D1A"/>
    <w:rsid w:val="00663CC9"/>
    <w:rsid w:val="00670009"/>
    <w:rsid w:val="006710C1"/>
    <w:rsid w:val="00673E42"/>
    <w:rsid w:val="0068283F"/>
    <w:rsid w:val="006853EE"/>
    <w:rsid w:val="00690BDD"/>
    <w:rsid w:val="00695570"/>
    <w:rsid w:val="006A2D07"/>
    <w:rsid w:val="006A37D9"/>
    <w:rsid w:val="006A583B"/>
    <w:rsid w:val="006A64FE"/>
    <w:rsid w:val="006A7803"/>
    <w:rsid w:val="006B409D"/>
    <w:rsid w:val="006B5828"/>
    <w:rsid w:val="006D1C95"/>
    <w:rsid w:val="006D1D2A"/>
    <w:rsid w:val="006D6CC3"/>
    <w:rsid w:val="006E0282"/>
    <w:rsid w:val="006E1D8C"/>
    <w:rsid w:val="006E1DEF"/>
    <w:rsid w:val="006E21E7"/>
    <w:rsid w:val="006E2B98"/>
    <w:rsid w:val="006E4FB2"/>
    <w:rsid w:val="006E6D0B"/>
    <w:rsid w:val="006F12ED"/>
    <w:rsid w:val="006F7B0D"/>
    <w:rsid w:val="00701356"/>
    <w:rsid w:val="00706F92"/>
    <w:rsid w:val="00707151"/>
    <w:rsid w:val="00714E16"/>
    <w:rsid w:val="007151C1"/>
    <w:rsid w:val="007168D1"/>
    <w:rsid w:val="00720BC0"/>
    <w:rsid w:val="00721643"/>
    <w:rsid w:val="00723EB5"/>
    <w:rsid w:val="007242FE"/>
    <w:rsid w:val="007244CD"/>
    <w:rsid w:val="007249A6"/>
    <w:rsid w:val="0072642F"/>
    <w:rsid w:val="00730EC5"/>
    <w:rsid w:val="00736396"/>
    <w:rsid w:val="007371FA"/>
    <w:rsid w:val="00737F74"/>
    <w:rsid w:val="00755AD5"/>
    <w:rsid w:val="00765C89"/>
    <w:rsid w:val="00766C3D"/>
    <w:rsid w:val="00767C40"/>
    <w:rsid w:val="007708ED"/>
    <w:rsid w:val="007741AF"/>
    <w:rsid w:val="007771AD"/>
    <w:rsid w:val="0077743D"/>
    <w:rsid w:val="00777C93"/>
    <w:rsid w:val="007854E8"/>
    <w:rsid w:val="00790543"/>
    <w:rsid w:val="0079054B"/>
    <w:rsid w:val="00793B03"/>
    <w:rsid w:val="00795A5A"/>
    <w:rsid w:val="00796034"/>
    <w:rsid w:val="007A121E"/>
    <w:rsid w:val="007A4191"/>
    <w:rsid w:val="007B3035"/>
    <w:rsid w:val="007B4161"/>
    <w:rsid w:val="007B5F64"/>
    <w:rsid w:val="007B63AB"/>
    <w:rsid w:val="007B6660"/>
    <w:rsid w:val="007C5820"/>
    <w:rsid w:val="007C68C9"/>
    <w:rsid w:val="007C6A8F"/>
    <w:rsid w:val="007C76BD"/>
    <w:rsid w:val="007D4FA9"/>
    <w:rsid w:val="007D75CB"/>
    <w:rsid w:val="007D7B56"/>
    <w:rsid w:val="007E0DBD"/>
    <w:rsid w:val="007E2631"/>
    <w:rsid w:val="007E5972"/>
    <w:rsid w:val="007E68C0"/>
    <w:rsid w:val="007F39AB"/>
    <w:rsid w:val="008002E6"/>
    <w:rsid w:val="00801740"/>
    <w:rsid w:val="0080210F"/>
    <w:rsid w:val="00802C7E"/>
    <w:rsid w:val="00803493"/>
    <w:rsid w:val="0080530A"/>
    <w:rsid w:val="00805BE6"/>
    <w:rsid w:val="00805FA0"/>
    <w:rsid w:val="008135B4"/>
    <w:rsid w:val="0082034F"/>
    <w:rsid w:val="008210C8"/>
    <w:rsid w:val="00821A94"/>
    <w:rsid w:val="008247C4"/>
    <w:rsid w:val="0082770C"/>
    <w:rsid w:val="00834E6B"/>
    <w:rsid w:val="00835CE3"/>
    <w:rsid w:val="00843972"/>
    <w:rsid w:val="00845810"/>
    <w:rsid w:val="00845B47"/>
    <w:rsid w:val="00853BD3"/>
    <w:rsid w:val="008548F1"/>
    <w:rsid w:val="008601F4"/>
    <w:rsid w:val="008620F0"/>
    <w:rsid w:val="00862626"/>
    <w:rsid w:val="00866FEE"/>
    <w:rsid w:val="00871AE4"/>
    <w:rsid w:val="00872F22"/>
    <w:rsid w:val="008757CE"/>
    <w:rsid w:val="00876E72"/>
    <w:rsid w:val="00886550"/>
    <w:rsid w:val="00896461"/>
    <w:rsid w:val="008966F8"/>
    <w:rsid w:val="008A1E11"/>
    <w:rsid w:val="008A2AC3"/>
    <w:rsid w:val="008A67F3"/>
    <w:rsid w:val="008B3319"/>
    <w:rsid w:val="008B793E"/>
    <w:rsid w:val="008C1BEE"/>
    <w:rsid w:val="008C1E14"/>
    <w:rsid w:val="008C5C0E"/>
    <w:rsid w:val="008C659B"/>
    <w:rsid w:val="008D27FB"/>
    <w:rsid w:val="008D6E3E"/>
    <w:rsid w:val="008E0593"/>
    <w:rsid w:val="008E0D8D"/>
    <w:rsid w:val="008E133C"/>
    <w:rsid w:val="008E19D0"/>
    <w:rsid w:val="008E68E5"/>
    <w:rsid w:val="008F0210"/>
    <w:rsid w:val="008F3F20"/>
    <w:rsid w:val="008F5EB6"/>
    <w:rsid w:val="008F602B"/>
    <w:rsid w:val="008F73B3"/>
    <w:rsid w:val="008F7EF3"/>
    <w:rsid w:val="00905493"/>
    <w:rsid w:val="00912349"/>
    <w:rsid w:val="0091294F"/>
    <w:rsid w:val="00912DF3"/>
    <w:rsid w:val="009145E4"/>
    <w:rsid w:val="00916F16"/>
    <w:rsid w:val="00917269"/>
    <w:rsid w:val="00924B83"/>
    <w:rsid w:val="009253F7"/>
    <w:rsid w:val="0092640A"/>
    <w:rsid w:val="00926D80"/>
    <w:rsid w:val="009345A9"/>
    <w:rsid w:val="00935E15"/>
    <w:rsid w:val="009369E2"/>
    <w:rsid w:val="00937007"/>
    <w:rsid w:val="00941577"/>
    <w:rsid w:val="00942BC4"/>
    <w:rsid w:val="009445A7"/>
    <w:rsid w:val="009468B6"/>
    <w:rsid w:val="0095070F"/>
    <w:rsid w:val="00956CE2"/>
    <w:rsid w:val="00960A55"/>
    <w:rsid w:val="009645EA"/>
    <w:rsid w:val="00964AF5"/>
    <w:rsid w:val="00972D99"/>
    <w:rsid w:val="00977D9C"/>
    <w:rsid w:val="00980439"/>
    <w:rsid w:val="00985482"/>
    <w:rsid w:val="0099335A"/>
    <w:rsid w:val="009A1515"/>
    <w:rsid w:val="009A166B"/>
    <w:rsid w:val="009A65C7"/>
    <w:rsid w:val="009A72CF"/>
    <w:rsid w:val="009A7511"/>
    <w:rsid w:val="009B000B"/>
    <w:rsid w:val="009B271F"/>
    <w:rsid w:val="009B4B28"/>
    <w:rsid w:val="009B6193"/>
    <w:rsid w:val="009C1299"/>
    <w:rsid w:val="009C6A78"/>
    <w:rsid w:val="009C7262"/>
    <w:rsid w:val="009E0D70"/>
    <w:rsid w:val="009F0F05"/>
    <w:rsid w:val="009F1136"/>
    <w:rsid w:val="009F4E31"/>
    <w:rsid w:val="009F5181"/>
    <w:rsid w:val="009F6412"/>
    <w:rsid w:val="00A02C8A"/>
    <w:rsid w:val="00A0702A"/>
    <w:rsid w:val="00A115CD"/>
    <w:rsid w:val="00A12385"/>
    <w:rsid w:val="00A20B30"/>
    <w:rsid w:val="00A24DD5"/>
    <w:rsid w:val="00A25F3A"/>
    <w:rsid w:val="00A27BA8"/>
    <w:rsid w:val="00A30A34"/>
    <w:rsid w:val="00A31582"/>
    <w:rsid w:val="00A3778C"/>
    <w:rsid w:val="00A407F3"/>
    <w:rsid w:val="00A45655"/>
    <w:rsid w:val="00A472DE"/>
    <w:rsid w:val="00A5282A"/>
    <w:rsid w:val="00A540B2"/>
    <w:rsid w:val="00A57B14"/>
    <w:rsid w:val="00A65313"/>
    <w:rsid w:val="00A65A4D"/>
    <w:rsid w:val="00A72BED"/>
    <w:rsid w:val="00A73820"/>
    <w:rsid w:val="00A80734"/>
    <w:rsid w:val="00A81382"/>
    <w:rsid w:val="00A832D0"/>
    <w:rsid w:val="00A836B9"/>
    <w:rsid w:val="00A83CAE"/>
    <w:rsid w:val="00A861EE"/>
    <w:rsid w:val="00A909D8"/>
    <w:rsid w:val="00A91D1F"/>
    <w:rsid w:val="00A95548"/>
    <w:rsid w:val="00A9588A"/>
    <w:rsid w:val="00AA1B28"/>
    <w:rsid w:val="00AA3F46"/>
    <w:rsid w:val="00AB4F31"/>
    <w:rsid w:val="00AC1BD0"/>
    <w:rsid w:val="00AC3915"/>
    <w:rsid w:val="00AC3C04"/>
    <w:rsid w:val="00AC4E86"/>
    <w:rsid w:val="00AC5A95"/>
    <w:rsid w:val="00AD41D1"/>
    <w:rsid w:val="00AD4555"/>
    <w:rsid w:val="00AD78EA"/>
    <w:rsid w:val="00AD798E"/>
    <w:rsid w:val="00AE3FD6"/>
    <w:rsid w:val="00AE5E93"/>
    <w:rsid w:val="00AF08C3"/>
    <w:rsid w:val="00AF1323"/>
    <w:rsid w:val="00AF2DFF"/>
    <w:rsid w:val="00AF42C7"/>
    <w:rsid w:val="00AF42FB"/>
    <w:rsid w:val="00AF5664"/>
    <w:rsid w:val="00AF5917"/>
    <w:rsid w:val="00AF5CEB"/>
    <w:rsid w:val="00AF6B91"/>
    <w:rsid w:val="00AF72D9"/>
    <w:rsid w:val="00B0003E"/>
    <w:rsid w:val="00B00518"/>
    <w:rsid w:val="00B072D2"/>
    <w:rsid w:val="00B1098C"/>
    <w:rsid w:val="00B13AEA"/>
    <w:rsid w:val="00B1574C"/>
    <w:rsid w:val="00B170AC"/>
    <w:rsid w:val="00B21642"/>
    <w:rsid w:val="00B23143"/>
    <w:rsid w:val="00B25753"/>
    <w:rsid w:val="00B33376"/>
    <w:rsid w:val="00B342FC"/>
    <w:rsid w:val="00B34BCD"/>
    <w:rsid w:val="00B42D6F"/>
    <w:rsid w:val="00B44E07"/>
    <w:rsid w:val="00B45066"/>
    <w:rsid w:val="00B46E1F"/>
    <w:rsid w:val="00B47455"/>
    <w:rsid w:val="00B47EFD"/>
    <w:rsid w:val="00B5116B"/>
    <w:rsid w:val="00B557B5"/>
    <w:rsid w:val="00B558A8"/>
    <w:rsid w:val="00B57D23"/>
    <w:rsid w:val="00B6062C"/>
    <w:rsid w:val="00B60E0C"/>
    <w:rsid w:val="00B6534B"/>
    <w:rsid w:val="00B65E73"/>
    <w:rsid w:val="00B66C12"/>
    <w:rsid w:val="00B67C7E"/>
    <w:rsid w:val="00B71577"/>
    <w:rsid w:val="00B7519D"/>
    <w:rsid w:val="00B766BA"/>
    <w:rsid w:val="00B82146"/>
    <w:rsid w:val="00B83833"/>
    <w:rsid w:val="00B85E8E"/>
    <w:rsid w:val="00B85FED"/>
    <w:rsid w:val="00B946CB"/>
    <w:rsid w:val="00B94D10"/>
    <w:rsid w:val="00B958E7"/>
    <w:rsid w:val="00BA0FB9"/>
    <w:rsid w:val="00BA5BE3"/>
    <w:rsid w:val="00BB3BBC"/>
    <w:rsid w:val="00BB4FB3"/>
    <w:rsid w:val="00BB58FA"/>
    <w:rsid w:val="00BB6AED"/>
    <w:rsid w:val="00BB6AFD"/>
    <w:rsid w:val="00BB72F0"/>
    <w:rsid w:val="00BC4CA8"/>
    <w:rsid w:val="00BC51C3"/>
    <w:rsid w:val="00BD16FE"/>
    <w:rsid w:val="00BD59DC"/>
    <w:rsid w:val="00BD6395"/>
    <w:rsid w:val="00BD7858"/>
    <w:rsid w:val="00BE2C7B"/>
    <w:rsid w:val="00BE2CDA"/>
    <w:rsid w:val="00BE349B"/>
    <w:rsid w:val="00BE4E88"/>
    <w:rsid w:val="00BE70A3"/>
    <w:rsid w:val="00BE7C1A"/>
    <w:rsid w:val="00BF29F9"/>
    <w:rsid w:val="00BF5CCB"/>
    <w:rsid w:val="00C006CF"/>
    <w:rsid w:val="00C00BF4"/>
    <w:rsid w:val="00C03CFF"/>
    <w:rsid w:val="00C05571"/>
    <w:rsid w:val="00C10D7E"/>
    <w:rsid w:val="00C10EE6"/>
    <w:rsid w:val="00C21497"/>
    <w:rsid w:val="00C223CA"/>
    <w:rsid w:val="00C267D1"/>
    <w:rsid w:val="00C33785"/>
    <w:rsid w:val="00C33955"/>
    <w:rsid w:val="00C36298"/>
    <w:rsid w:val="00C37F6C"/>
    <w:rsid w:val="00C438C5"/>
    <w:rsid w:val="00C45583"/>
    <w:rsid w:val="00C470CF"/>
    <w:rsid w:val="00C50CBF"/>
    <w:rsid w:val="00C54F79"/>
    <w:rsid w:val="00C5649B"/>
    <w:rsid w:val="00C56BCF"/>
    <w:rsid w:val="00C720F6"/>
    <w:rsid w:val="00C7413C"/>
    <w:rsid w:val="00C74837"/>
    <w:rsid w:val="00C7486B"/>
    <w:rsid w:val="00C76318"/>
    <w:rsid w:val="00C80965"/>
    <w:rsid w:val="00C867FC"/>
    <w:rsid w:val="00C90459"/>
    <w:rsid w:val="00C91506"/>
    <w:rsid w:val="00CA1DEE"/>
    <w:rsid w:val="00CA47C6"/>
    <w:rsid w:val="00CB3215"/>
    <w:rsid w:val="00CB3E88"/>
    <w:rsid w:val="00CB427F"/>
    <w:rsid w:val="00CC29FA"/>
    <w:rsid w:val="00CC32DC"/>
    <w:rsid w:val="00CC43C2"/>
    <w:rsid w:val="00CC6BFE"/>
    <w:rsid w:val="00CD3889"/>
    <w:rsid w:val="00CD7D14"/>
    <w:rsid w:val="00CE2F6E"/>
    <w:rsid w:val="00CE4118"/>
    <w:rsid w:val="00CF33C1"/>
    <w:rsid w:val="00CF663F"/>
    <w:rsid w:val="00D001AA"/>
    <w:rsid w:val="00D1071A"/>
    <w:rsid w:val="00D11D63"/>
    <w:rsid w:val="00D153DB"/>
    <w:rsid w:val="00D17E30"/>
    <w:rsid w:val="00D23030"/>
    <w:rsid w:val="00D23132"/>
    <w:rsid w:val="00D23770"/>
    <w:rsid w:val="00D24F69"/>
    <w:rsid w:val="00D31EF3"/>
    <w:rsid w:val="00D32E7D"/>
    <w:rsid w:val="00D34DCA"/>
    <w:rsid w:val="00D40213"/>
    <w:rsid w:val="00D41287"/>
    <w:rsid w:val="00D41B8A"/>
    <w:rsid w:val="00D504FE"/>
    <w:rsid w:val="00D50501"/>
    <w:rsid w:val="00D510E4"/>
    <w:rsid w:val="00D518FB"/>
    <w:rsid w:val="00D529B9"/>
    <w:rsid w:val="00D67709"/>
    <w:rsid w:val="00D679E1"/>
    <w:rsid w:val="00D71CC4"/>
    <w:rsid w:val="00D721D6"/>
    <w:rsid w:val="00D72B62"/>
    <w:rsid w:val="00D73AA1"/>
    <w:rsid w:val="00D742DF"/>
    <w:rsid w:val="00D756B7"/>
    <w:rsid w:val="00D77430"/>
    <w:rsid w:val="00D77E63"/>
    <w:rsid w:val="00D82A95"/>
    <w:rsid w:val="00D84809"/>
    <w:rsid w:val="00D90476"/>
    <w:rsid w:val="00D91F4B"/>
    <w:rsid w:val="00D9417E"/>
    <w:rsid w:val="00D943B2"/>
    <w:rsid w:val="00DA2184"/>
    <w:rsid w:val="00DA2BF7"/>
    <w:rsid w:val="00DA7296"/>
    <w:rsid w:val="00DB3A90"/>
    <w:rsid w:val="00DB53F5"/>
    <w:rsid w:val="00DB620A"/>
    <w:rsid w:val="00DB7A77"/>
    <w:rsid w:val="00DC1F07"/>
    <w:rsid w:val="00DC3526"/>
    <w:rsid w:val="00DC6FCA"/>
    <w:rsid w:val="00DD4465"/>
    <w:rsid w:val="00DD5852"/>
    <w:rsid w:val="00DD6A7A"/>
    <w:rsid w:val="00DD78CE"/>
    <w:rsid w:val="00DE018E"/>
    <w:rsid w:val="00DE1210"/>
    <w:rsid w:val="00DE6D0C"/>
    <w:rsid w:val="00DF51C5"/>
    <w:rsid w:val="00E00440"/>
    <w:rsid w:val="00E033C0"/>
    <w:rsid w:val="00E03D0D"/>
    <w:rsid w:val="00E04E96"/>
    <w:rsid w:val="00E066C4"/>
    <w:rsid w:val="00E11917"/>
    <w:rsid w:val="00E120D1"/>
    <w:rsid w:val="00E158B0"/>
    <w:rsid w:val="00E22CB6"/>
    <w:rsid w:val="00E23447"/>
    <w:rsid w:val="00E255D2"/>
    <w:rsid w:val="00E25BF2"/>
    <w:rsid w:val="00E27F28"/>
    <w:rsid w:val="00E303E1"/>
    <w:rsid w:val="00E3740A"/>
    <w:rsid w:val="00E43CB2"/>
    <w:rsid w:val="00E46234"/>
    <w:rsid w:val="00E46E69"/>
    <w:rsid w:val="00E510CC"/>
    <w:rsid w:val="00E51DDC"/>
    <w:rsid w:val="00E5797E"/>
    <w:rsid w:val="00E61511"/>
    <w:rsid w:val="00E61C68"/>
    <w:rsid w:val="00E63287"/>
    <w:rsid w:val="00E65629"/>
    <w:rsid w:val="00E65E1D"/>
    <w:rsid w:val="00E66CE2"/>
    <w:rsid w:val="00E73729"/>
    <w:rsid w:val="00E75272"/>
    <w:rsid w:val="00E768A2"/>
    <w:rsid w:val="00E76DBB"/>
    <w:rsid w:val="00E8388B"/>
    <w:rsid w:val="00E84B69"/>
    <w:rsid w:val="00E965BF"/>
    <w:rsid w:val="00E96CE0"/>
    <w:rsid w:val="00EA47D9"/>
    <w:rsid w:val="00EA701B"/>
    <w:rsid w:val="00EB17CF"/>
    <w:rsid w:val="00EB4B80"/>
    <w:rsid w:val="00EB589A"/>
    <w:rsid w:val="00EB6CDE"/>
    <w:rsid w:val="00EC296E"/>
    <w:rsid w:val="00ED29C5"/>
    <w:rsid w:val="00ED41E1"/>
    <w:rsid w:val="00ED6D59"/>
    <w:rsid w:val="00EE351C"/>
    <w:rsid w:val="00EF1AA4"/>
    <w:rsid w:val="00EF5115"/>
    <w:rsid w:val="00EF771E"/>
    <w:rsid w:val="00F04031"/>
    <w:rsid w:val="00F046C5"/>
    <w:rsid w:val="00F0659D"/>
    <w:rsid w:val="00F1213F"/>
    <w:rsid w:val="00F122E2"/>
    <w:rsid w:val="00F20225"/>
    <w:rsid w:val="00F233E1"/>
    <w:rsid w:val="00F253B3"/>
    <w:rsid w:val="00F25B2F"/>
    <w:rsid w:val="00F26AD9"/>
    <w:rsid w:val="00F27152"/>
    <w:rsid w:val="00F34976"/>
    <w:rsid w:val="00F35183"/>
    <w:rsid w:val="00F36C92"/>
    <w:rsid w:val="00F4711A"/>
    <w:rsid w:val="00F529CD"/>
    <w:rsid w:val="00F532FA"/>
    <w:rsid w:val="00F53F96"/>
    <w:rsid w:val="00F54000"/>
    <w:rsid w:val="00F6259B"/>
    <w:rsid w:val="00F62CF1"/>
    <w:rsid w:val="00F63F69"/>
    <w:rsid w:val="00F64728"/>
    <w:rsid w:val="00F71D86"/>
    <w:rsid w:val="00F7234B"/>
    <w:rsid w:val="00F72932"/>
    <w:rsid w:val="00F773D1"/>
    <w:rsid w:val="00F81DF1"/>
    <w:rsid w:val="00F822DF"/>
    <w:rsid w:val="00F82426"/>
    <w:rsid w:val="00F82632"/>
    <w:rsid w:val="00F86C97"/>
    <w:rsid w:val="00F91B5E"/>
    <w:rsid w:val="00F925E6"/>
    <w:rsid w:val="00F92B25"/>
    <w:rsid w:val="00F94D1A"/>
    <w:rsid w:val="00F95C6C"/>
    <w:rsid w:val="00F9669B"/>
    <w:rsid w:val="00FA13DC"/>
    <w:rsid w:val="00FA2F43"/>
    <w:rsid w:val="00FA380B"/>
    <w:rsid w:val="00FA39DC"/>
    <w:rsid w:val="00FA51D5"/>
    <w:rsid w:val="00FA73EC"/>
    <w:rsid w:val="00FA7E9D"/>
    <w:rsid w:val="00FB1EA2"/>
    <w:rsid w:val="00FB65A3"/>
    <w:rsid w:val="00FC36A8"/>
    <w:rsid w:val="00FC60ED"/>
    <w:rsid w:val="00FC6E22"/>
    <w:rsid w:val="00FD0932"/>
    <w:rsid w:val="00FD4FD7"/>
    <w:rsid w:val="00FE06B0"/>
    <w:rsid w:val="00FE1460"/>
    <w:rsid w:val="00FE15B7"/>
    <w:rsid w:val="00FE2519"/>
    <w:rsid w:val="00FE54C8"/>
    <w:rsid w:val="00FF040F"/>
    <w:rsid w:val="00FF20BF"/>
    <w:rsid w:val="00FF21DE"/>
    <w:rsid w:val="00FF64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D97E808E-96F2-4911-9E73-FE2D71D9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Bullet2G">
    <w:name w:val="_Bullet 2_G"/>
    <w:basedOn w:val="Normal"/>
    <w:rsid w:val="001F13D4"/>
    <w:pPr>
      <w:numPr>
        <w:numId w:val="26"/>
      </w:numPr>
      <w:tabs>
        <w:tab w:val="num" w:pos="2268"/>
      </w:tabs>
      <w:suppressAutoHyphens/>
      <w:spacing w:after="120" w:line="240" w:lineRule="atLeast"/>
      <w:ind w:left="2268" w:right="1134"/>
      <w:jc w:val="both"/>
    </w:pPr>
    <w:rPr>
      <w:snapToGrid w:val="0"/>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0262">
      <w:bodyDiv w:val="1"/>
      <w:marLeft w:val="0"/>
      <w:marRight w:val="0"/>
      <w:marTop w:val="0"/>
      <w:marBottom w:val="0"/>
      <w:divBdr>
        <w:top w:val="none" w:sz="0" w:space="0" w:color="auto"/>
        <w:left w:val="none" w:sz="0" w:space="0" w:color="auto"/>
        <w:bottom w:val="none" w:sz="0" w:space="0" w:color="auto"/>
        <w:right w:val="none" w:sz="0" w:space="0" w:color="auto"/>
      </w:divBdr>
    </w:div>
    <w:div w:id="1680616192">
      <w:bodyDiv w:val="1"/>
      <w:marLeft w:val="0"/>
      <w:marRight w:val="0"/>
      <w:marTop w:val="0"/>
      <w:marBottom w:val="0"/>
      <w:divBdr>
        <w:top w:val="none" w:sz="0" w:space="0" w:color="auto"/>
        <w:left w:val="none" w:sz="0" w:space="0" w:color="auto"/>
        <w:bottom w:val="none" w:sz="0" w:space="0" w:color="auto"/>
        <w:right w:val="none" w:sz="0" w:space="0" w:color="auto"/>
      </w:divBdr>
    </w:div>
    <w:div w:id="17165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BBBF9-044A-4CA4-B525-8D0F38D0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mplate>
  <TotalTime>0</TotalTime>
  <Pages>3</Pages>
  <Words>654</Words>
  <Characters>3733</Characters>
  <Application>Microsoft Office Word</Application>
  <DocSecurity>0</DocSecurity>
  <Lines>31</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Heizöl schwer</vt:lpstr>
      <vt:lpstr>Heizöl schwer</vt:lpstr>
      <vt:lpstr>Heizöl schwer</vt:lpstr>
    </vt:vector>
  </TitlesOfParts>
  <Company>ECE-ISU</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Heizöl schwer</dc:title>
  <dc:creator>fk</dc:creator>
  <cp:lastModifiedBy>02</cp:lastModifiedBy>
  <cp:revision>2</cp:revision>
  <cp:lastPrinted>2016-06-10T07:50:00Z</cp:lastPrinted>
  <dcterms:created xsi:type="dcterms:W3CDTF">2016-06-10T09:04:00Z</dcterms:created>
  <dcterms:modified xsi:type="dcterms:W3CDTF">2016-06-10T09:04:00Z</dcterms:modified>
</cp:coreProperties>
</file>