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72916">
              <w:fldChar w:fldCharType="begin"/>
            </w:r>
            <w:r w:rsidR="00B72916">
              <w:instrText xml:space="preserve"> FILLIN  "Введите символ после ЕCE/"  \* MERGEFORMAT </w:instrText>
            </w:r>
            <w:r w:rsidR="00B72916">
              <w:fldChar w:fldCharType="separate"/>
            </w:r>
            <w:r w:rsidR="00BA6B8F">
              <w:t>TRANS/WP.15/AC.2/2016/46</w:t>
            </w:r>
            <w:r w:rsidR="00B7291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7291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D91BB5">
                <w:t>8</w:t>
              </w:r>
              <w:r w:rsidR="00BA6B8F">
                <w:t xml:space="preserve">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7291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56385" w:rsidRPr="00956385" w:rsidRDefault="00956385" w:rsidP="00956385">
      <w:pPr>
        <w:spacing w:before="120" w:line="240" w:lineRule="auto"/>
        <w:rPr>
          <w:bCs/>
          <w:sz w:val="28"/>
          <w:szCs w:val="28"/>
        </w:rPr>
      </w:pPr>
      <w:r w:rsidRPr="00956385">
        <w:rPr>
          <w:bCs/>
          <w:sz w:val="28"/>
          <w:szCs w:val="28"/>
        </w:rPr>
        <w:t>Комитет по внутреннему транспорту</w:t>
      </w:r>
    </w:p>
    <w:p w:rsidR="00956385" w:rsidRPr="00956385" w:rsidRDefault="00956385" w:rsidP="00956385">
      <w:pPr>
        <w:spacing w:before="120" w:line="240" w:lineRule="auto"/>
        <w:rPr>
          <w:b/>
          <w:sz w:val="24"/>
          <w:szCs w:val="24"/>
        </w:rPr>
      </w:pPr>
      <w:r w:rsidRPr="00956385">
        <w:rPr>
          <w:b/>
          <w:sz w:val="24"/>
          <w:szCs w:val="24"/>
        </w:rPr>
        <w:t>Рабочая группа по перевозкам опасных грузов</w:t>
      </w:r>
    </w:p>
    <w:p w:rsidR="00956385" w:rsidRPr="00956385" w:rsidRDefault="00956385" w:rsidP="00956385">
      <w:pPr>
        <w:spacing w:before="120" w:line="240" w:lineRule="auto"/>
        <w:rPr>
          <w:b/>
        </w:rPr>
      </w:pPr>
      <w:r w:rsidRPr="00956385">
        <w:rPr>
          <w:b/>
        </w:rPr>
        <w:t>Совместное совещание экспертов по Правилам,</w:t>
      </w:r>
      <w:r w:rsidRPr="00956385">
        <w:rPr>
          <w:b/>
        </w:rPr>
        <w:br/>
        <w:t>прилагаемым к Европейскому соглашению</w:t>
      </w:r>
      <w:r w:rsidRPr="00956385">
        <w:rPr>
          <w:b/>
        </w:rPr>
        <w:br/>
        <w:t>о международной перевозке опасных грузов</w:t>
      </w:r>
      <w:r w:rsidRPr="00956385">
        <w:rPr>
          <w:b/>
        </w:rPr>
        <w:br/>
        <w:t>по внутренним водным путям (ВОПОГ)</w:t>
      </w:r>
      <w:r w:rsidRPr="00956385">
        <w:rPr>
          <w:b/>
        </w:rPr>
        <w:br/>
        <w:t>(Комитет по вопросам безопасности ВОПОГ)</w:t>
      </w:r>
    </w:p>
    <w:p w:rsidR="00956385" w:rsidRPr="00956385" w:rsidRDefault="00956385" w:rsidP="00956385">
      <w:pPr>
        <w:spacing w:before="120" w:line="240" w:lineRule="auto"/>
        <w:rPr>
          <w:b/>
        </w:rPr>
      </w:pPr>
      <w:r w:rsidRPr="00956385">
        <w:rPr>
          <w:b/>
        </w:rPr>
        <w:t>Двадцать девятая сессия</w:t>
      </w:r>
    </w:p>
    <w:p w:rsidR="00956385" w:rsidRPr="00956385" w:rsidRDefault="00956385" w:rsidP="00956385">
      <w:pPr>
        <w:spacing w:line="240" w:lineRule="auto"/>
      </w:pPr>
      <w:r w:rsidRPr="00956385">
        <w:t>Женева, 22–26 августа 2016 года</w:t>
      </w:r>
    </w:p>
    <w:p w:rsidR="00956385" w:rsidRPr="00956385" w:rsidRDefault="00956385" w:rsidP="00956385">
      <w:pPr>
        <w:spacing w:line="240" w:lineRule="auto"/>
      </w:pPr>
      <w:r w:rsidRPr="00956385">
        <w:t>Пункт 5 предварительной повестки дня</w:t>
      </w:r>
    </w:p>
    <w:p w:rsidR="00956385" w:rsidRPr="00956385" w:rsidRDefault="00956385" w:rsidP="00956385">
      <w:pPr>
        <w:spacing w:line="240" w:lineRule="auto"/>
        <w:rPr>
          <w:b/>
        </w:rPr>
      </w:pPr>
      <w:r w:rsidRPr="00956385">
        <w:rPr>
          <w:b/>
        </w:rPr>
        <w:t>Доклады неофициальных рабочих групп</w:t>
      </w:r>
    </w:p>
    <w:p w:rsidR="00D91BB5" w:rsidRPr="00D91BB5" w:rsidRDefault="00D91BB5" w:rsidP="00D91BB5">
      <w:pPr>
        <w:pStyle w:val="HChGR"/>
      </w:pPr>
      <w:r w:rsidRPr="00D91BB5">
        <w:tab/>
      </w:r>
      <w:r w:rsidRPr="00D91BB5">
        <w:tab/>
        <w:t>Доклад неофициальной рабочей группы по СПГ</w:t>
      </w:r>
    </w:p>
    <w:p w:rsidR="00F61730" w:rsidRPr="00F61730" w:rsidRDefault="00F61730" w:rsidP="00D91BB5">
      <w:pPr>
        <w:pStyle w:val="H1GR"/>
      </w:pPr>
      <w:r w:rsidRPr="00F61730">
        <w:tab/>
      </w:r>
      <w:r w:rsidRPr="00F61730">
        <w:tab/>
        <w:t xml:space="preserve">Передано правительствами Нидерландов </w:t>
      </w:r>
      <w:r w:rsidRPr="00F61730">
        <w:br/>
        <w:t>и Швейцарии</w:t>
      </w:r>
      <w:r w:rsidRPr="00D91BB5">
        <w:rPr>
          <w:b w:val="0"/>
          <w:sz w:val="18"/>
          <w:szCs w:val="18"/>
          <w:vertAlign w:val="superscript"/>
          <w:lang w:val="en-GB"/>
        </w:rPr>
        <w:footnoteReference w:id="1"/>
      </w:r>
      <w:r w:rsidRPr="00D91BB5">
        <w:rPr>
          <w:rFonts w:hint="eastAsia"/>
          <w:b w:val="0"/>
          <w:sz w:val="18"/>
          <w:szCs w:val="18"/>
          <w:vertAlign w:val="superscript"/>
        </w:rPr>
        <w:t>,</w:t>
      </w:r>
      <w:r w:rsidRPr="00D91BB5">
        <w:rPr>
          <w:rFonts w:hint="eastAsia"/>
          <w:b w:val="0"/>
          <w:sz w:val="18"/>
          <w:szCs w:val="18"/>
        </w:rPr>
        <w:t xml:space="preserve"> </w:t>
      </w:r>
      <w:r w:rsidRPr="00D91BB5">
        <w:rPr>
          <w:b w:val="0"/>
          <w:sz w:val="18"/>
          <w:szCs w:val="18"/>
          <w:vertAlign w:val="superscript"/>
          <w:lang w:val="en-GB"/>
        </w:rPr>
        <w:footnoteReference w:id="2"/>
      </w:r>
    </w:p>
    <w:p w:rsidR="00F61730" w:rsidRPr="00F61730" w:rsidRDefault="00F61730" w:rsidP="00F61730">
      <w:pPr>
        <w:pStyle w:val="H1GR"/>
      </w:pPr>
      <w:r w:rsidRPr="00F61730">
        <w:tab/>
      </w:r>
      <w:r w:rsidRPr="00F61730">
        <w:rPr>
          <w:lang w:val="en-GB"/>
        </w:rPr>
        <w:t>I</w:t>
      </w:r>
      <w:r w:rsidRPr="00F61730">
        <w:t>.</w:t>
      </w:r>
      <w:r w:rsidRPr="00F61730">
        <w:tab/>
        <w:t>Введение</w:t>
      </w:r>
    </w:p>
    <w:p w:rsidR="00F61730" w:rsidRPr="00F61730" w:rsidRDefault="00F61730" w:rsidP="00F61730">
      <w:pPr>
        <w:pStyle w:val="SingleTxtGR"/>
      </w:pPr>
      <w:r w:rsidRPr="00F61730">
        <w:t>1.</w:t>
      </w:r>
      <w:r w:rsidRPr="00F61730">
        <w:tab/>
        <w:t>Неофициальная рабочая  группа по СПГ провела свое первое совещание 11 и 12 мая 2016</w:t>
      </w:r>
      <w:r w:rsidR="00103D17">
        <w:t xml:space="preserve"> </w:t>
      </w:r>
      <w:r w:rsidRPr="00F61730">
        <w:t xml:space="preserve">года в Министерстве инфраструктуры и окружающей среды в Гааге, Нидерланды. На совещании присутствовали делегаты от Германии, </w:t>
      </w:r>
      <w:r w:rsidR="00F12542" w:rsidRPr="00F12542">
        <w:br/>
      </w:r>
      <w:r w:rsidRPr="00F61730">
        <w:t xml:space="preserve">Нидерландов, Швейцарии, Регистра Ллойда, порта Роттердам и представители владельцев судов, работающих на СПГ. </w:t>
      </w:r>
    </w:p>
    <w:p w:rsidR="00F61730" w:rsidRPr="00F61730" w:rsidRDefault="00F61730" w:rsidP="00F61730">
      <w:pPr>
        <w:pStyle w:val="SingleTxtGR"/>
      </w:pPr>
      <w:r w:rsidRPr="00F61730">
        <w:t>2.</w:t>
      </w:r>
      <w:r w:rsidRPr="00F61730">
        <w:tab/>
        <w:t>Неофициальная группа было создана в связи с тем, что в декабре 2015 года Центральная комиссия судоходства по Рейну (ЦКСР) приняла нормативные положения, разрешающие использование СПГ в качестве топлива для двигательных установок судов внутреннего плавания. Как было заявлено ранее Ко</w:t>
      </w:r>
      <w:r w:rsidRPr="00F61730">
        <w:lastRenderedPageBreak/>
        <w:t xml:space="preserve">митетом по вопросам безопасности ВОПОГ (см. </w:t>
      </w:r>
      <w:r w:rsidRPr="00F61730">
        <w:rPr>
          <w:lang w:val="en-GB"/>
        </w:rPr>
        <w:t>ECE</w:t>
      </w:r>
      <w:r w:rsidRPr="00F61730">
        <w:t>/</w:t>
      </w:r>
      <w:r w:rsidRPr="00F61730">
        <w:rPr>
          <w:lang w:val="en-GB"/>
        </w:rPr>
        <w:t>TRANS</w:t>
      </w:r>
      <w:r w:rsidRPr="00F61730">
        <w:t>/</w:t>
      </w:r>
      <w:r w:rsidRPr="00F61730">
        <w:rPr>
          <w:lang w:val="en-GB"/>
        </w:rPr>
        <w:t>WP</w:t>
      </w:r>
      <w:r w:rsidRPr="00F61730">
        <w:t>.15/</w:t>
      </w:r>
      <w:r w:rsidRPr="00F61730">
        <w:rPr>
          <w:lang w:val="en-GB"/>
        </w:rPr>
        <w:t>AC</w:t>
      </w:r>
      <w:r w:rsidRPr="00F61730">
        <w:t xml:space="preserve">.2/56, пункт 3, и </w:t>
      </w:r>
      <w:r w:rsidRPr="00F61730">
        <w:rPr>
          <w:lang w:val="en-GB"/>
        </w:rPr>
        <w:t>ECE</w:t>
      </w:r>
      <w:r w:rsidRPr="00F61730">
        <w:t>/</w:t>
      </w:r>
      <w:r w:rsidRPr="00F61730">
        <w:rPr>
          <w:lang w:val="en-GB"/>
        </w:rPr>
        <w:t>TRANS</w:t>
      </w:r>
      <w:r w:rsidRPr="00F61730">
        <w:t>/</w:t>
      </w:r>
      <w:r w:rsidRPr="00F61730">
        <w:rPr>
          <w:lang w:val="en-GB"/>
        </w:rPr>
        <w:t>WP</w:t>
      </w:r>
      <w:r w:rsidRPr="00F61730">
        <w:t>.15/</w:t>
      </w:r>
      <w:r w:rsidRPr="00F61730">
        <w:rPr>
          <w:lang w:val="en-GB"/>
        </w:rPr>
        <w:t>AC</w:t>
      </w:r>
      <w:r w:rsidRPr="00F61730">
        <w:t>.2/58, пункт 64), по этой причине стало желательным рассмотреть различные варианты того, как следует скорректировать Правила, прилагаемые к ВОПОГ, с тем чтобы разрешить использование СПГ в</w:t>
      </w:r>
      <w:r w:rsidR="00F12542">
        <w:rPr>
          <w:lang w:val="en-US"/>
        </w:rPr>
        <w:t> </w:t>
      </w:r>
      <w:r w:rsidRPr="00F61730">
        <w:t>качестве топлива для двигательных установок судов внутреннего плавания, перевозящих опасные грузы.</w:t>
      </w:r>
    </w:p>
    <w:p w:rsidR="00F61730" w:rsidRPr="00F61730" w:rsidRDefault="00F61730" w:rsidP="00F61730">
      <w:pPr>
        <w:pStyle w:val="HChGR"/>
      </w:pPr>
      <w:r w:rsidRPr="00F61730">
        <w:tab/>
      </w:r>
      <w:r w:rsidRPr="00F61730">
        <w:rPr>
          <w:lang w:val="en-US"/>
        </w:rPr>
        <w:t>II</w:t>
      </w:r>
      <w:r w:rsidRPr="00F61730">
        <w:t>.</w:t>
      </w:r>
      <w:r w:rsidRPr="00F61730">
        <w:tab/>
        <w:t>Цель и задача совещания</w:t>
      </w:r>
    </w:p>
    <w:p w:rsidR="00F61730" w:rsidRPr="00F61730" w:rsidRDefault="00F61730" w:rsidP="00F61730">
      <w:pPr>
        <w:pStyle w:val="SingleTxtGR"/>
      </w:pPr>
      <w:r w:rsidRPr="00F61730">
        <w:t>3.</w:t>
      </w:r>
      <w:r w:rsidRPr="00F61730">
        <w:tab/>
        <w:t xml:space="preserve">Цель первого совещания неофициальной рабочей группы состояла в том, чтобы определить задачу неофициальной рабочей группы, получить информацию о процессе законотворчества в рамках ЦКСР по использованию СПГ, получить информацию о всех технических аспектах и опыте эксплуатации судов, использующих СПГ в качестве топлива и рассмотреть преимущества (недостатки) различных вариантов корректировки Правил, прилагаемых к ВОПОГ, с учетом использования СПГ, как они изложены в неофициальном документе </w:t>
      </w:r>
      <w:r w:rsidRPr="00F61730">
        <w:rPr>
          <w:lang w:val="en-GB"/>
        </w:rPr>
        <w:t>INF</w:t>
      </w:r>
      <w:r w:rsidRPr="00F61730">
        <w:t>.9 двадцать восьмой сессии.</w:t>
      </w:r>
    </w:p>
    <w:p w:rsidR="00F61730" w:rsidRPr="00F61730" w:rsidRDefault="00F61730" w:rsidP="00F61730">
      <w:pPr>
        <w:pStyle w:val="SingleTxtGR"/>
      </w:pPr>
      <w:r w:rsidRPr="00F61730">
        <w:t>4.</w:t>
      </w:r>
      <w:r w:rsidRPr="00F61730">
        <w:tab/>
        <w:t xml:space="preserve">Участники решили, что задача неофициальной рабочей группы заключается в том, чтобы </w:t>
      </w:r>
      <w:r w:rsidR="002762D9">
        <w:t>«</w:t>
      </w:r>
      <w:r w:rsidRPr="00F61730">
        <w:t>предусмотреть в ВОПОГ возможность использования судами внутреннего плавания СПГ в качестве топлива для их двигательных установок</w:t>
      </w:r>
      <w:r w:rsidR="002762D9">
        <w:t>»</w:t>
      </w:r>
      <w:r w:rsidRPr="00F61730">
        <w:t>. Руководящие принципы по перевозке СПГ в качестве груза не будут рассматриваться группой на нынешнем этапе.</w:t>
      </w:r>
    </w:p>
    <w:p w:rsidR="00F61730" w:rsidRPr="00F61730" w:rsidRDefault="00F61730" w:rsidP="00F61730">
      <w:pPr>
        <w:pStyle w:val="HChGR"/>
      </w:pPr>
      <w:r w:rsidRPr="00F61730">
        <w:tab/>
      </w:r>
      <w:r w:rsidRPr="00F61730">
        <w:rPr>
          <w:lang w:val="en-GB"/>
        </w:rPr>
        <w:t>III</w:t>
      </w:r>
      <w:r w:rsidRPr="00F61730">
        <w:t>.</w:t>
      </w:r>
      <w:r w:rsidRPr="00F61730">
        <w:tab/>
        <w:t>Информация об использовании СПГ</w:t>
      </w:r>
    </w:p>
    <w:p w:rsidR="00F61730" w:rsidRPr="00F61730" w:rsidRDefault="00F61730" w:rsidP="00F61730">
      <w:pPr>
        <w:pStyle w:val="SingleTxtGR"/>
      </w:pPr>
      <w:r w:rsidRPr="00F61730">
        <w:t>5.</w:t>
      </w:r>
      <w:r w:rsidRPr="00F61730">
        <w:tab/>
        <w:t xml:space="preserve">В начале совещания неофициальной рабочей группы участники получили информацию о происходящем в рамках ЦКСР процессе законотворчества по СПГ, который касается: </w:t>
      </w:r>
    </w:p>
    <w:p w:rsidR="00F61730" w:rsidRPr="00F61730" w:rsidRDefault="00F61730" w:rsidP="00F61730">
      <w:pPr>
        <w:pStyle w:val="SingleTxtGR"/>
      </w:pPr>
      <w:r>
        <w:rPr>
          <w:lang w:val="en-GB"/>
        </w:rPr>
        <w:tab/>
      </w:r>
      <w:r w:rsidRPr="00F61730">
        <w:rPr>
          <w:lang w:val="en-GB"/>
        </w:rPr>
        <w:t>a</w:t>
      </w:r>
      <w:r w:rsidRPr="00F61730">
        <w:t>)</w:t>
      </w:r>
      <w:r w:rsidRPr="00F61730">
        <w:tab/>
        <w:t>Полицейских правил плавания по Рейну (ПППР), в которых устанавливаются эксплуатационные требования, применимые, в том числе во время заправки, к судам, использующим СПГ в качестве топлива;</w:t>
      </w:r>
    </w:p>
    <w:p w:rsidR="00F61730" w:rsidRPr="00F61730" w:rsidRDefault="00F61730" w:rsidP="00F61730">
      <w:pPr>
        <w:pStyle w:val="SingleTxtGR"/>
      </w:pPr>
      <w:r>
        <w:rPr>
          <w:lang w:val="en-GB"/>
        </w:rPr>
        <w:tab/>
      </w:r>
      <w:r w:rsidRPr="00F61730">
        <w:rPr>
          <w:lang w:val="en-GB"/>
        </w:rPr>
        <w:t>b</w:t>
      </w:r>
      <w:r w:rsidRPr="00F61730">
        <w:t>)</w:t>
      </w:r>
      <w:r w:rsidRPr="00F61730">
        <w:tab/>
        <w:t>Правил для плавсостава на Рейне (ППР), в которых устанавливаются дополнительные требования в отношении квалификации членов экипажа (содержание курсов подготовки и экзаменов) судов внутреннего плавания, использующих СПГ в качестве топлива;</w:t>
      </w:r>
    </w:p>
    <w:p w:rsidR="00F61730" w:rsidRPr="00F61730" w:rsidRDefault="00F61730" w:rsidP="00F61730">
      <w:pPr>
        <w:pStyle w:val="SingleTxtGR"/>
      </w:pPr>
      <w:r>
        <w:rPr>
          <w:lang w:val="en-GB"/>
        </w:rPr>
        <w:tab/>
      </w:r>
      <w:r w:rsidRPr="00F61730">
        <w:rPr>
          <w:lang w:val="en-GB"/>
        </w:rPr>
        <w:t>c</w:t>
      </w:r>
      <w:r w:rsidRPr="00F61730">
        <w:t>)</w:t>
      </w:r>
      <w:r w:rsidRPr="00F61730">
        <w:tab/>
        <w:t>Правил освидетельствования судов на Рейне (ПОСР), в которых вводится новая глава 8-тер, включающая специальные положения, применимые к судам, оборудованным двигательными и вспомогательными системами, работающими на топливе с температурой вспышки не выше 55 º</w:t>
      </w:r>
      <w:r w:rsidRPr="00F61730">
        <w:rPr>
          <w:lang w:val="en-GB"/>
        </w:rPr>
        <w:t>C</w:t>
      </w:r>
      <w:r w:rsidRPr="00F61730">
        <w:t xml:space="preserve">, а также приложение </w:t>
      </w:r>
      <w:r w:rsidRPr="00F61730">
        <w:rPr>
          <w:lang w:val="en-GB"/>
        </w:rPr>
        <w:t>T</w:t>
      </w:r>
      <w:r w:rsidRPr="00F61730">
        <w:t>, содержащее дополнительные положения по СПГ.</w:t>
      </w:r>
    </w:p>
    <w:p w:rsidR="00F61730" w:rsidRPr="00F61730" w:rsidRDefault="00F61730" w:rsidP="00F61730">
      <w:pPr>
        <w:pStyle w:val="SingleTxtGR"/>
      </w:pPr>
      <w:r w:rsidRPr="00F61730">
        <w:t>Кроме того, ЦКСР опубликовала стандарт на специализированный контрольный перечень при заправке судна СПГ из автоцистерны, основанный на стандарте, опубликованном Международной ассоциацией портов и гаваней (МАПГ), который уже применяется рядом речных и морских портов.</w:t>
      </w:r>
    </w:p>
    <w:p w:rsidR="00F61730" w:rsidRPr="00F61730" w:rsidRDefault="00F61730" w:rsidP="00F61730">
      <w:pPr>
        <w:pStyle w:val="SingleTxtGR"/>
      </w:pPr>
      <w:r w:rsidRPr="00F61730">
        <w:t>6.</w:t>
      </w:r>
      <w:r w:rsidRPr="00F61730">
        <w:tab/>
        <w:t xml:space="preserve">Участников также проинформировали о подробных технических данных, касающихся судов, оборудованных двигательной установкой, использующей СПГ в качестве топлива, и о практическом опыте эксплуатации судна внутреннего плавания, которое уже использует СПГ. Информация о процессе законотворчества в рамках ЦКСР и содержании соответствующих требований была </w:t>
      </w:r>
      <w:r w:rsidRPr="00F61730">
        <w:lastRenderedPageBreak/>
        <w:t xml:space="preserve">представлена в неофициальном документе, подготовленном г-ном Бенджамином Бойером из секретариата ЦКСР. Подробные технические данные были представлены г-ном Басом Йорманном из Регистра Ллойда, а сведения о практическом опыте </w:t>
      </w:r>
      <w:r w:rsidR="00F12542" w:rsidRPr="002762D9">
        <w:t>–</w:t>
      </w:r>
      <w:r w:rsidRPr="00F61730">
        <w:t xml:space="preserve"> г-ном Беном Малисса, ВДЛ </w:t>
      </w:r>
      <w:r w:rsidR="002762D9">
        <w:t>«</w:t>
      </w:r>
      <w:r w:rsidRPr="00F61730">
        <w:t>Данцер Груп</w:t>
      </w:r>
      <w:r w:rsidR="002762D9">
        <w:t>»</w:t>
      </w:r>
      <w:r w:rsidRPr="00F61730">
        <w:t xml:space="preserve">, который эксплуатирует судно внутреннего плавания </w:t>
      </w:r>
      <w:r w:rsidR="002762D9">
        <w:t>«</w:t>
      </w:r>
      <w:r w:rsidRPr="00F61730">
        <w:rPr>
          <w:lang w:val="en-GB"/>
        </w:rPr>
        <w:t>Eiger</w:t>
      </w:r>
      <w:r w:rsidR="002762D9">
        <w:t>»</w:t>
      </w:r>
      <w:r w:rsidRPr="00F61730">
        <w:t xml:space="preserve"> на Рейне.</w:t>
      </w:r>
    </w:p>
    <w:p w:rsidR="00F61730" w:rsidRPr="00F61730" w:rsidRDefault="00F61730" w:rsidP="00F61730">
      <w:pPr>
        <w:pStyle w:val="SingleTxtGR"/>
      </w:pPr>
      <w:r w:rsidRPr="00F61730">
        <w:t>7.</w:t>
      </w:r>
      <w:r w:rsidRPr="00F61730">
        <w:tab/>
        <w:t>В вышеупомянутом документе и в рамках презентации г-на Йорманна рабочая группа было проинформирована о происходящем в рамках ЦКСР процессе законотворчества в сфере СПГ, взаимосвязи между законодательством ЦКСР, законодательными актами ЕС и стандартом ЕС-ТТСВП (в частности</w:t>
      </w:r>
      <w:r w:rsidR="00777923">
        <w:t>,</w:t>
      </w:r>
      <w:r w:rsidRPr="00F61730">
        <w:t xml:space="preserve"> главой 30 и приложением 8 ЕС-ТТСВП). В главе 30 излагаются общие требования в отношении топлива с низкой температурой вспышки (ниже 55</w:t>
      </w:r>
      <w:r w:rsidR="002762D9">
        <w:rPr>
          <w:lang w:val="en-US"/>
        </w:rPr>
        <w:t> </w:t>
      </w:r>
      <w:r w:rsidRPr="00F61730">
        <w:t>º</w:t>
      </w:r>
      <w:r w:rsidRPr="00F61730">
        <w:rPr>
          <w:lang w:val="en-GB"/>
        </w:rPr>
        <w:t>C</w:t>
      </w:r>
      <w:r w:rsidRPr="00F61730">
        <w:t xml:space="preserve">), </w:t>
      </w:r>
      <w:r w:rsidR="002762D9" w:rsidRPr="002762D9">
        <w:br/>
      </w:r>
      <w:r w:rsidRPr="00F61730">
        <w:t>а в приложении 8 ЕС-ТТСВП содержатся конкретные требования в отношении использования СПГ в качестве топлива. Кроме того, г-н Йорманн обратил внимание на тот факт, что в настоящее время в эксплуатации находятся шесть судов внутреннего плавания, оборудованных двигательной установкой, использующей СПГ. Для данных судов Административный комитет ВОПОГ предоставил отступление на основании документов, включая исследование по выявлению факторов опасности (</w:t>
      </w:r>
      <w:r w:rsidRPr="00F61730">
        <w:rPr>
          <w:lang w:val="en-GB"/>
        </w:rPr>
        <w:t>HAZID</w:t>
      </w:r>
      <w:r w:rsidRPr="00F61730">
        <w:t xml:space="preserve">). Проведенные исследования показали, что такие отступления не оказывают негативного влияния на уровень безопасности на борту судна. Ни в одном из этих случаев Административный комитет ВОПОГ не потребовал принятия дополнительных мер безопасности в связи с использованием СПГ в качестве топлива для двигательных установок судов внутреннего плавания, перевозящих опасные грузы, сверх мер, положенных ЦКСР в основу рекомендаций, вынесенных ЦКСР в отношении данных судов. Участники неофициальной рабочей группы также отметили, что в статье 1.3 приложения 8 ЕС-ТТСВП заявлено, что реализации каждой новой концепции конструкции, предусматривающей использование СПГ в качестве топлива для двигательной установки судна внутреннего плавания, должна предшествовать оценка последствий, демонстрирующая, что данная новая концепция не оказывает негативного влияния на уровень безопасности на борту судна. </w:t>
      </w:r>
    </w:p>
    <w:p w:rsidR="00F61730" w:rsidRPr="00F61730" w:rsidRDefault="00F61730" w:rsidP="00F61730">
      <w:pPr>
        <w:pStyle w:val="SingleTxtGR"/>
      </w:pPr>
      <w:r w:rsidRPr="00F61730">
        <w:t xml:space="preserve">8. </w:t>
      </w:r>
      <w:r w:rsidRPr="00F61730">
        <w:tab/>
        <w:t xml:space="preserve">Г-н Малисса проинформировал членов рабочей группы о своем опыте эксплуатации судна </w:t>
      </w:r>
      <w:r w:rsidR="002762D9">
        <w:t>«</w:t>
      </w:r>
      <w:r w:rsidRPr="00F61730">
        <w:rPr>
          <w:lang w:val="en-GB"/>
        </w:rPr>
        <w:t>Eiger</w:t>
      </w:r>
      <w:r w:rsidR="002762D9">
        <w:t>»</w:t>
      </w:r>
      <w:r w:rsidRPr="00F61730">
        <w:t xml:space="preserve">. До настоящего времени судно </w:t>
      </w:r>
      <w:r w:rsidR="002762D9">
        <w:t>«</w:t>
      </w:r>
      <w:r w:rsidRPr="00F61730">
        <w:rPr>
          <w:lang w:val="en-GB"/>
        </w:rPr>
        <w:t>Eiger</w:t>
      </w:r>
      <w:r w:rsidR="002762D9">
        <w:t>»</w:t>
      </w:r>
      <w:r w:rsidRPr="00F61730">
        <w:t xml:space="preserve"> не сталкивалось с серьезными инцидентами в связи с использованием СПГ в качестве топлива. </w:t>
      </w:r>
      <w:r w:rsidR="002762D9">
        <w:t>«</w:t>
      </w:r>
      <w:r w:rsidRPr="00F61730">
        <w:rPr>
          <w:lang w:val="en-GB"/>
        </w:rPr>
        <w:t>Eiger</w:t>
      </w:r>
      <w:r w:rsidR="002762D9">
        <w:t>»</w:t>
      </w:r>
      <w:r w:rsidRPr="00F61730">
        <w:t xml:space="preserve"> оборудовано бортовым пультом управления СПГ, который непрерывно регистрирует характеристики системы СПГ. На случай необходимости изготовитель установки СПГ имеет беспроводной доступ с берега к данной информации, благодаря чему возможный сбой в работе системы может быть выявлен и, вероятно, незамедлительно устранен. Г-н Малисса также особо отметил дополнительные требования к подготовке, которым должен отвечать экипаж, прежде чем он может быть допущен к управлению судном на СПГ. И</w:t>
      </w:r>
      <w:r w:rsidR="002762D9">
        <w:rPr>
          <w:lang w:val="en-US"/>
        </w:rPr>
        <w:t> </w:t>
      </w:r>
      <w:r w:rsidRPr="00F61730">
        <w:t>наконец, г-н Малисса обратил внимание членов неофициальной рабочей группы на тот факт, что использование СПГ в качестве топлива в настоящее время не является экономически выгодным ввиду низкой цены на обычный газойль. Это может замедлить рост числа судов на СПГ в предстоящие годы.</w:t>
      </w:r>
    </w:p>
    <w:p w:rsidR="00F61730" w:rsidRPr="00F61730" w:rsidRDefault="00F61730" w:rsidP="00F61730">
      <w:pPr>
        <w:pStyle w:val="HChGR"/>
      </w:pPr>
      <w:r w:rsidRPr="00F61730">
        <w:lastRenderedPageBreak/>
        <w:tab/>
      </w:r>
      <w:r w:rsidRPr="00F61730">
        <w:rPr>
          <w:lang w:val="en-GB"/>
        </w:rPr>
        <w:t>IV</w:t>
      </w:r>
      <w:r w:rsidRPr="00F61730">
        <w:t>.</w:t>
      </w:r>
      <w:r w:rsidRPr="00F61730">
        <w:tab/>
        <w:t xml:space="preserve">Варианты корректировки ВОПОГ с целью </w:t>
      </w:r>
      <w:r w:rsidR="002762D9">
        <w:rPr>
          <w:lang w:val="en-US"/>
        </w:rPr>
        <w:br/>
      </w:r>
      <w:r w:rsidRPr="00F61730">
        <w:t>разрешить использование СПГ в качестве топлива для двигательных установок судов внутреннего плавания, перевозящих опасные грузы</w:t>
      </w:r>
    </w:p>
    <w:p w:rsidR="00F61730" w:rsidRPr="00F61730" w:rsidRDefault="00F61730" w:rsidP="00F61730">
      <w:pPr>
        <w:pStyle w:val="SingleTxtGR"/>
      </w:pPr>
      <w:r w:rsidRPr="00F61730">
        <w:t>9.</w:t>
      </w:r>
      <w:r w:rsidRPr="00F61730">
        <w:tab/>
        <w:t>Неофициальная рабочая  группа определила 5 вариантов корректировки ВОПОГ с целью разрешить использование СПГ в качестве топлива для двигательных установок судов внутреннего плавания, перевозящих опасные грузы:</w:t>
      </w:r>
    </w:p>
    <w:p w:rsidR="00F61730" w:rsidRPr="00F61730" w:rsidRDefault="00F61730" w:rsidP="00F61730">
      <w:pPr>
        <w:pStyle w:val="SingleTxtGR"/>
        <w:ind w:left="2268" w:hanging="567"/>
      </w:pPr>
      <w:r w:rsidRPr="00F61730">
        <w:rPr>
          <w:lang w:val="en-GB"/>
        </w:rPr>
        <w:t>A</w:t>
      </w:r>
      <w:r w:rsidRPr="00F61730">
        <w:tab/>
        <w:t xml:space="preserve">Исключить из Правил, прилагаемых к ВОПОГ, положения, запрещающие использование топлива с температурой вспышки </w:t>
      </w:r>
      <w:r w:rsidR="002762D9" w:rsidRPr="002762D9">
        <w:br/>
      </w:r>
      <w:r w:rsidRPr="00F61730">
        <w:t>ниже 55 º</w:t>
      </w:r>
      <w:r w:rsidRPr="00F61730">
        <w:rPr>
          <w:lang w:val="en-GB"/>
        </w:rPr>
        <w:t>C</w:t>
      </w:r>
      <w:r w:rsidRPr="00F61730">
        <w:t>;</w:t>
      </w:r>
    </w:p>
    <w:p w:rsidR="00F61730" w:rsidRPr="00F61730" w:rsidRDefault="00F61730" w:rsidP="00F61730">
      <w:pPr>
        <w:pStyle w:val="SingleTxtGR"/>
        <w:ind w:left="2268" w:hanging="567"/>
      </w:pPr>
      <w:r w:rsidRPr="00F61730">
        <w:rPr>
          <w:lang w:val="en-GB"/>
        </w:rPr>
        <w:t>B</w:t>
      </w:r>
      <w:r w:rsidRPr="00F61730">
        <w:tab/>
        <w:t xml:space="preserve">Добавить к положениям Правил, прилагаемых к ВОПОГ, которые запрещают использование топлива с температурой вспышки </w:t>
      </w:r>
      <w:r w:rsidR="002762D9" w:rsidRPr="002762D9">
        <w:br/>
      </w:r>
      <w:r w:rsidRPr="00F61730">
        <w:t>ниже 55 º</w:t>
      </w:r>
      <w:r w:rsidRPr="00F61730">
        <w:rPr>
          <w:lang w:val="en-GB"/>
        </w:rPr>
        <w:t>C</w:t>
      </w:r>
      <w:r w:rsidRPr="00F61730">
        <w:t>, общее освобождение, касающееся использования СПГ;</w:t>
      </w:r>
    </w:p>
    <w:p w:rsidR="00F61730" w:rsidRPr="00F61730" w:rsidRDefault="00F61730" w:rsidP="00F61730">
      <w:pPr>
        <w:pStyle w:val="SingleTxtGR"/>
        <w:ind w:left="2268" w:hanging="567"/>
      </w:pPr>
      <w:r w:rsidRPr="00F61730">
        <w:rPr>
          <w:lang w:val="en-GB"/>
        </w:rPr>
        <w:t>C</w:t>
      </w:r>
      <w:r w:rsidRPr="00F61730">
        <w:tab/>
        <w:t xml:space="preserve">Добавить к положениям Правил, прилагаемых к ВОПОГ, которые запрещают использование топлива с температурой вспышки </w:t>
      </w:r>
      <w:r w:rsidR="002762D9" w:rsidRPr="002762D9">
        <w:br/>
      </w:r>
      <w:r w:rsidRPr="00F61730">
        <w:t>ниже 55 º</w:t>
      </w:r>
      <w:r w:rsidRPr="00F61730">
        <w:rPr>
          <w:lang w:val="en-GB"/>
        </w:rPr>
        <w:t>C</w:t>
      </w:r>
      <w:r w:rsidRPr="00F61730">
        <w:t>, освобождение, касающееся использования СПГ, с динамической ссылкой на главу 30 и приложение 8 ЕС-ТТСВП;</w:t>
      </w:r>
    </w:p>
    <w:p w:rsidR="00F61730" w:rsidRPr="00F61730" w:rsidRDefault="00F61730" w:rsidP="00F61730">
      <w:pPr>
        <w:pStyle w:val="SingleTxtGR"/>
        <w:ind w:left="2268" w:hanging="567"/>
      </w:pPr>
      <w:r w:rsidRPr="00F61730">
        <w:rPr>
          <w:lang w:val="en-GB"/>
        </w:rPr>
        <w:t>D</w:t>
      </w:r>
      <w:r w:rsidRPr="00F61730">
        <w:tab/>
        <w:t xml:space="preserve">Добавить к положениям Правил, прилагаемых к ВОПОГ, которые запрещают использование топлива с температурой вспышки </w:t>
      </w:r>
      <w:r w:rsidR="002762D9" w:rsidRPr="002762D9">
        <w:br/>
      </w:r>
      <w:r w:rsidRPr="00F61730">
        <w:t>ниже 55 º</w:t>
      </w:r>
      <w:r w:rsidRPr="00F61730">
        <w:rPr>
          <w:lang w:val="en-GB"/>
        </w:rPr>
        <w:t>C</w:t>
      </w:r>
      <w:r w:rsidRPr="00F61730">
        <w:t>, освобождение, касающееся использования СПГ, с</w:t>
      </w:r>
      <w:r w:rsidR="00C47E7F">
        <w:t>о</w:t>
      </w:r>
      <w:r w:rsidRPr="00F61730">
        <w:t xml:space="preserve"> статической ссылкой на определенный вариант главы 30 и приложения</w:t>
      </w:r>
      <w:r w:rsidR="00C47E7F">
        <w:t> </w:t>
      </w:r>
      <w:r w:rsidRPr="00F61730">
        <w:t>8 ЕС-ТТСВП;</w:t>
      </w:r>
    </w:p>
    <w:p w:rsidR="00F61730" w:rsidRPr="00F61730" w:rsidRDefault="00F61730" w:rsidP="00F61730">
      <w:pPr>
        <w:pStyle w:val="SingleTxtGR"/>
        <w:ind w:left="2268" w:hanging="567"/>
      </w:pPr>
      <w:r w:rsidRPr="00F61730">
        <w:rPr>
          <w:lang w:val="en-GB"/>
        </w:rPr>
        <w:t>E</w:t>
      </w:r>
      <w:r w:rsidRPr="00F61730">
        <w:tab/>
        <w:t>Воспроизвести в ВОПОГ главу 30 и приложение 8 ЕС-ТТСВП.</w:t>
      </w:r>
    </w:p>
    <w:p w:rsidR="00F61730" w:rsidRPr="00F61730" w:rsidRDefault="00F61730" w:rsidP="00F61730">
      <w:pPr>
        <w:pStyle w:val="HChGR"/>
      </w:pPr>
      <w:r w:rsidRPr="00F61730">
        <w:tab/>
      </w:r>
      <w:r w:rsidRPr="00F61730">
        <w:rPr>
          <w:lang w:val="en-GB"/>
        </w:rPr>
        <w:t>V</w:t>
      </w:r>
      <w:r w:rsidRPr="00F61730">
        <w:t xml:space="preserve">. </w:t>
      </w:r>
      <w:r w:rsidRPr="00F61730">
        <w:tab/>
        <w:t>Соображения</w:t>
      </w:r>
    </w:p>
    <w:p w:rsidR="00F61730" w:rsidRPr="00F61730" w:rsidRDefault="00F61730" w:rsidP="00F61730">
      <w:pPr>
        <w:pStyle w:val="SingleTxtGR"/>
      </w:pPr>
      <w:r w:rsidRPr="00F61730">
        <w:t>10.</w:t>
      </w:r>
      <w:r w:rsidRPr="00F61730">
        <w:tab/>
        <w:t>Прежде чем рассматривать преимущества и недостатки описанных выше вариантов, неофициальная рабочая  группа определила несколько отправных моментов и/или законодательных принципов, которые необходимо учитывать при рассмотрении различных вариантов, а именно:</w:t>
      </w:r>
    </w:p>
    <w:p w:rsidR="00F61730" w:rsidRPr="00F61730" w:rsidRDefault="00F61730" w:rsidP="00F61730">
      <w:pPr>
        <w:pStyle w:val="SingleTxtGR"/>
      </w:pPr>
      <w:r>
        <w:rPr>
          <w:lang w:val="en-GB"/>
        </w:rPr>
        <w:tab/>
      </w:r>
      <w:r w:rsidRPr="00F61730">
        <w:rPr>
          <w:lang w:val="en-GB"/>
        </w:rPr>
        <w:t>a</w:t>
      </w:r>
      <w:r w:rsidRPr="00F61730">
        <w:t>)</w:t>
      </w:r>
      <w:r w:rsidRPr="00F61730">
        <w:tab/>
        <w:t>неснижение уровня безопасности;</w:t>
      </w:r>
    </w:p>
    <w:p w:rsidR="00F61730" w:rsidRPr="00F61730" w:rsidRDefault="00F61730" w:rsidP="00F61730">
      <w:pPr>
        <w:pStyle w:val="SingleTxtGR"/>
      </w:pPr>
      <w:r>
        <w:rPr>
          <w:lang w:val="en-GB"/>
        </w:rPr>
        <w:tab/>
      </w:r>
      <w:r w:rsidRPr="00F61730">
        <w:rPr>
          <w:lang w:val="en-GB"/>
        </w:rPr>
        <w:t>b</w:t>
      </w:r>
      <w:r w:rsidRPr="00F61730">
        <w:t>)</w:t>
      </w:r>
      <w:r w:rsidRPr="00F61730">
        <w:tab/>
        <w:t>международная гармонизация законодательства;</w:t>
      </w:r>
    </w:p>
    <w:p w:rsidR="00F61730" w:rsidRPr="00F61730" w:rsidRDefault="00F61730" w:rsidP="00F61730">
      <w:pPr>
        <w:pStyle w:val="SingleTxtGR"/>
      </w:pPr>
      <w:r>
        <w:rPr>
          <w:lang w:val="en-GB"/>
        </w:rPr>
        <w:tab/>
      </w:r>
      <w:r w:rsidRPr="00F61730">
        <w:rPr>
          <w:lang w:val="en-GB"/>
        </w:rPr>
        <w:t>c</w:t>
      </w:r>
      <w:r w:rsidRPr="00F61730">
        <w:t>)</w:t>
      </w:r>
      <w:r w:rsidRPr="00F61730">
        <w:tab/>
        <w:t>неблокирование других инновационных продуктов (нейтральных с</w:t>
      </w:r>
      <w:r w:rsidR="002762D9">
        <w:rPr>
          <w:lang w:val="en-US"/>
        </w:rPr>
        <w:t> </w:t>
      </w:r>
      <w:r w:rsidRPr="00F61730">
        <w:t>точки зрения вида топлива);</w:t>
      </w:r>
    </w:p>
    <w:p w:rsidR="00F61730" w:rsidRPr="00F61730" w:rsidRDefault="00F61730" w:rsidP="00F61730">
      <w:pPr>
        <w:pStyle w:val="SingleTxtGR"/>
      </w:pPr>
      <w:r w:rsidRPr="002762D9">
        <w:tab/>
      </w:r>
      <w:r w:rsidRPr="00F61730">
        <w:rPr>
          <w:lang w:val="en-GB"/>
        </w:rPr>
        <w:t>d</w:t>
      </w:r>
      <w:r w:rsidRPr="00F61730">
        <w:t>)</w:t>
      </w:r>
      <w:r w:rsidRPr="00F61730">
        <w:tab/>
        <w:t xml:space="preserve">уважение прерогатив всех государств </w:t>
      </w:r>
      <w:r w:rsidR="00C47E7F">
        <w:t>–</w:t>
      </w:r>
      <w:r w:rsidRPr="00F61730">
        <w:t xml:space="preserve"> Договаривающихся сторон ВОПОГ, включая тех, которые не являются членами ЕС или ЦКСР.</w:t>
      </w:r>
    </w:p>
    <w:p w:rsidR="00F61730" w:rsidRPr="00F61730" w:rsidRDefault="00F61730" w:rsidP="00F61730">
      <w:pPr>
        <w:pStyle w:val="SingleTxtGR"/>
      </w:pPr>
      <w:r w:rsidRPr="00F61730">
        <w:t>11.</w:t>
      </w:r>
      <w:r w:rsidRPr="00F61730">
        <w:tab/>
        <w:t xml:space="preserve">Несмотря на то, что подраздел 1.1.3.3 ВОПОГ прямо гласит, что предписания ВОПОГ не применяются к веществам, которые используются для обеспечения движения судов, члены неофициальной рабочей группы признали вариант </w:t>
      </w:r>
      <w:r w:rsidRPr="00F61730">
        <w:rPr>
          <w:lang w:val="en-GB"/>
        </w:rPr>
        <w:t>A</w:t>
      </w:r>
      <w:r w:rsidRPr="00F61730">
        <w:t xml:space="preserve"> нежелательным. Исключение этих положений могло бы открыть путь для использования всех видов топлива с температурой вспышки ниже 55 º</w:t>
      </w:r>
      <w:r w:rsidRPr="00F61730">
        <w:rPr>
          <w:lang w:val="en-GB"/>
        </w:rPr>
        <w:t>C</w:t>
      </w:r>
      <w:r w:rsidRPr="00F61730">
        <w:t xml:space="preserve"> на борту судов внутреннего плавания, перевозящих опасные грузы. Это означает, что соблюдение принципа </w:t>
      </w:r>
      <w:r w:rsidR="002762D9">
        <w:t>«</w:t>
      </w:r>
      <w:r w:rsidRPr="00F61730">
        <w:t>неснижения уровня безопасности</w:t>
      </w:r>
      <w:r w:rsidR="002762D9">
        <w:t>»</w:t>
      </w:r>
      <w:r w:rsidRPr="00F61730">
        <w:t xml:space="preserve"> не может быть гарантировано. Вариант </w:t>
      </w:r>
      <w:r w:rsidRPr="00F61730">
        <w:rPr>
          <w:lang w:val="en-GB"/>
        </w:rPr>
        <w:t>E</w:t>
      </w:r>
      <w:r w:rsidRPr="00F61730">
        <w:t xml:space="preserve"> был сочтен также нежелательным ввиду того, что, как только один законодательный акт по данному вопросу изменяется, необходимо </w:t>
      </w:r>
      <w:r w:rsidRPr="00F61730">
        <w:lastRenderedPageBreak/>
        <w:t>корректировать и остальное законодательство. Опыт показывает, что это быстро приводит к расхождению и международной дисгармонизации законодательства.</w:t>
      </w:r>
    </w:p>
    <w:p w:rsidR="00F61730" w:rsidRPr="00F61730" w:rsidRDefault="00F61730" w:rsidP="00F61730">
      <w:pPr>
        <w:pStyle w:val="SingleTxtGR"/>
      </w:pPr>
      <w:r w:rsidRPr="00F61730">
        <w:t>12.</w:t>
      </w:r>
      <w:r w:rsidRPr="00F61730">
        <w:tab/>
        <w:t>Неофициальная рабочая группа, учитывая отправные моменты/</w:t>
      </w:r>
      <w:r w:rsidR="007F0C4A">
        <w:br/>
      </w:r>
      <w:r w:rsidRPr="00F61730">
        <w:t>законодательные принципы, признала все три другие варианта приемлемыми (</w:t>
      </w:r>
      <w:r w:rsidRPr="00F61730">
        <w:rPr>
          <w:lang w:val="en-GB"/>
        </w:rPr>
        <w:t>B</w:t>
      </w:r>
      <w:r w:rsidRPr="00F61730">
        <w:t xml:space="preserve">, </w:t>
      </w:r>
      <w:r w:rsidRPr="00F61730">
        <w:rPr>
          <w:lang w:val="en-GB"/>
        </w:rPr>
        <w:t>C</w:t>
      </w:r>
      <w:r w:rsidRPr="00F61730">
        <w:t xml:space="preserve"> и </w:t>
      </w:r>
      <w:r w:rsidRPr="00F61730">
        <w:rPr>
          <w:lang w:val="en-GB"/>
        </w:rPr>
        <w:t>D</w:t>
      </w:r>
      <w:r w:rsidRPr="00F61730">
        <w:t xml:space="preserve">, с предпочтением варианта </w:t>
      </w:r>
      <w:r w:rsidRPr="00F61730">
        <w:rPr>
          <w:lang w:val="en-GB"/>
        </w:rPr>
        <w:t>B</w:t>
      </w:r>
      <w:r w:rsidRPr="00F61730">
        <w:t xml:space="preserve">, поскольку он обеспечивает быстрое включение СПГ в ВОПОГ). Поэтому неофициальная рабочая группа просит Комитет по вопросам безопасности ВОПОГ сообщить о том, который из этих трех изложенных ниже вариантов </w:t>
      </w:r>
      <w:r w:rsidRPr="00F61730">
        <w:rPr>
          <w:lang w:val="en-GB"/>
        </w:rPr>
        <w:t>o</w:t>
      </w:r>
      <w:r w:rsidRPr="00F61730">
        <w:t>н предпочитает:</w:t>
      </w:r>
    </w:p>
    <w:p w:rsidR="00F61730" w:rsidRPr="00F61730" w:rsidRDefault="00F61730" w:rsidP="00F61730">
      <w:pPr>
        <w:pStyle w:val="SingleTxtGR"/>
        <w:rPr>
          <w:i/>
        </w:rPr>
      </w:pPr>
      <w:r w:rsidRPr="00F61730">
        <w:rPr>
          <w:i/>
        </w:rPr>
        <w:t xml:space="preserve">Вариант </w:t>
      </w:r>
      <w:r w:rsidRPr="00F61730">
        <w:rPr>
          <w:i/>
          <w:lang w:val="en-GB"/>
        </w:rPr>
        <w:t>B</w:t>
      </w:r>
      <w:r w:rsidRPr="00F61730">
        <w:rPr>
          <w:i/>
        </w:rPr>
        <w:t>:</w:t>
      </w:r>
    </w:p>
    <w:p w:rsidR="00F61730" w:rsidRPr="00F61730" w:rsidRDefault="00F61730" w:rsidP="00F61730">
      <w:pPr>
        <w:pStyle w:val="SingleTxtGR"/>
      </w:pPr>
      <w:r w:rsidRPr="00F61730">
        <w:t>Добавить</w:t>
      </w:r>
      <w:r w:rsidRPr="004E65BD">
        <w:rPr>
          <w:spacing w:val="2"/>
        </w:rPr>
        <w:t xml:space="preserve"> в пункты 7.1.3.31, 7.2.3.31.1, 9.1.0.31.1 и 9.3.</w:t>
      </w:r>
      <w:r w:rsidRPr="004E65BD">
        <w:rPr>
          <w:spacing w:val="2"/>
          <w:lang w:val="en-GB"/>
        </w:rPr>
        <w:t>X</w:t>
      </w:r>
      <w:r w:rsidRPr="004E65BD">
        <w:rPr>
          <w:spacing w:val="2"/>
        </w:rPr>
        <w:t xml:space="preserve">.31.1 слова </w:t>
      </w:r>
      <w:r w:rsidR="002762D9" w:rsidRPr="004E65BD">
        <w:rPr>
          <w:spacing w:val="2"/>
        </w:rPr>
        <w:t>«</w:t>
      </w:r>
      <w:r w:rsidRPr="004E65BD">
        <w:rPr>
          <w:spacing w:val="2"/>
        </w:rPr>
        <w:t xml:space="preserve">кроме </w:t>
      </w:r>
      <w:r w:rsidRPr="00F61730">
        <w:t>СПГ</w:t>
      </w:r>
      <w:r w:rsidR="002762D9">
        <w:t>»</w:t>
      </w:r>
      <w:r w:rsidRPr="00F61730">
        <w:t>. Например, в пункт 7.1.3.31.1:</w:t>
      </w:r>
    </w:p>
    <w:p w:rsidR="00F61730" w:rsidRPr="00F61730" w:rsidRDefault="00F61730" w:rsidP="00F61730">
      <w:pPr>
        <w:pStyle w:val="SingleTxtGR"/>
      </w:pPr>
      <w:r w:rsidRPr="00F61730">
        <w:t>Запрещается использовать двигатели, работающие на топливе с температурой вспышки ниже 55</w:t>
      </w:r>
      <w:r w:rsidRPr="00F61730">
        <w:rPr>
          <w:lang w:val="en-US"/>
        </w:rPr>
        <w:t> </w:t>
      </w:r>
      <w:r w:rsidRPr="00F61730">
        <w:t>°</w:t>
      </w:r>
      <w:r w:rsidRPr="00F61730">
        <w:rPr>
          <w:lang w:val="en-GB"/>
        </w:rPr>
        <w:t>C</w:t>
      </w:r>
      <w:r w:rsidRPr="00F61730">
        <w:rPr>
          <w:b/>
          <w:u w:val="single"/>
        </w:rPr>
        <w:t>, кроме СПГ</w:t>
      </w:r>
      <w:r w:rsidRPr="00F61730">
        <w:t xml:space="preserve"> (например, бензиновые двигатели).</w:t>
      </w:r>
    </w:p>
    <w:p w:rsidR="00F61730" w:rsidRPr="00F61730" w:rsidRDefault="00F61730" w:rsidP="00F61730">
      <w:pPr>
        <w:pStyle w:val="SingleTxtGR"/>
      </w:pPr>
      <w:r w:rsidRPr="00F61730">
        <w:t>Преимущество данного простого решения состоит в том, что оно стимулирует международную гармонизацию благодаря отказу от дублирования законодательства. Кроме того, оно обеспечивает уважение прерогатив государств</w:t>
      </w:r>
      <w:r w:rsidR="004E65BD">
        <w:t> –</w:t>
      </w:r>
      <w:r w:rsidRPr="00F61730">
        <w:t xml:space="preserve"> </w:t>
      </w:r>
      <w:r w:rsidR="004E65BD">
        <w:br/>
      </w:r>
      <w:r w:rsidRPr="00F61730">
        <w:t xml:space="preserve">Договаривающихся сторон ВОПОГ, поскольку все Договаривающиеся стороны имеют возможность (а все государства </w:t>
      </w:r>
      <w:r w:rsidR="004E65BD">
        <w:t>–</w:t>
      </w:r>
      <w:r w:rsidRPr="00F61730">
        <w:t xml:space="preserve"> члены </w:t>
      </w:r>
      <w:r w:rsidRPr="00F61730">
        <w:rPr>
          <w:lang w:val="en-GB"/>
        </w:rPr>
        <w:t>E</w:t>
      </w:r>
      <w:r w:rsidRPr="00F61730">
        <w:t xml:space="preserve">С/ЦКСР </w:t>
      </w:r>
      <w:r w:rsidR="004E65BD">
        <w:t>–</w:t>
      </w:r>
      <w:r w:rsidRPr="00F61730">
        <w:t xml:space="preserve"> обязательство) применять стандарты ЕС-ТТСВП в своем законодательстве и вносить свой вклад в дальнейшее развитие данного стандарта в будущем.</w:t>
      </w:r>
    </w:p>
    <w:p w:rsidR="00F61730" w:rsidRPr="00F61730" w:rsidRDefault="00F61730" w:rsidP="00F61730">
      <w:pPr>
        <w:pStyle w:val="SingleTxtGR"/>
        <w:rPr>
          <w:i/>
        </w:rPr>
      </w:pPr>
      <w:r w:rsidRPr="00F61730">
        <w:rPr>
          <w:i/>
        </w:rPr>
        <w:t xml:space="preserve">Вариант </w:t>
      </w:r>
      <w:r w:rsidRPr="00F61730">
        <w:rPr>
          <w:i/>
          <w:lang w:val="en-GB"/>
        </w:rPr>
        <w:t>C</w:t>
      </w:r>
      <w:r w:rsidRPr="00F61730">
        <w:rPr>
          <w:i/>
        </w:rPr>
        <w:t>:</w:t>
      </w:r>
    </w:p>
    <w:p w:rsidR="00F61730" w:rsidRPr="00F61730" w:rsidRDefault="00F61730" w:rsidP="00F61730">
      <w:pPr>
        <w:pStyle w:val="SingleTxtGR"/>
      </w:pPr>
      <w:r w:rsidRPr="00F61730">
        <w:t>Добавить в пункты 7.1.3.31, 7.2.3.31.1, 9.1.0.31.1 и 9.3.</w:t>
      </w:r>
      <w:r w:rsidRPr="00F61730">
        <w:rPr>
          <w:lang w:val="en-GB"/>
        </w:rPr>
        <w:t>X</w:t>
      </w:r>
      <w:r w:rsidRPr="00F61730">
        <w:t>.31.1 динамическую ссылку на главу 30 и приложение 8 ЕС-ТТСВП. Например, в пункт 7.1.3.31:</w:t>
      </w:r>
    </w:p>
    <w:p w:rsidR="00F61730" w:rsidRPr="00F61730" w:rsidRDefault="00F61730" w:rsidP="00F61730">
      <w:pPr>
        <w:pStyle w:val="SingleTxtGR"/>
      </w:pPr>
      <w:r w:rsidRPr="00F61730">
        <w:t>Запрещается использовать двигатели, работающие на топливе с температурой вспышки ниже 55</w:t>
      </w:r>
      <w:r w:rsidRPr="00F61730">
        <w:rPr>
          <w:lang w:val="en-US"/>
        </w:rPr>
        <w:t> </w:t>
      </w:r>
      <w:r w:rsidRPr="00F61730">
        <w:t>°</w:t>
      </w:r>
      <w:r w:rsidRPr="00F61730">
        <w:rPr>
          <w:lang w:val="en-GB"/>
        </w:rPr>
        <w:t>C</w:t>
      </w:r>
      <w:r w:rsidRPr="00F61730">
        <w:t xml:space="preserve"> (например, бензиновые двигатели)</w:t>
      </w:r>
      <w:r w:rsidRPr="00F61730">
        <w:rPr>
          <w:b/>
          <w:u w:val="single"/>
        </w:rPr>
        <w:t>, если не выполнены требования главы 30 и приложения 8 Европейского стандарта, устанавливающего технические требования для судов внутреннего плавания</w:t>
      </w:r>
      <w:r w:rsidRPr="00F61730">
        <w:t>.</w:t>
      </w:r>
    </w:p>
    <w:p w:rsidR="00F61730" w:rsidRPr="00F61730" w:rsidRDefault="00F61730" w:rsidP="00F61730">
      <w:pPr>
        <w:pStyle w:val="SingleTxtGR"/>
      </w:pPr>
      <w:r w:rsidRPr="00F61730">
        <w:t xml:space="preserve">Преимущество данного варианта состоит в том, что он поощряет международную гармонизацию, так как требования в отношении использования СПГ в качестве топлива для двигательных установок судов внутреннего плавания, перевозящих опасные грузы, являются идентичными во всех государствах </w:t>
      </w:r>
      <w:r w:rsidR="004E65BD">
        <w:t>–</w:t>
      </w:r>
      <w:r w:rsidRPr="00F61730">
        <w:t xml:space="preserve"> Договаривающихся сторонах ВОПОГ. Недостаток состоит в том, что Правила, прилагаемые к ВОПОГ, содержат стандарт, в разработку которого формально могут вносить вклад все Договаривающиеся стороны ВОПОГ, однако не все Договаривающиеся стороны ВОПОГ могут на равной основе участвовать в принятии решений. ЕС-ТТСВП разработан в рамках Европейского комитета по разработке общих стандартов в области внутреннего судоходства (КЕСНИ). КЕСНИ состоит из государств - членов ЕС и ЦКСР. Представители государств, которые не</w:t>
      </w:r>
      <w:r w:rsidR="007F0C4A">
        <w:t> </w:t>
      </w:r>
      <w:r w:rsidRPr="00F61730">
        <w:t>являются членами ЕС или ЦКСР, могут участвовать в работе КЕСНИ без права голоса.</w:t>
      </w:r>
    </w:p>
    <w:p w:rsidR="00F61730" w:rsidRPr="00F61730" w:rsidRDefault="00F61730" w:rsidP="00F61730">
      <w:pPr>
        <w:pStyle w:val="SingleTxtGR"/>
        <w:rPr>
          <w:i/>
        </w:rPr>
      </w:pPr>
      <w:r w:rsidRPr="00F61730">
        <w:rPr>
          <w:i/>
        </w:rPr>
        <w:t xml:space="preserve">Вариант </w:t>
      </w:r>
      <w:r w:rsidRPr="00F61730">
        <w:rPr>
          <w:i/>
          <w:lang w:val="en-GB"/>
        </w:rPr>
        <w:t>D</w:t>
      </w:r>
      <w:r w:rsidRPr="00F61730">
        <w:rPr>
          <w:i/>
        </w:rPr>
        <w:t>:</w:t>
      </w:r>
    </w:p>
    <w:p w:rsidR="00F61730" w:rsidRPr="00F61730" w:rsidRDefault="00F61730" w:rsidP="00F61730">
      <w:pPr>
        <w:pStyle w:val="SingleTxtGR"/>
      </w:pPr>
      <w:r w:rsidRPr="00F61730">
        <w:t>Добавить в пункты 7.1.3.31, 7.2.3.31.1, 9.1.0.31.1 и 9.3.</w:t>
      </w:r>
      <w:r w:rsidRPr="00F61730">
        <w:rPr>
          <w:lang w:val="en-GB"/>
        </w:rPr>
        <w:t>X</w:t>
      </w:r>
      <w:r w:rsidRPr="00F61730">
        <w:t>.31.1 статическую ссылку на главу 30 и приложение 8 ЕС-ТТСВП. Например, в пункт 7.1.3.31:</w:t>
      </w:r>
    </w:p>
    <w:p w:rsidR="00F61730" w:rsidRPr="00F61730" w:rsidRDefault="00F61730" w:rsidP="007F0C4A">
      <w:pPr>
        <w:pStyle w:val="SingleTxtGR"/>
        <w:keepNext/>
        <w:keepLines/>
      </w:pPr>
      <w:r w:rsidRPr="00F61730">
        <w:lastRenderedPageBreak/>
        <w:t>Запрещается использовать двигатели, работающие на топливе с температурой вспышки ниже 55</w:t>
      </w:r>
      <w:r w:rsidRPr="00F61730">
        <w:rPr>
          <w:lang w:val="en-US"/>
        </w:rPr>
        <w:t> </w:t>
      </w:r>
      <w:r w:rsidRPr="00F61730">
        <w:t>°</w:t>
      </w:r>
      <w:r w:rsidRPr="00F61730">
        <w:rPr>
          <w:lang w:val="en-GB"/>
        </w:rPr>
        <w:t>C</w:t>
      </w:r>
      <w:r w:rsidRPr="00F61730">
        <w:t xml:space="preserve"> (например, бензиновые двигатели)</w:t>
      </w:r>
      <w:r w:rsidRPr="00F61730">
        <w:rPr>
          <w:b/>
          <w:u w:val="single"/>
        </w:rPr>
        <w:t>, если не выполнены требования главы 30 и приложения 8 Европейского стандарта, устанавливающего технические требования для судов внутреннего плавания (издание 2015/1)</w:t>
      </w:r>
      <w:r w:rsidRPr="00F61730">
        <w:t>.</w:t>
      </w:r>
    </w:p>
    <w:p w:rsidR="00F61730" w:rsidRPr="00F61730" w:rsidRDefault="00F61730" w:rsidP="00F61730">
      <w:pPr>
        <w:pStyle w:val="SingleTxtGR"/>
      </w:pPr>
      <w:r w:rsidRPr="00F61730">
        <w:t xml:space="preserve">Преимущество данного варианта состоит в том, что он поощряет международную гармонизацию, так как требования в отношении использования СПГ в качестве топлива для двигательных установок судов внутреннего плавания, перевозящих опасные грузы, являются идентичными во всех государствах </w:t>
      </w:r>
      <w:r w:rsidR="004E65BD">
        <w:t>–</w:t>
      </w:r>
      <w:r w:rsidRPr="00F61730">
        <w:t xml:space="preserve"> Договаривающихся сторонах ВОПОГ. Тем не менее существует опасность расхождения международного законодательства ввиду того, что данный стандарт должен обновляться в ВОПОГ каждый раз, когда он корректируется КЕСНИ по новому варианту. Однако при этом обеспечивается уважение прерогатив всех государств </w:t>
      </w:r>
      <w:r w:rsidR="007F0C4A">
        <w:t>–</w:t>
      </w:r>
      <w:r w:rsidRPr="00F61730">
        <w:t xml:space="preserve"> Договаривающихся сторон ВОПОГ, так как они могут голосовать по каждому изменению в законодательстве, применимом к перевозящим опасные грузы судам внутреннего плавания, которые используют СПГ в качестве топлива для своих двигательных установок.</w:t>
      </w:r>
    </w:p>
    <w:p w:rsidR="00F61730" w:rsidRPr="00F61730" w:rsidRDefault="00F61730" w:rsidP="00F61730">
      <w:pPr>
        <w:pStyle w:val="HChGR"/>
      </w:pPr>
      <w:r w:rsidRPr="00F61730">
        <w:tab/>
      </w:r>
      <w:r w:rsidRPr="00F61730">
        <w:rPr>
          <w:lang w:val="en-GB"/>
        </w:rPr>
        <w:t>VI</w:t>
      </w:r>
      <w:r w:rsidRPr="00F61730">
        <w:t>.</w:t>
      </w:r>
      <w:r w:rsidRPr="00F61730">
        <w:tab/>
        <w:t xml:space="preserve">Нормы и стандарты, касающиеся процедур </w:t>
      </w:r>
      <w:r w:rsidR="004E65BD">
        <w:br/>
      </w:r>
      <w:r w:rsidRPr="00F61730">
        <w:t>заправки СПГ</w:t>
      </w:r>
    </w:p>
    <w:p w:rsidR="00F61730" w:rsidRPr="00F61730" w:rsidRDefault="00F61730" w:rsidP="00F61730">
      <w:pPr>
        <w:pStyle w:val="SingleTxtGR"/>
      </w:pPr>
      <w:r w:rsidRPr="00F61730">
        <w:t>13.</w:t>
      </w:r>
      <w:r w:rsidRPr="00F61730">
        <w:tab/>
        <w:t xml:space="preserve">После обсуждения данного вопроса неофициальная рабочая  группа пришла к заключению, что в Правила, прилагаемые к ВОПОГ, нежелательно добавлять нормы и/или стандарты, касающиеся устройств заправки СПГ, так как, согласно подразделу 1.1.3.3 ВОПОГ, предписания ВОПОГ не применяются к веществам, которые используются для обеспечения движения судов. Участники приняли к сведению статью 2.8.6 приложения 8 ЕС-ТТСВП, которая гласит, что соединения коллекторов для заправки СПГ должны соответствовать европейскому стандарту </w:t>
      </w:r>
      <w:r w:rsidRPr="00F61730">
        <w:rPr>
          <w:lang w:val="en-GB"/>
        </w:rPr>
        <w:t>EN</w:t>
      </w:r>
      <w:r w:rsidRPr="00F61730">
        <w:t xml:space="preserve"> 1474.</w:t>
      </w:r>
    </w:p>
    <w:p w:rsidR="00F61730" w:rsidRPr="00F61730" w:rsidRDefault="00F61730" w:rsidP="00F61730">
      <w:pPr>
        <w:pStyle w:val="HChGR"/>
      </w:pPr>
      <w:r w:rsidRPr="00F61730">
        <w:tab/>
      </w:r>
      <w:r w:rsidRPr="00F61730">
        <w:rPr>
          <w:lang w:val="en-GB"/>
        </w:rPr>
        <w:t>VII</w:t>
      </w:r>
      <w:r w:rsidRPr="00F61730">
        <w:t>.</w:t>
      </w:r>
      <w:r w:rsidRPr="00F61730">
        <w:tab/>
        <w:t>Заключение и следующее совещание</w:t>
      </w:r>
    </w:p>
    <w:p w:rsidR="00F61730" w:rsidRPr="00F61730" w:rsidRDefault="00F61730" w:rsidP="00F61730">
      <w:pPr>
        <w:pStyle w:val="SingleTxtGR"/>
      </w:pPr>
      <w:r w:rsidRPr="00F61730">
        <w:t>14.</w:t>
      </w:r>
      <w:r w:rsidRPr="00F61730">
        <w:tab/>
        <w:t>Неофициальная рабочая группа еще раз просит Комитет по вопросам безопасности ВОПОГ ответить на сформулированный в пункте 11 вопрос о том, какой из трех вариантов, которые сейчас пользуются поддержкой, является наиболее подходящим для включения в ВОПОГ.</w:t>
      </w:r>
    </w:p>
    <w:p w:rsidR="00F61730" w:rsidRPr="00F61730" w:rsidRDefault="00F61730" w:rsidP="00F61730">
      <w:pPr>
        <w:pStyle w:val="SingleTxtGR"/>
      </w:pPr>
      <w:r w:rsidRPr="00F61730">
        <w:t>15.</w:t>
      </w:r>
      <w:r w:rsidRPr="00F61730">
        <w:tab/>
        <w:t xml:space="preserve">Следующее совещание неофициальной рабочей группы состоится </w:t>
      </w:r>
      <w:r w:rsidR="004E65BD">
        <w:br/>
      </w:r>
      <w:r w:rsidRPr="00F61730">
        <w:t>21</w:t>
      </w:r>
      <w:r w:rsidR="004E65BD">
        <w:t>–</w:t>
      </w:r>
      <w:r w:rsidRPr="00F61730">
        <w:t>22 сентября в Гааге. В ходе второго совещания г-н Йорманн сделает презентацию относительно возможного взаимодействия между СПГ в качестве топлива и перевозимым опасным грузом. Кроме того, рабочая  группа продолжит работу над корректировкой ВОПОГ с целью использования СПГ в соответствии с вариантом, который Комитет по вопросам безопасности ВОПОГ сочтет наиболее подходящим.</w:t>
      </w:r>
    </w:p>
    <w:p w:rsidR="00956385" w:rsidRPr="00F61730" w:rsidRDefault="00F61730" w:rsidP="00F6173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6385" w:rsidRPr="00F61730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8F" w:rsidRDefault="00BA6B8F" w:rsidP="00B471C5">
      <w:r>
        <w:separator/>
      </w:r>
    </w:p>
  </w:endnote>
  <w:endnote w:type="continuationSeparator" w:id="0">
    <w:p w:rsidR="00BA6B8F" w:rsidRDefault="00BA6B8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7291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A6B8F" w:rsidRPr="00BA6B8F">
      <w:rPr>
        <w:lang w:val="en-US"/>
      </w:rPr>
      <w:t>09297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A6B8F" w:rsidRPr="00BA6B8F">
      <w:rPr>
        <w:lang w:val="en-US"/>
      </w:rPr>
      <w:t>09297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7291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A6B8F" w:rsidRPr="00BA6B8F">
            <w:rPr>
              <w:lang w:val="en-US"/>
            </w:rPr>
            <w:t>09297</w:t>
          </w:r>
          <w:r w:rsidR="00BA6B8F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BA6B8F">
            <w:rPr>
              <w:lang w:val="en-US"/>
            </w:rPr>
            <w:t xml:space="preserve">  280616  290616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27835FCA" wp14:editId="75FE8572">
                <wp:extent cx="2655481" cy="277586"/>
                <wp:effectExtent l="0" t="0" r="0" b="8255"/>
                <wp:docPr id="4" name="Рисунок 4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02147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052680A" wp14:editId="346E2A9D">
                <wp:extent cx="579755" cy="579755"/>
                <wp:effectExtent l="0" t="0" r="0" b="0"/>
                <wp:docPr id="5" name="Рисунок 5" descr="http://undocs.org/m2/QRCode.ashx?DS=ECE/TRANS/WP.15/AC.2/2016/4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4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02147" w:rsidRDefault="0050214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021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021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021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021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021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021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021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021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021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8F" w:rsidRPr="009141DC" w:rsidRDefault="00BA6B8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A6B8F" w:rsidRPr="00D1261C" w:rsidRDefault="00BA6B8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61730" w:rsidRPr="00FA2443" w:rsidRDefault="00F61730" w:rsidP="00F61730">
      <w:pPr>
        <w:pStyle w:val="FootnoteText"/>
        <w:rPr>
          <w:rFonts w:eastAsiaTheme="minorEastAsia"/>
          <w:lang w:val="ru-RU" w:eastAsia="zh-CN"/>
        </w:rPr>
      </w:pPr>
      <w:r>
        <w:rPr>
          <w:rFonts w:eastAsiaTheme="minorEastAsia" w:hint="eastAsia"/>
          <w:lang w:eastAsia="zh-CN"/>
        </w:rPr>
        <w:tab/>
      </w:r>
      <w:r>
        <w:rPr>
          <w:rStyle w:val="FootnoteReference"/>
        </w:rPr>
        <w:footnoteRef/>
      </w:r>
      <w:r w:rsidRPr="00FA2443">
        <w:rPr>
          <w:rFonts w:eastAsiaTheme="minorEastAsia" w:hint="eastAsia"/>
          <w:lang w:val="ru-RU" w:eastAsia="zh-CN"/>
        </w:rPr>
        <w:tab/>
      </w:r>
      <w:r w:rsidRPr="00FA2443">
        <w:rPr>
          <w:rFonts w:eastAsiaTheme="minorEastAsia"/>
          <w:lang w:val="ru-RU" w:eastAsia="zh-CN"/>
        </w:rPr>
        <w:t xml:space="preserve">Распространено на немецком языке Центральной комиссией судоходства по Рейну </w:t>
      </w:r>
      <w:r w:rsidR="00F12542" w:rsidRPr="00F12542">
        <w:rPr>
          <w:rFonts w:eastAsiaTheme="minorEastAsia"/>
          <w:lang w:val="ru-RU" w:eastAsia="zh-CN"/>
        </w:rPr>
        <w:br/>
      </w:r>
      <w:r w:rsidRPr="00FA2443">
        <w:rPr>
          <w:rFonts w:eastAsiaTheme="minorEastAsia"/>
          <w:lang w:val="ru-RU" w:eastAsia="zh-CN"/>
        </w:rPr>
        <w:t>в качестве документа CCNR</w:t>
      </w:r>
      <w:r>
        <w:rPr>
          <w:rFonts w:eastAsiaTheme="minorEastAsia"/>
          <w:lang w:val="ru-RU" w:eastAsia="zh-CN"/>
        </w:rPr>
        <w:t>-</w:t>
      </w:r>
      <w:r w:rsidRPr="00FA2443">
        <w:rPr>
          <w:rFonts w:eastAsiaTheme="minorEastAsia"/>
          <w:lang w:val="ru-RU" w:eastAsia="zh-CN"/>
        </w:rPr>
        <w:t>ZKR/ADN/WP.15/AC.2/2016/</w:t>
      </w:r>
      <w:r>
        <w:rPr>
          <w:rFonts w:eastAsiaTheme="minorEastAsia"/>
          <w:lang w:val="ru-RU" w:eastAsia="zh-CN"/>
        </w:rPr>
        <w:t>46</w:t>
      </w:r>
      <w:r w:rsidRPr="00FA2443">
        <w:rPr>
          <w:rFonts w:eastAsiaTheme="minorEastAsia"/>
          <w:lang w:val="ru-RU" w:eastAsia="zh-CN"/>
        </w:rPr>
        <w:t>.</w:t>
      </w:r>
    </w:p>
  </w:footnote>
  <w:footnote w:id="2">
    <w:p w:rsidR="00F61730" w:rsidRPr="00FA2443" w:rsidRDefault="00F61730" w:rsidP="00103D17">
      <w:pPr>
        <w:pStyle w:val="FootnoteText"/>
        <w:spacing w:after="120"/>
        <w:rPr>
          <w:rFonts w:eastAsiaTheme="minorEastAsia"/>
          <w:lang w:val="ru-RU" w:eastAsia="zh-CN"/>
        </w:rPr>
      </w:pPr>
      <w:r w:rsidRPr="00303175">
        <w:rPr>
          <w:rFonts w:eastAsiaTheme="minorEastAsia" w:hint="eastAsia"/>
          <w:lang w:val="ru-RU" w:eastAsia="zh-CN"/>
        </w:rPr>
        <w:tab/>
      </w:r>
      <w:r>
        <w:rPr>
          <w:rStyle w:val="FootnoteReference"/>
        </w:rPr>
        <w:footnoteRef/>
      </w:r>
      <w:r w:rsidRPr="00FA2443">
        <w:rPr>
          <w:rFonts w:eastAsiaTheme="minorEastAsia" w:hint="eastAsia"/>
          <w:lang w:val="ru-RU" w:eastAsia="zh-CN"/>
        </w:rPr>
        <w:tab/>
      </w:r>
      <w:r w:rsidRPr="00FA2443">
        <w:rPr>
          <w:rFonts w:eastAsiaTheme="minorEastAsia"/>
          <w:lang w:val="ru-RU" w:eastAsia="zh-CN"/>
        </w:rPr>
        <w:t xml:space="preserve">В соответствии с программой работы Комитета по внутреннему транспорту </w:t>
      </w:r>
      <w:r>
        <w:rPr>
          <w:rFonts w:eastAsiaTheme="minorEastAsia" w:hint="eastAsia"/>
          <w:lang w:val="ru-RU" w:eastAsia="zh-CN"/>
        </w:rPr>
        <w:br/>
      </w:r>
      <w:r w:rsidRPr="00FA2443">
        <w:rPr>
          <w:rFonts w:eastAsiaTheme="minorEastAsia"/>
          <w:lang w:val="ru-RU" w:eastAsia="zh-CN"/>
        </w:rPr>
        <w:t>на 2016–2017 годы (ECE/TRANS/2016/28/Add.1 (9.3)).</w:t>
      </w:r>
      <w:r w:rsidRPr="00FA2443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BA6B8F" w:rsidRPr="00BA6B8F">
      <w:rPr>
        <w:lang w:val="en-US"/>
      </w:rPr>
      <w:t>TRANS/WP.15/AC.2/2016/46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BA6B8F" w:rsidRPr="00BA6B8F">
      <w:rPr>
        <w:lang w:val="en-US"/>
      </w:rPr>
      <w:t>TRANS/WP.15/AC.2/2016/46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8F"/>
    <w:rsid w:val="000450D1"/>
    <w:rsid w:val="000B1FD5"/>
    <w:rsid w:val="000F2A4F"/>
    <w:rsid w:val="00103D17"/>
    <w:rsid w:val="00203F84"/>
    <w:rsid w:val="00275188"/>
    <w:rsid w:val="002762D9"/>
    <w:rsid w:val="0028687D"/>
    <w:rsid w:val="002B091C"/>
    <w:rsid w:val="002B3D40"/>
    <w:rsid w:val="002D0CCB"/>
    <w:rsid w:val="00302652"/>
    <w:rsid w:val="00345C79"/>
    <w:rsid w:val="00366A39"/>
    <w:rsid w:val="00393478"/>
    <w:rsid w:val="004154EC"/>
    <w:rsid w:val="0048005C"/>
    <w:rsid w:val="004D639B"/>
    <w:rsid w:val="004E242B"/>
    <w:rsid w:val="004E65BD"/>
    <w:rsid w:val="00502147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77923"/>
    <w:rsid w:val="007A1F42"/>
    <w:rsid w:val="007D76DD"/>
    <w:rsid w:val="007F0C4A"/>
    <w:rsid w:val="008717E8"/>
    <w:rsid w:val="008D01AE"/>
    <w:rsid w:val="008E0423"/>
    <w:rsid w:val="009141DC"/>
    <w:rsid w:val="009174A1"/>
    <w:rsid w:val="00956385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72916"/>
    <w:rsid w:val="00BA6B8F"/>
    <w:rsid w:val="00BE1742"/>
    <w:rsid w:val="00C47E7F"/>
    <w:rsid w:val="00C56459"/>
    <w:rsid w:val="00D1261C"/>
    <w:rsid w:val="00D26030"/>
    <w:rsid w:val="00D73FF2"/>
    <w:rsid w:val="00D75DCE"/>
    <w:rsid w:val="00D91BB5"/>
    <w:rsid w:val="00DD35AC"/>
    <w:rsid w:val="00DD479F"/>
    <w:rsid w:val="00E15E48"/>
    <w:rsid w:val="00EB0723"/>
    <w:rsid w:val="00EB2957"/>
    <w:rsid w:val="00EE6F37"/>
    <w:rsid w:val="00F12542"/>
    <w:rsid w:val="00F1599F"/>
    <w:rsid w:val="00F31EF2"/>
    <w:rsid w:val="00F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7BADB0-F2C9-4186-A283-FC20701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FE39-044A-4B97-9A08-0906AC11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2251</Words>
  <Characters>12837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Caillot</cp:lastModifiedBy>
  <cp:revision>2</cp:revision>
  <cp:lastPrinted>2016-06-29T09:14:00Z</cp:lastPrinted>
  <dcterms:created xsi:type="dcterms:W3CDTF">2016-06-30T15:05:00Z</dcterms:created>
  <dcterms:modified xsi:type="dcterms:W3CDTF">2016-06-30T15:05:00Z</dcterms:modified>
</cp:coreProperties>
</file>