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45DC9">
            <w:bookmarkStart w:id="0" w:name="_GoBack"/>
            <w:bookmarkEnd w:id="0"/>
          </w:p>
        </w:tc>
        <w:tc>
          <w:tcPr>
            <w:tcW w:w="2268" w:type="dxa"/>
            <w:tcBorders>
              <w:bottom w:val="single" w:sz="4" w:space="0" w:color="auto"/>
            </w:tcBorders>
            <w:vAlign w:val="bottom"/>
          </w:tcPr>
          <w:p w:rsidR="00F35BAF" w:rsidRPr="00DB58B5" w:rsidRDefault="00F35BAF" w:rsidP="00B45DC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45DC9" w:rsidP="00B45DC9">
            <w:pPr>
              <w:jc w:val="right"/>
            </w:pPr>
            <w:r w:rsidRPr="00B45DC9">
              <w:rPr>
                <w:sz w:val="40"/>
              </w:rPr>
              <w:t>ECE</w:t>
            </w:r>
            <w:r>
              <w:t>/TRANS/WP.11/2016/6</w:t>
            </w:r>
          </w:p>
        </w:tc>
      </w:tr>
      <w:tr w:rsidR="00F35BAF" w:rsidRPr="00DB58B5" w:rsidTr="00B45DC9">
        <w:trPr>
          <w:trHeight w:hRule="exact" w:val="2835"/>
        </w:trPr>
        <w:tc>
          <w:tcPr>
            <w:tcW w:w="1276" w:type="dxa"/>
            <w:tcBorders>
              <w:top w:val="single" w:sz="4" w:space="0" w:color="auto"/>
              <w:bottom w:val="single" w:sz="12" w:space="0" w:color="auto"/>
            </w:tcBorders>
          </w:tcPr>
          <w:p w:rsidR="00F35BAF" w:rsidRPr="00DB58B5" w:rsidRDefault="00F35BAF" w:rsidP="00B45DC9">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B45DC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45DC9" w:rsidP="00B45DC9">
            <w:pPr>
              <w:spacing w:before="240"/>
            </w:pPr>
            <w:r>
              <w:t>Distr. générale</w:t>
            </w:r>
          </w:p>
          <w:p w:rsidR="00B45DC9" w:rsidRDefault="00B45DC9" w:rsidP="00B45DC9">
            <w:pPr>
              <w:spacing w:line="240" w:lineRule="exact"/>
            </w:pPr>
            <w:r>
              <w:t>19 juillet 2016</w:t>
            </w:r>
          </w:p>
          <w:p w:rsidR="00B45DC9" w:rsidRDefault="00B45DC9" w:rsidP="00B45DC9">
            <w:pPr>
              <w:spacing w:line="240" w:lineRule="exact"/>
            </w:pPr>
            <w:r>
              <w:t>Français</w:t>
            </w:r>
          </w:p>
          <w:p w:rsidR="00B45DC9" w:rsidRPr="00DB58B5" w:rsidRDefault="00B45DC9" w:rsidP="00B45DC9">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w:t>
      </w:r>
      <w:r w:rsidR="00B45DC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45DC9" w:rsidRPr="00685843" w:rsidRDefault="00B45DC9" w:rsidP="00305801">
      <w:pPr>
        <w:spacing w:before="120"/>
        <w:rPr>
          <w:b/>
          <w:sz w:val="24"/>
          <w:szCs w:val="24"/>
        </w:rPr>
      </w:pPr>
      <w:r>
        <w:rPr>
          <w:b/>
          <w:sz w:val="24"/>
          <w:szCs w:val="24"/>
        </w:rPr>
        <w:t>Groupe de travail du transport des denrées périssables</w:t>
      </w:r>
    </w:p>
    <w:p w:rsidR="00B45DC9" w:rsidRPr="00F30D47" w:rsidRDefault="00B45DC9" w:rsidP="00305801">
      <w:pPr>
        <w:spacing w:before="120"/>
        <w:rPr>
          <w:b/>
        </w:rPr>
      </w:pPr>
      <w:r>
        <w:rPr>
          <w:b/>
        </w:rPr>
        <w:t xml:space="preserve">Soixante-douzième </w:t>
      </w:r>
      <w:r w:rsidRPr="00F30D47">
        <w:rPr>
          <w:b/>
        </w:rPr>
        <w:t>session</w:t>
      </w:r>
    </w:p>
    <w:p w:rsidR="00B45DC9" w:rsidRDefault="00B45DC9" w:rsidP="00305801">
      <w:r>
        <w:t>Genève, 4-7 octobre 2016</w:t>
      </w:r>
    </w:p>
    <w:p w:rsidR="00B45DC9" w:rsidRDefault="00B45DC9" w:rsidP="00305801">
      <w:r>
        <w:t>Point 6 de l’ordre du jour provisoire</w:t>
      </w:r>
    </w:p>
    <w:p w:rsidR="00B45DC9" w:rsidRPr="00B45DC9" w:rsidRDefault="00B45DC9" w:rsidP="00B45DC9">
      <w:pPr>
        <w:rPr>
          <w:b/>
        </w:rPr>
      </w:pPr>
      <w:r w:rsidRPr="00B45DC9">
        <w:rPr>
          <w:b/>
        </w:rPr>
        <w:t>Manuel ATP</w:t>
      </w:r>
    </w:p>
    <w:p w:rsidR="00B45DC9" w:rsidRPr="00B45DC9" w:rsidRDefault="00B45DC9" w:rsidP="00B45DC9">
      <w:pPr>
        <w:pStyle w:val="HChG"/>
      </w:pPr>
      <w:r>
        <w:tab/>
      </w:r>
      <w:r>
        <w:tab/>
      </w:r>
      <w:r w:rsidRPr="00B45DC9">
        <w:t xml:space="preserve">Introduction dans le Manuel ATP de méthodes </w:t>
      </w:r>
      <w:r>
        <w:br/>
      </w:r>
      <w:r w:rsidRPr="00B45DC9">
        <w:t xml:space="preserve">de détermination des surfaces intérieure et </w:t>
      </w:r>
      <w:r>
        <w:br/>
      </w:r>
      <w:r w:rsidRPr="00B45DC9">
        <w:t xml:space="preserve">extérieure de transfert thermique de la caisse </w:t>
      </w:r>
      <w:r>
        <w:br/>
      </w:r>
      <w:r w:rsidRPr="00B45DC9">
        <w:t xml:space="preserve">des wagons autres que les wagons-citernes </w:t>
      </w:r>
    </w:p>
    <w:p w:rsidR="00DD4C4A" w:rsidRPr="00DD4C4A" w:rsidRDefault="00B45DC9" w:rsidP="00DD4C4A">
      <w:pPr>
        <w:pStyle w:val="H1G"/>
      </w:pPr>
      <w:r>
        <w:tab/>
      </w:r>
      <w:r>
        <w:tab/>
      </w:r>
      <w:r w:rsidRPr="00B45DC9">
        <w:t>Communication de la Fédération de Russie</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37"/>
      </w:tblGrid>
      <w:tr w:rsidR="00B45DC9" w:rsidTr="00DD4C4A">
        <w:trPr>
          <w:jc w:val="center"/>
        </w:trPr>
        <w:tc>
          <w:tcPr>
            <w:tcW w:w="9637" w:type="dxa"/>
            <w:shd w:val="clear" w:color="auto" w:fill="auto"/>
          </w:tcPr>
          <w:p w:rsidR="00B45DC9" w:rsidRPr="000001E7" w:rsidRDefault="00B45DC9" w:rsidP="00B45DC9">
            <w:pPr>
              <w:spacing w:before="240" w:after="120"/>
              <w:ind w:left="255"/>
              <w:rPr>
                <w:i/>
                <w:sz w:val="24"/>
              </w:rPr>
            </w:pPr>
            <w:r w:rsidRPr="000001E7">
              <w:rPr>
                <w:i/>
                <w:sz w:val="24"/>
              </w:rPr>
              <w:t>Résumé</w:t>
            </w:r>
          </w:p>
        </w:tc>
      </w:tr>
      <w:tr w:rsidR="00B45DC9" w:rsidTr="00DD4C4A">
        <w:trPr>
          <w:jc w:val="center"/>
        </w:trPr>
        <w:tc>
          <w:tcPr>
            <w:tcW w:w="9637" w:type="dxa"/>
            <w:tcBorders>
              <w:bottom w:val="nil"/>
            </w:tcBorders>
            <w:shd w:val="clear" w:color="auto" w:fill="auto"/>
          </w:tcPr>
          <w:p w:rsidR="00B45DC9" w:rsidRDefault="00B45DC9" w:rsidP="000D02F3">
            <w:pPr>
              <w:pStyle w:val="SingleTxtG"/>
              <w:ind w:left="2836" w:hanging="2552"/>
            </w:pPr>
            <w:r w:rsidRPr="00B45DC9">
              <w:rPr>
                <w:b/>
              </w:rPr>
              <w:t>Résumé analytique :</w:t>
            </w:r>
            <w:r>
              <w:rPr>
                <w:b/>
              </w:rPr>
              <w:tab/>
            </w:r>
            <w:r w:rsidRPr="00B45DC9">
              <w:t>Conformément au paragraphe 1.2 de l</w:t>
            </w:r>
            <w:r>
              <w:t>’</w:t>
            </w:r>
            <w:r w:rsidRPr="00B45DC9">
              <w:t>appendice 2 de l</w:t>
            </w:r>
            <w:r>
              <w:t>’</w:t>
            </w:r>
            <w:r w:rsidRPr="00B45DC9">
              <w:t>annexe 1 de l</w:t>
            </w:r>
            <w:r>
              <w:t>’</w:t>
            </w:r>
            <w:r w:rsidRPr="00B45DC9">
              <w:t>ATP, la détermination des surfaces extérieure et intérieure</w:t>
            </w:r>
            <w:r>
              <w:t xml:space="preserve"> </w:t>
            </w:r>
            <w:r w:rsidRPr="00B45DC9">
              <w:t>de la caisse des engins de transport spéciaux est faite en tenant</w:t>
            </w:r>
            <w:r>
              <w:t xml:space="preserve"> </w:t>
            </w:r>
            <w:r w:rsidRPr="00B45DC9">
              <w:t>compte des singularités de</w:t>
            </w:r>
            <w:r>
              <w:t xml:space="preserve"> </w:t>
            </w:r>
            <w:r w:rsidRPr="00B45DC9">
              <w:t>structure de la caisse.</w:t>
            </w:r>
          </w:p>
        </w:tc>
      </w:tr>
      <w:tr w:rsidR="000D02F3" w:rsidTr="00DD4C4A">
        <w:trPr>
          <w:jc w:val="center"/>
        </w:trPr>
        <w:tc>
          <w:tcPr>
            <w:tcW w:w="9637" w:type="dxa"/>
            <w:tcBorders>
              <w:top w:val="nil"/>
              <w:bottom w:val="nil"/>
            </w:tcBorders>
            <w:shd w:val="clear" w:color="auto" w:fill="auto"/>
          </w:tcPr>
          <w:p w:rsidR="000D02F3" w:rsidRPr="00B45DC9" w:rsidRDefault="000D02F3" w:rsidP="000D02F3">
            <w:pPr>
              <w:pStyle w:val="SingleTxtG"/>
              <w:ind w:left="2836" w:hanging="2552"/>
              <w:rPr>
                <w:b/>
              </w:rPr>
            </w:pPr>
            <w:r>
              <w:tab/>
            </w:r>
            <w:r w:rsidRPr="00B45DC9">
              <w:t>Cette disposition ne prévoit cependant pas de méthodes de détermination de ces surfaces qui tiennent compte des singularités connues des</w:t>
            </w:r>
            <w:r>
              <w:t xml:space="preserve"> </w:t>
            </w:r>
            <w:r w:rsidRPr="00B45DC9">
              <w:t>caisses des wagons</w:t>
            </w:r>
            <w:r>
              <w:t xml:space="preserve"> </w:t>
            </w:r>
            <w:r w:rsidRPr="00B45DC9">
              <w:t>autres que les w</w:t>
            </w:r>
            <w:r>
              <w:t>agons-citernes (ci</w:t>
            </w:r>
            <w:r>
              <w:noBreakHyphen/>
            </w:r>
            <w:r w:rsidRPr="00B45DC9">
              <w:t>après : les wagons) utilisés pour le transport de denrées périssables, ce qui peut conduire</w:t>
            </w:r>
            <w:r>
              <w:t xml:space="preserve"> </w:t>
            </w:r>
            <w:r w:rsidRPr="00B45DC9">
              <w:t>les experts et les stations d</w:t>
            </w:r>
            <w:r>
              <w:t>’</w:t>
            </w:r>
            <w:r w:rsidRPr="00B45DC9">
              <w:t>essai ATP à utiliser des méthodes qui ne sont pas acceptables</w:t>
            </w:r>
            <w:r>
              <w:t xml:space="preserve"> </w:t>
            </w:r>
            <w:r w:rsidRPr="00B45DC9">
              <w:t>pour</w:t>
            </w:r>
            <w:r>
              <w:t xml:space="preserve"> </w:t>
            </w:r>
            <w:r w:rsidRPr="00B45DC9">
              <w:t>d</w:t>
            </w:r>
            <w:r>
              <w:t>’</w:t>
            </w:r>
            <w:r w:rsidRPr="00B45DC9">
              <w:t>autres parties</w:t>
            </w:r>
            <w:r>
              <w:t xml:space="preserve"> </w:t>
            </w:r>
            <w:r w:rsidRPr="00B45DC9">
              <w:t>à l</w:t>
            </w:r>
            <w:r>
              <w:t>’</w:t>
            </w:r>
            <w:r w:rsidRPr="00B45DC9">
              <w:t>ATP.</w:t>
            </w:r>
          </w:p>
        </w:tc>
      </w:tr>
      <w:tr w:rsidR="00B45DC9" w:rsidTr="00DD4C4A">
        <w:trPr>
          <w:jc w:val="center"/>
        </w:trPr>
        <w:tc>
          <w:tcPr>
            <w:tcW w:w="9637" w:type="dxa"/>
            <w:tcBorders>
              <w:top w:val="nil"/>
            </w:tcBorders>
            <w:shd w:val="clear" w:color="auto" w:fill="auto"/>
          </w:tcPr>
          <w:p w:rsidR="00B45DC9" w:rsidRDefault="00B45DC9" w:rsidP="000D02F3">
            <w:pPr>
              <w:pStyle w:val="SingleTxtG"/>
              <w:keepNext/>
              <w:ind w:left="2836" w:hanging="2552"/>
            </w:pPr>
            <w:r w:rsidRPr="00B45DC9">
              <w:rPr>
                <w:b/>
              </w:rPr>
              <w:lastRenderedPageBreak/>
              <w:t>Mesures à prendre :</w:t>
            </w:r>
            <w:r>
              <w:tab/>
            </w:r>
            <w:r w:rsidRPr="00B45DC9">
              <w:t>Sur la base de</w:t>
            </w:r>
            <w:r>
              <w:t xml:space="preserve"> </w:t>
            </w:r>
            <w:r w:rsidRPr="00B45DC9">
              <w:t>la proposition faite par le</w:t>
            </w:r>
            <w:r>
              <w:t xml:space="preserve"> </w:t>
            </w:r>
            <w:r w:rsidRPr="00B45DC9">
              <w:t xml:space="preserve">Royaume-Uni concernant les méthodes de mesure des surfaces de la caisse des fourgons automobiles sans fenêtres dans le </w:t>
            </w:r>
            <w:r>
              <w:t>compartiment de chargement</w:t>
            </w:r>
            <w:r w:rsidRPr="00B45DC9">
              <w:t>, qui a été adoptée par le Groupe de travail à sa soixante et onzième session, introduire dans l</w:t>
            </w:r>
            <w:r>
              <w:t>’</w:t>
            </w:r>
            <w:r w:rsidRPr="00B45DC9">
              <w:t>ATP des dispositions relatives au calcul de la surface moyenne de la caisse des wagons, en les accompagnant des croquis nécessaires qu</w:t>
            </w:r>
            <w:r>
              <w:t>’</w:t>
            </w:r>
            <w:r w:rsidRPr="00B45DC9">
              <w:t>il conviendra</w:t>
            </w:r>
            <w:r>
              <w:t xml:space="preserve"> </w:t>
            </w:r>
            <w:r w:rsidRPr="00B45DC9">
              <w:t>d</w:t>
            </w:r>
            <w:r>
              <w:t>’</w:t>
            </w:r>
            <w:r w:rsidRPr="00B45DC9">
              <w:t>inclure dans le</w:t>
            </w:r>
            <w:r>
              <w:t xml:space="preserve"> </w:t>
            </w:r>
            <w:r w:rsidRPr="00B45DC9">
              <w:t>Manuel ATP.</w:t>
            </w:r>
          </w:p>
        </w:tc>
      </w:tr>
      <w:tr w:rsidR="00B45DC9" w:rsidTr="00DD4C4A">
        <w:trPr>
          <w:jc w:val="center"/>
        </w:trPr>
        <w:tc>
          <w:tcPr>
            <w:tcW w:w="9637" w:type="dxa"/>
            <w:shd w:val="clear" w:color="auto" w:fill="auto"/>
          </w:tcPr>
          <w:p w:rsidR="00B45DC9" w:rsidRDefault="00B45DC9" w:rsidP="000D02F3">
            <w:pPr>
              <w:pStyle w:val="SingleTxtG"/>
              <w:ind w:left="2836" w:hanging="2552"/>
            </w:pPr>
            <w:r w:rsidRPr="00B45DC9">
              <w:rPr>
                <w:b/>
              </w:rPr>
              <w:t>Documents de référence</w:t>
            </w:r>
            <w:r w:rsidR="000D02F3">
              <w:rPr>
                <w:b/>
              </w:rPr>
              <w:t> </w:t>
            </w:r>
            <w:r w:rsidRPr="00B45DC9">
              <w:rPr>
                <w:b/>
              </w:rPr>
              <w:t>:</w:t>
            </w:r>
            <w:r>
              <w:tab/>
            </w:r>
            <w:r w:rsidRPr="00B45DC9">
              <w:t>ECE/TRANS/WP.11/2015/2</w:t>
            </w:r>
            <w:r w:rsidR="00491143">
              <w:t>.</w:t>
            </w:r>
          </w:p>
        </w:tc>
      </w:tr>
      <w:tr w:rsidR="00B45DC9" w:rsidTr="00DD4C4A">
        <w:trPr>
          <w:jc w:val="center"/>
        </w:trPr>
        <w:tc>
          <w:tcPr>
            <w:tcW w:w="9637" w:type="dxa"/>
            <w:shd w:val="clear" w:color="auto" w:fill="auto"/>
          </w:tcPr>
          <w:p w:rsidR="00B45DC9" w:rsidRDefault="00B45DC9" w:rsidP="00B45DC9"/>
        </w:tc>
      </w:tr>
    </w:tbl>
    <w:p w:rsidR="00B45DC9" w:rsidRPr="00B45DC9" w:rsidRDefault="000D02F3" w:rsidP="00B45DC9">
      <w:pPr>
        <w:pStyle w:val="HChG"/>
      </w:pPr>
      <w:r>
        <w:tab/>
      </w:r>
      <w:r w:rsidR="00B45DC9">
        <w:tab/>
      </w:r>
      <w:r w:rsidR="00B45DC9" w:rsidRPr="00B45DC9">
        <w:t>Introduction</w:t>
      </w:r>
    </w:p>
    <w:p w:rsidR="00B45DC9" w:rsidRPr="00B45DC9" w:rsidRDefault="00B45DC9" w:rsidP="00B45DC9">
      <w:pPr>
        <w:pStyle w:val="SingleTxtG"/>
      </w:pPr>
      <w:r w:rsidRPr="00B45DC9">
        <w:t>1.</w:t>
      </w:r>
      <w:r w:rsidRPr="00B45DC9">
        <w:tab/>
        <w:t>La plupart des engins de transport spéciaux sont dotés d</w:t>
      </w:r>
      <w:r>
        <w:t>’</w:t>
      </w:r>
      <w:r w:rsidRPr="00B45DC9">
        <w:t>une caisse dont la forme et les singularités de structure peuvent être regroupés en quelques</w:t>
      </w:r>
      <w:r>
        <w:t xml:space="preserve"> </w:t>
      </w:r>
      <w:r w:rsidRPr="00B45DC9">
        <w:t>types courants. Le Royaume-Uni a procédé à une étude des structures connues de caisses de fourgons automobiles sans fenêtres dans le compartiment de chargement, à l</w:t>
      </w:r>
      <w:r>
        <w:t>’</w:t>
      </w:r>
      <w:r w:rsidRPr="00B45DC9">
        <w:t>issue de laquelle ont été proposés</w:t>
      </w:r>
      <w:r>
        <w:t xml:space="preserve"> </w:t>
      </w:r>
      <w:r w:rsidRPr="00B45DC9">
        <w:t>des croquis et des formules de calcul permettant de</w:t>
      </w:r>
      <w:r>
        <w:t xml:space="preserve"> </w:t>
      </w:r>
      <w:r w:rsidRPr="00B45DC9">
        <w:t>déterminer</w:t>
      </w:r>
      <w:r>
        <w:t xml:space="preserve"> </w:t>
      </w:r>
      <w:r w:rsidRPr="00B45DC9">
        <w:t>les surfaces intérieure et extérieure de la caisse des engins de transport spéciaux considérés sur la base de méthodes mathématiques connues. Les résultats de ces travaux</w:t>
      </w:r>
      <w:r>
        <w:t xml:space="preserve"> </w:t>
      </w:r>
      <w:r w:rsidRPr="00B45DC9">
        <w:t>sont présentés dans le document ECE/TRANS/WP.11/2015/2, adopté par le Groupe de travail à sa soixante et onzième session.</w:t>
      </w:r>
    </w:p>
    <w:p w:rsidR="00B45DC9" w:rsidRPr="00B45DC9" w:rsidRDefault="00B45DC9" w:rsidP="00B45DC9">
      <w:pPr>
        <w:pStyle w:val="SingleTxtG"/>
      </w:pPr>
      <w:r w:rsidRPr="00B45DC9">
        <w:t>2.</w:t>
      </w:r>
      <w:r w:rsidRPr="00B45DC9">
        <w:tab/>
        <w:t xml:space="preserve"> Conformément à l</w:t>
      </w:r>
      <w:r>
        <w:t>’</w:t>
      </w:r>
      <w:r w:rsidRPr="00B45DC9">
        <w:t>article 3 de l</w:t>
      </w:r>
      <w:r>
        <w:t>’</w:t>
      </w:r>
      <w:r w:rsidRPr="00B45DC9">
        <w:t>ATP, les normes et dispositions de l</w:t>
      </w:r>
      <w:r>
        <w:t>’</w:t>
      </w:r>
      <w:r w:rsidRPr="00B45DC9">
        <w:t>ATP s</w:t>
      </w:r>
      <w:r>
        <w:t>’</w:t>
      </w:r>
      <w:r w:rsidRPr="00B45DC9">
        <w:t>appliquent au transport des denrées</w:t>
      </w:r>
      <w:r>
        <w:t xml:space="preserve"> </w:t>
      </w:r>
      <w:r w:rsidRPr="00B45DC9">
        <w:t>périssables par route et par chemin de fer. Les méthodes et les prescriptions applicables aux essais et aux contrôles des caisses et des dispositifs thermiques sont les mêmes pour</w:t>
      </w:r>
      <w:r>
        <w:t xml:space="preserve"> </w:t>
      </w:r>
      <w:r w:rsidRPr="00B45DC9">
        <w:t>les engins de transport spéciaux routiers</w:t>
      </w:r>
      <w:r>
        <w:t xml:space="preserve"> </w:t>
      </w:r>
      <w:r w:rsidRPr="00B45DC9">
        <w:t xml:space="preserve">et ferroviaires. </w:t>
      </w:r>
    </w:p>
    <w:p w:rsidR="00B45DC9" w:rsidRPr="00B45DC9" w:rsidRDefault="00B45DC9" w:rsidP="00B45DC9">
      <w:pPr>
        <w:pStyle w:val="SingleTxtG"/>
      </w:pPr>
      <w:r w:rsidRPr="00B45DC9">
        <w:t>3.</w:t>
      </w:r>
      <w:r w:rsidRPr="00B45DC9">
        <w:tab/>
        <w:t>Au cours des débats menés par le Groupe de travail à</w:t>
      </w:r>
      <w:r>
        <w:t xml:space="preserve"> </w:t>
      </w:r>
      <w:r w:rsidRPr="00B45DC9">
        <w:t>sa soixante-dixième session</w:t>
      </w:r>
      <w:r>
        <w:t xml:space="preserve"> </w:t>
      </w:r>
      <w:r w:rsidRPr="00B45DC9">
        <w:t>sur les propositions du Royaume-Uni, les experts de la Fédération de Russie ont émis l</w:t>
      </w:r>
      <w:r>
        <w:t>’</w:t>
      </w:r>
      <w:r w:rsidRPr="00B45DC9">
        <w:t>avis qu</w:t>
      </w:r>
      <w:r>
        <w:t>’</w:t>
      </w:r>
      <w:r w:rsidRPr="00B45DC9">
        <w:t>il était</w:t>
      </w:r>
      <w:r>
        <w:t xml:space="preserve"> </w:t>
      </w:r>
      <w:r w:rsidRPr="00B45DC9">
        <w:t>possible et nécessaire d</w:t>
      </w:r>
      <w:r>
        <w:t>’</w:t>
      </w:r>
      <w:r w:rsidRPr="00B45DC9">
        <w:t>utiliser les méthodes proposées par le Royaume-Uni pour calculer la surface moyenne de la caisse des engins de transport spéciaux ferroviaires. Ils ont notamment estimé</w:t>
      </w:r>
      <w:r>
        <w:t xml:space="preserve"> </w:t>
      </w:r>
      <w:r w:rsidRPr="00B45DC9">
        <w:t>que l</w:t>
      </w:r>
      <w:r>
        <w:t>’</w:t>
      </w:r>
      <w:r w:rsidRPr="00B45DC9">
        <w:t>utilisation de la méthode C’était appropriée dans les cas particulièrement difficiles, lorsque les données sur la structure de la caisse n</w:t>
      </w:r>
      <w:r>
        <w:t>’</w:t>
      </w:r>
      <w:r w:rsidRPr="00B45DC9">
        <w:t>étaient</w:t>
      </w:r>
      <w:r>
        <w:t xml:space="preserve"> </w:t>
      </w:r>
      <w:r w:rsidRPr="00B45DC9">
        <w:t>pas suffisantes pour que l</w:t>
      </w:r>
      <w:r>
        <w:t>’</w:t>
      </w:r>
      <w:r w:rsidRPr="00B45DC9">
        <w:t>on puisse mesurer directement sa surface moyenne, ce qui conduisait à utiliser</w:t>
      </w:r>
      <w:r>
        <w:t xml:space="preserve"> </w:t>
      </w:r>
      <w:r w:rsidRPr="00B45DC9">
        <w:t>la méthode des</w:t>
      </w:r>
      <w:r>
        <w:t xml:space="preserve"> </w:t>
      </w:r>
      <w:r w:rsidRPr="00B45DC9">
        <w:t>itérations successives.</w:t>
      </w:r>
    </w:p>
    <w:p w:rsidR="00B45DC9" w:rsidRPr="00B45DC9" w:rsidRDefault="00B45DC9" w:rsidP="00B45DC9">
      <w:pPr>
        <w:pStyle w:val="SingleTxtG"/>
      </w:pPr>
      <w:r w:rsidRPr="00B45DC9">
        <w:t>4.</w:t>
      </w:r>
      <w:r w:rsidRPr="00B45DC9">
        <w:tab/>
        <w:t>En vue de la soixante et onzième session du Groupe de travail, les experts de la Fédération de Russie ont élaboré une proposition concernant l</w:t>
      </w:r>
      <w:r>
        <w:t>’</w:t>
      </w:r>
      <w:r w:rsidRPr="00B45DC9">
        <w:t>application des méthodes proposées par le Royaume-Uni aux wagons, notamment à ceux ayant une toiture arrondie. Cependant, pour des raisons techniques, la proposition de la Fédération de Russie n</w:t>
      </w:r>
      <w:r>
        <w:t>’</w:t>
      </w:r>
      <w:r w:rsidRPr="00B45DC9">
        <w:t>a pas été traduite officiellement en anglais et en français dans les délais fixés et le</w:t>
      </w:r>
      <w:r>
        <w:t xml:space="preserve"> </w:t>
      </w:r>
      <w:r w:rsidRPr="00B45DC9">
        <w:t>Groupe de travail n</w:t>
      </w:r>
      <w:r>
        <w:t>’</w:t>
      </w:r>
      <w:r w:rsidRPr="00B45DC9">
        <w:t>a pas pu l</w:t>
      </w:r>
      <w:r>
        <w:t>’</w:t>
      </w:r>
      <w:r w:rsidRPr="00B45DC9">
        <w:t>examiner de manière satisfaisante</w:t>
      </w:r>
      <w:r>
        <w:t xml:space="preserve"> </w:t>
      </w:r>
      <w:r w:rsidRPr="00B45DC9">
        <w:t>et voter</w:t>
      </w:r>
      <w:r>
        <w:t xml:space="preserve"> </w:t>
      </w:r>
      <w:r w:rsidRPr="00B45DC9">
        <w:t xml:space="preserve">à son sujet à sa soixante et onzième session. </w:t>
      </w:r>
    </w:p>
    <w:p w:rsidR="00B45DC9" w:rsidRPr="00B45DC9" w:rsidRDefault="00B45DC9" w:rsidP="00B45DC9">
      <w:pPr>
        <w:pStyle w:val="SingleTxtG"/>
      </w:pPr>
      <w:r w:rsidRPr="00B45DC9">
        <w:t>5.</w:t>
      </w:r>
      <w:r w:rsidRPr="00B45DC9">
        <w:tab/>
        <w:t>La Fédération de Russie a donc présenté un document officiel contenant des propositions</w:t>
      </w:r>
      <w:r>
        <w:t xml:space="preserve"> </w:t>
      </w:r>
      <w:r w:rsidRPr="00B45DC9">
        <w:t>actualisées relatives à l</w:t>
      </w:r>
      <w:r>
        <w:t>’</w:t>
      </w:r>
      <w:r w:rsidRPr="00B45DC9">
        <w:t>introduction</w:t>
      </w:r>
      <w:r>
        <w:t xml:space="preserve"> </w:t>
      </w:r>
      <w:r w:rsidRPr="00B45DC9">
        <w:t>dans l</w:t>
      </w:r>
      <w:r>
        <w:t>’</w:t>
      </w:r>
      <w:r w:rsidRPr="00B45DC9">
        <w:t>ATP et dans le Manuel ATP de dispositions</w:t>
      </w:r>
      <w:r>
        <w:t xml:space="preserve"> </w:t>
      </w:r>
      <w:r w:rsidRPr="00B45DC9">
        <w:t>concernant les wagons ferroviaires qui complètent</w:t>
      </w:r>
      <w:r>
        <w:t xml:space="preserve"> </w:t>
      </w:r>
      <w:r w:rsidRPr="00B45DC9">
        <w:t>la proposition du Ro</w:t>
      </w:r>
      <w:r w:rsidR="00DD4C4A">
        <w:t>yaume</w:t>
      </w:r>
      <w:r w:rsidR="00DD4C4A">
        <w:noBreakHyphen/>
      </w:r>
      <w:r w:rsidRPr="00B45DC9">
        <w:t>Uni.</w:t>
      </w:r>
      <w:r w:rsidR="00DD4C4A">
        <w:t xml:space="preserve"> </w:t>
      </w:r>
      <w:r w:rsidRPr="00B45DC9">
        <w:t>Le présent document</w:t>
      </w:r>
      <w:r>
        <w:t xml:space="preserve"> </w:t>
      </w:r>
      <w:r w:rsidRPr="00B45DC9">
        <w:t>a été établi sur la base de</w:t>
      </w:r>
      <w:r>
        <w:t xml:space="preserve"> </w:t>
      </w:r>
      <w:r w:rsidRPr="00B45DC9">
        <w:t>la version en langue russe de l</w:t>
      </w:r>
      <w:r>
        <w:t>’</w:t>
      </w:r>
      <w:r w:rsidRPr="00B45DC9">
        <w:t>ATP en vigueur au moment de son élaboration, telle que modifiée au</w:t>
      </w:r>
      <w:r>
        <w:t xml:space="preserve"> </w:t>
      </w:r>
      <w:r w:rsidRPr="00B45DC9">
        <w:t xml:space="preserve">30 septembre </w:t>
      </w:r>
      <w:r w:rsidR="0002637C" w:rsidRPr="00B45DC9">
        <w:t>2015,</w:t>
      </w:r>
      <w:r w:rsidRPr="00B45DC9">
        <w:t xml:space="preserve"> du Manuel ATP de 2015, ainsi que de</w:t>
      </w:r>
      <w:r>
        <w:t xml:space="preserve"> </w:t>
      </w:r>
      <w:r w:rsidRPr="00B45DC9">
        <w:t>la proposition</w:t>
      </w:r>
      <w:r>
        <w:t xml:space="preserve"> </w:t>
      </w:r>
      <w:r w:rsidRPr="00B45DC9">
        <w:t>du Royaume Uni adoptée par le Groupe de travail à sa soixante et onzième session et figurant dans le document</w:t>
      </w:r>
      <w:r>
        <w:t xml:space="preserve"> </w:t>
      </w:r>
      <w:r w:rsidRPr="00B45DC9">
        <w:t>ECE/TRANS/WP.11/2015/2.</w:t>
      </w:r>
    </w:p>
    <w:p w:rsidR="00B45DC9" w:rsidRPr="00B45DC9" w:rsidRDefault="00DD4C4A" w:rsidP="00DD4C4A">
      <w:pPr>
        <w:pStyle w:val="HChG"/>
      </w:pPr>
      <w:r>
        <w:lastRenderedPageBreak/>
        <w:tab/>
      </w:r>
      <w:r>
        <w:tab/>
      </w:r>
      <w:r w:rsidR="00B45DC9" w:rsidRPr="00B45DC9">
        <w:t>Propositions</w:t>
      </w:r>
    </w:p>
    <w:p w:rsidR="00B45DC9" w:rsidRPr="00B45DC9" w:rsidRDefault="00B45DC9" w:rsidP="00B45DC9">
      <w:pPr>
        <w:pStyle w:val="SingleTxtG"/>
      </w:pPr>
      <w:r w:rsidRPr="00B45DC9">
        <w:t>6.</w:t>
      </w:r>
      <w:r w:rsidRPr="00B45DC9">
        <w:tab/>
        <w:t>Ajouter à la fin de la nouvelle version du paragraphe</w:t>
      </w:r>
      <w:r w:rsidR="00C843FB">
        <w:t> </w:t>
      </w:r>
      <w:r w:rsidRPr="00B45DC9">
        <w:t>1.2 de l</w:t>
      </w:r>
      <w:r>
        <w:t>’</w:t>
      </w:r>
      <w:r w:rsidRPr="00B45DC9">
        <w:t>appendice</w:t>
      </w:r>
      <w:r w:rsidR="00C843FB">
        <w:t> </w:t>
      </w:r>
      <w:r w:rsidRPr="00B45DC9">
        <w:t>2 de l</w:t>
      </w:r>
      <w:r>
        <w:t>’</w:t>
      </w:r>
      <w:r w:rsidR="00C843FB">
        <w:t>annexe </w:t>
      </w:r>
      <w:r w:rsidRPr="00B45DC9">
        <w:t>1 de l</w:t>
      </w:r>
      <w:r>
        <w:t>’</w:t>
      </w:r>
      <w:r w:rsidRPr="00B45DC9">
        <w:t>ATP, adoptée à la soixante et onzième session du Groupe de travail en 2015, le texte ci-après :</w:t>
      </w:r>
    </w:p>
    <w:p w:rsidR="00B45DC9" w:rsidRPr="00B45DC9" w:rsidRDefault="00A91D73" w:rsidP="00A91D73">
      <w:pPr>
        <w:pStyle w:val="SingleTxtG"/>
      </w:pPr>
      <w:r>
        <w:tab/>
      </w:r>
      <w:r w:rsidR="00B45DC9" w:rsidRPr="00B45DC9">
        <w:t>« Les méthodes indiquées ci-dessus sont également utilisables pour le</w:t>
      </w:r>
      <w:r w:rsidR="00B45DC9">
        <w:t xml:space="preserve"> </w:t>
      </w:r>
      <w:r w:rsidR="00B45DC9" w:rsidRPr="00B45DC9">
        <w:t>calcul de</w:t>
      </w:r>
      <w:r w:rsidR="00B45DC9">
        <w:t xml:space="preserve"> </w:t>
      </w:r>
      <w:r w:rsidR="00B45DC9" w:rsidRPr="00B45DC9">
        <w:t>la surface moyenne de la caisse des wagons ferroviaires autres que les wagons-citernes, y</w:t>
      </w:r>
      <w:r w:rsidR="00C843FB">
        <w:t> </w:t>
      </w:r>
      <w:r w:rsidR="00B45DC9" w:rsidRPr="00B45DC9">
        <w:t>compris ceux ayant une toiture arrondie. On effectue alors les calculs en se conformant aux procédés</w:t>
      </w:r>
      <w:r w:rsidR="00B45DC9" w:rsidRPr="00B45DC9">
        <w:rPr>
          <w:vertAlign w:val="superscript"/>
        </w:rPr>
        <w:t>1</w:t>
      </w:r>
      <w:r w:rsidR="00B45DC9" w:rsidRPr="00B45DC9">
        <w:t xml:space="preserve"> et formules ci-après : </w:t>
      </w:r>
    </w:p>
    <w:p w:rsidR="00B45DC9" w:rsidRPr="000B0F9B" w:rsidRDefault="00B45DC9" w:rsidP="000B0F9B">
      <w:pPr>
        <w:spacing w:after="120"/>
      </w:pPr>
      <m:oMathPara>
        <m:oMath>
          <m:r>
            <w:rPr>
              <w:rFonts w:ascii="Cambria Math" w:hAnsi="Cambria Math"/>
            </w:rPr>
            <m:t xml:space="preserve"> </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=LI∙WI+2∙</m:t>
          </m:r>
          <m:d>
            <m:dPr>
              <m:ctrlPr>
                <w:rPr>
                  <w:rFonts w:ascii="Cambria Math" w:hAnsi="Cambria Math"/>
                </w:rPr>
              </m:ctrlPr>
            </m:dPr>
            <m:e>
              <m:r>
                <m:rPr>
                  <m:sty m:val="p"/>
                </m:rPr>
                <w:rPr>
                  <w:rFonts w:ascii="Cambria Math" w:hAnsi="Cambria Math"/>
                </w:rPr>
                <m:t>LI+WI</m:t>
              </m:r>
            </m:e>
          </m:d>
          <m:r>
            <m:rPr>
              <m:sty m:val="p"/>
            </m:rPr>
            <w:rPr>
              <w:rFonts w:ascii="Cambria Math" w:hAnsi="Cambria Math"/>
            </w:rPr>
            <m:t>∙Wi+LI∙</m:t>
          </m:r>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HI-Wi</m:t>
              </m:r>
            </m:e>
          </m:d>
        </m:oMath>
      </m:oMathPara>
    </w:p>
    <w:p w:rsidR="00B45DC9" w:rsidRPr="000B0F9B" w:rsidRDefault="005C5144" w:rsidP="000B0F9B">
      <w:pPr>
        <w:spacing w:after="120"/>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e</m:t>
              </m:r>
            </m:sub>
          </m:sSub>
          <m:r>
            <m:rPr>
              <m:sty m:val="p"/>
            </m:rPr>
            <w:rPr>
              <w:rFonts w:ascii="Cambria Math" w:hAnsi="Cambria Math"/>
            </w:rPr>
            <m:t>=LE∙WE+2∙</m:t>
          </m:r>
          <m:d>
            <m:dPr>
              <m:ctrlPr>
                <w:rPr>
                  <w:rFonts w:ascii="Cambria Math" w:hAnsi="Cambria Math"/>
                </w:rPr>
              </m:ctrlPr>
            </m:dPr>
            <m:e>
              <m:r>
                <m:rPr>
                  <m:sty m:val="p"/>
                </m:rPr>
                <w:rPr>
                  <w:rFonts w:ascii="Cambria Math" w:hAnsi="Cambria Math"/>
                </w:rPr>
                <m:t>LE+WE</m:t>
              </m:r>
            </m:e>
          </m:d>
          <m:r>
            <m:rPr>
              <m:sty m:val="p"/>
            </m:rPr>
            <w:rPr>
              <w:rFonts w:ascii="Cambria Math" w:hAnsi="Cambria Math"/>
            </w:rPr>
            <m:t>∙We+LE∙</m:t>
          </m:r>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WE</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HE-We</m:t>
              </m:r>
            </m:e>
          </m:d>
        </m:oMath>
      </m:oMathPara>
    </w:p>
    <w:p w:rsidR="00B45DC9" w:rsidRPr="0001726D" w:rsidRDefault="00B45DC9" w:rsidP="000B0F9B">
      <w:pPr>
        <w:spacing w:after="120"/>
      </w:pPr>
      <m:oMathPara>
        <m:oMath>
          <m:r>
            <m:rPr>
              <m:sty m:val="p"/>
            </m:rPr>
            <w:rPr>
              <w:rFonts w:ascii="Cambria Math" w:hAnsi="Cambria Math"/>
            </w:rPr>
            <m:t>PI=4∙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HI-Wi</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rsidR="00B45DC9" w:rsidRPr="0001726D" w:rsidRDefault="00B45DC9" w:rsidP="000B0F9B">
      <w:pPr>
        <w:spacing w:after="120"/>
      </w:pPr>
      <m:oMathPara>
        <m:oMath>
          <m:r>
            <m:rPr>
              <m:sty m:val="p"/>
            </m:rPr>
            <w:rPr>
              <w:rFonts w:ascii="Cambria Math" w:hAnsi="Cambria Math"/>
            </w:rPr>
            <m:t>PE=4∙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WE</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HE-We</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rsidR="00B45DC9" w:rsidRPr="0001726D" w:rsidRDefault="00B45DC9" w:rsidP="00B45DC9">
      <m:oMathPara>
        <m:oMath>
          <m:r>
            <m:rPr>
              <m:sty m:val="p"/>
            </m:rPr>
            <w:rPr>
              <w:rFonts w:ascii="Cambria Math" w:hAnsi="Cambria Math"/>
            </w:rPr>
            <m:t>x=</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2</m:t>
                  </m:r>
                </m:e>
              </m:func>
            </m:num>
            <m:den>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func>
            </m:den>
          </m:f>
        </m:oMath>
      </m:oMathPara>
    </w:p>
    <w:p w:rsidR="00B45DC9" w:rsidRPr="00B45DC9" w:rsidRDefault="00B45DC9" w:rsidP="00B45DC9">
      <w:pPr>
        <w:pStyle w:val="SingleTxtG"/>
      </w:pPr>
      <w:r w:rsidRPr="00B45DC9">
        <w:t>Où :</w:t>
      </w:r>
    </w:p>
    <w:p w:rsidR="00B45DC9" w:rsidRPr="00B45DC9" w:rsidRDefault="00B45DC9" w:rsidP="00B45DC9">
      <w:pPr>
        <w:pStyle w:val="SingleTxtG"/>
      </w:pPr>
      <m:oMath>
        <m:r>
          <m:rPr>
            <m:sty m:val="p"/>
          </m:rPr>
          <w:rPr>
            <w:rFonts w:ascii="Cambria Math" w:hAnsi="Cambria Math"/>
          </w:rPr>
          <m:t>HI</m:t>
        </m:r>
      </m:oMath>
      <w:r w:rsidR="00DD4C4A">
        <w:t xml:space="preserve">  </w:t>
      </w:r>
      <w:r w:rsidRPr="00B45DC9">
        <w:t>est la hauteur moyenne pondérée de l</w:t>
      </w:r>
      <w:r>
        <w:t>’</w:t>
      </w:r>
      <w:r w:rsidRPr="00B45DC9">
        <w:t>intérieur de la caisse sur l</w:t>
      </w:r>
      <w:r>
        <w:t>’</w:t>
      </w:r>
      <w:r w:rsidRPr="00B45DC9">
        <w:t>axe central X, m ;</w:t>
      </w:r>
    </w:p>
    <w:p w:rsidR="00B45DC9" w:rsidRPr="00B45DC9" w:rsidRDefault="005C5144" w:rsidP="00B45DC9">
      <w:pPr>
        <w:pStyle w:val="SingleTxtG"/>
      </w:pPr>
      <m:oMath>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oMath>
      <w:r w:rsidR="00B45DC9" w:rsidRPr="00B45DC9">
        <w:t xml:space="preserve"> </w:t>
      </w:r>
      <w:r w:rsidR="00DD4C4A">
        <w:t xml:space="preserve"> </w:t>
      </w:r>
      <w:r w:rsidR="00B45DC9" w:rsidRPr="00B45DC9">
        <w:t>est la longueur de l</w:t>
      </w:r>
      <w:r w:rsidR="00B45DC9">
        <w:t>’</w:t>
      </w:r>
      <w:r w:rsidR="00B45DC9" w:rsidRPr="00B45DC9">
        <w:t>arrondi</w:t>
      </w:r>
      <w:r w:rsidR="00B45DC9">
        <w:t xml:space="preserve"> </w:t>
      </w:r>
      <w:r w:rsidR="00B45DC9" w:rsidRPr="00B45DC9">
        <w:t>intérieur de la toiture, m ;</w:t>
      </w:r>
    </w:p>
    <w:p w:rsidR="00B45DC9" w:rsidRPr="00B45DC9" w:rsidRDefault="00B45DC9" w:rsidP="00B45DC9">
      <w:pPr>
        <w:pStyle w:val="SingleTxtG"/>
      </w:pPr>
      <m:oMath>
        <m:r>
          <m:rPr>
            <m:sty m:val="p"/>
          </m:rPr>
          <w:rPr>
            <w:rFonts w:ascii="Cambria Math" w:hAnsi="Cambria Math"/>
          </w:rPr>
          <m:t>HE</m:t>
        </m:r>
      </m:oMath>
      <w:r w:rsidRPr="00B45DC9">
        <w:t xml:space="preserve"> </w:t>
      </w:r>
      <w:r w:rsidR="00DD4C4A">
        <w:t xml:space="preserve"> </w:t>
      </w:r>
      <w:r w:rsidRPr="00B45DC9">
        <w:t>est la hauteur moyenne pondérée de l</w:t>
      </w:r>
      <w:r>
        <w:t>’</w:t>
      </w:r>
      <w:r w:rsidRPr="00B45DC9">
        <w:t>extérieur de la caisse sur l</w:t>
      </w:r>
      <w:r>
        <w:t>’</w:t>
      </w:r>
      <w:r w:rsidRPr="00B45DC9">
        <w:t xml:space="preserve">axe central X, m ; </w:t>
      </w:r>
    </w:p>
    <w:p w:rsidR="00B45DC9" w:rsidRPr="00B45DC9" w:rsidRDefault="005C5144" w:rsidP="00B45DC9">
      <w:pPr>
        <w:pStyle w:val="SingleTxtG"/>
      </w:pPr>
      <m:oMath>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oMath>
      <w:r w:rsidR="00B45DC9" w:rsidRPr="00B45DC9">
        <w:t xml:space="preserve"> </w:t>
      </w:r>
      <w:r w:rsidR="00DD4C4A">
        <w:t xml:space="preserve"> </w:t>
      </w:r>
      <w:r w:rsidR="00B45DC9" w:rsidRPr="00B45DC9">
        <w:t>est</w:t>
      </w:r>
      <w:r w:rsidR="00B45DC9">
        <w:t xml:space="preserve"> </w:t>
      </w:r>
      <w:r w:rsidR="00B45DC9" w:rsidRPr="00B45DC9">
        <w:t>la longueur de l</w:t>
      </w:r>
      <w:r w:rsidR="00B45DC9">
        <w:t>’</w:t>
      </w:r>
      <w:r w:rsidR="00B45DC9" w:rsidRPr="00B45DC9">
        <w:t>arrondi</w:t>
      </w:r>
      <w:r w:rsidR="00B45DC9">
        <w:t xml:space="preserve"> </w:t>
      </w:r>
      <w:r w:rsidR="00B45DC9" w:rsidRPr="00B45DC9">
        <w:t xml:space="preserve">extérieur de la toiture, m ; </w:t>
      </w:r>
    </w:p>
    <w:p w:rsidR="00B45DC9" w:rsidRPr="00B45DC9" w:rsidRDefault="00B45DC9" w:rsidP="00B45DC9">
      <w:pPr>
        <w:pStyle w:val="SingleTxtG"/>
      </w:pPr>
      <m:oMath>
        <m:r>
          <m:rPr>
            <m:sty m:val="p"/>
          </m:rPr>
          <w:rPr>
            <w:rFonts w:ascii="Cambria Math" w:hAnsi="Cambria Math"/>
          </w:rPr>
          <m:t>π≈</m:t>
        </m:r>
      </m:oMath>
      <w:r w:rsidRPr="00B45DC9">
        <w:t xml:space="preserve"> 3,14159 est le chiffre Pi.</w:t>
      </w:r>
    </w:p>
    <w:p w:rsidR="00B45DC9" w:rsidRPr="00B45DC9" w:rsidRDefault="00DD4C4A" w:rsidP="00B45DC9">
      <w:pPr>
        <w:pStyle w:val="SingleTxtG"/>
      </w:pPr>
      <w:r>
        <w:tab/>
      </w:r>
      <w:r w:rsidR="00B45DC9" w:rsidRPr="00B45DC9">
        <w:t>L</w:t>
      </w:r>
      <w:r w:rsidR="00B45DC9">
        <w:t>’</w:t>
      </w:r>
      <w:r w:rsidR="00B45DC9" w:rsidRPr="00B45DC9">
        <w:t>erreur relative maximale pour le calcul de PI et de PE avec la méthode indiquée ne dépasse pas 0,3619 % (l</w:t>
      </w:r>
      <w:r w:rsidR="00B45DC9">
        <w:t>’</w:t>
      </w:r>
      <w:r w:rsidR="00B45DC9" w:rsidRPr="00B45DC9">
        <w:t>erreur est toujours positive).</w:t>
      </w:r>
      <w:r w:rsidR="00132CA8">
        <w:t> ».</w:t>
      </w:r>
    </w:p>
    <w:p w:rsidR="00B45DC9" w:rsidRPr="00B45DC9" w:rsidRDefault="00B45DC9" w:rsidP="000B0F9B">
      <w:pPr>
        <w:pStyle w:val="SingleTxtG"/>
        <w:keepNext/>
      </w:pPr>
      <w:r w:rsidRPr="00B45DC9">
        <w:lastRenderedPageBreak/>
        <w:t>7.</w:t>
      </w:r>
      <w:r w:rsidRPr="00B45DC9">
        <w:tab/>
        <w:t>Inclure le croquis suivant dans le Manuel ATP</w:t>
      </w:r>
      <w:r w:rsidR="00A91D73">
        <w:t> </w:t>
      </w:r>
      <w:r w:rsidRPr="00B45DC9">
        <w:t>:</w:t>
      </w:r>
    </w:p>
    <w:p w:rsidR="00B45DC9" w:rsidRPr="00B45DC9" w:rsidRDefault="00DD4C4A" w:rsidP="00A91D73">
      <w:pPr>
        <w:pStyle w:val="SingleTxtG"/>
        <w:keepNext/>
      </w:pPr>
      <w:r>
        <w:t>« </w:t>
      </w:r>
      <w:r w:rsidR="00B45DC9" w:rsidRPr="00B45DC9">
        <w:t xml:space="preserve">Figure 6 </w:t>
      </w:r>
      <w:r>
        <w:t>−</w:t>
      </w:r>
      <w:r w:rsidR="00B45DC9" w:rsidRPr="00B45DC9">
        <w:t xml:space="preserve"> Cotes d</w:t>
      </w:r>
      <w:r w:rsidR="00B45DC9">
        <w:t>’</w:t>
      </w:r>
      <w:r w:rsidR="00B45DC9" w:rsidRPr="00B45DC9">
        <w:t>une caisse à</w:t>
      </w:r>
      <w:r w:rsidR="00B45DC9">
        <w:t xml:space="preserve"> </w:t>
      </w:r>
      <w:r w:rsidR="00B45DC9" w:rsidRPr="00B45DC9">
        <w:t xml:space="preserve">toiture arrondie </w:t>
      </w:r>
    </w:p>
    <w:p w:rsidR="00F9573C" w:rsidRDefault="00B45DC9" w:rsidP="006F4E4C">
      <w:pPr>
        <w:ind w:left="284"/>
      </w:pPr>
      <w:r w:rsidRPr="0001726D">
        <w:rPr>
          <w:noProof/>
          <w:lang w:val="en-US"/>
        </w:rPr>
        <w:drawing>
          <wp:inline distT="0" distB="0" distL="0" distR="0" wp14:anchorId="24D3A622" wp14:editId="66991E05">
            <wp:extent cx="5764377" cy="2574950"/>
            <wp:effectExtent l="0" t="0" r="8255" b="0"/>
            <wp:docPr id="19"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8" cstate="print"/>
                    <a:stretch>
                      <a:fillRect/>
                    </a:stretch>
                  </pic:blipFill>
                  <pic:spPr>
                    <a:xfrm>
                      <a:off x="0" y="0"/>
                      <a:ext cx="5763473" cy="2574546"/>
                    </a:xfrm>
                    <a:prstGeom prst="rect">
                      <a:avLst/>
                    </a:prstGeom>
                  </pic:spPr>
                </pic:pic>
              </a:graphicData>
            </a:graphic>
          </wp:inline>
        </w:drawing>
      </w:r>
      <w:r w:rsidR="00132CA8">
        <w:t>».</w:t>
      </w:r>
    </w:p>
    <w:p w:rsidR="00B45DC9" w:rsidRPr="00B45DC9" w:rsidRDefault="00DD4C4A" w:rsidP="00DD4C4A">
      <w:pPr>
        <w:pStyle w:val="HChG"/>
      </w:pPr>
      <w:r>
        <w:tab/>
      </w:r>
      <w:r>
        <w:tab/>
      </w:r>
      <w:r w:rsidR="00B45DC9" w:rsidRPr="00B45DC9">
        <w:t>Exemples de calcul</w:t>
      </w:r>
    </w:p>
    <w:p w:rsidR="00B45DC9" w:rsidRPr="00B45DC9" w:rsidRDefault="00B45DC9" w:rsidP="00B45DC9">
      <w:pPr>
        <w:pStyle w:val="SingleTxtG"/>
      </w:pPr>
      <w:r w:rsidRPr="00B45DC9">
        <w:t>8.</w:t>
      </w:r>
      <w:r w:rsidRPr="00B45DC9">
        <w:tab/>
        <w:t>On trouvera des exemples de calculs réalisés dans Math</w:t>
      </w:r>
      <w:r w:rsidR="00D74BCF" w:rsidRPr="00B45DC9">
        <w:t>cad</w:t>
      </w:r>
      <w:r w:rsidRPr="00B45DC9">
        <w:t xml:space="preserve"> aux annexes А et B du présent document.</w:t>
      </w:r>
    </w:p>
    <w:p w:rsidR="00B45DC9" w:rsidRPr="00B45DC9" w:rsidRDefault="00DD4C4A" w:rsidP="00DD4C4A">
      <w:pPr>
        <w:pStyle w:val="HChG"/>
      </w:pPr>
      <w:r>
        <w:tab/>
      </w:r>
      <w:r>
        <w:tab/>
      </w:r>
      <w:r w:rsidR="00B45DC9" w:rsidRPr="00B45DC9">
        <w:t>Justification</w:t>
      </w:r>
    </w:p>
    <w:p w:rsidR="00B45DC9" w:rsidRPr="00B45DC9" w:rsidRDefault="00B45DC9" w:rsidP="00B45DC9">
      <w:pPr>
        <w:pStyle w:val="SingleTxtG"/>
      </w:pPr>
      <w:r w:rsidRPr="00B45DC9">
        <w:t>9.</w:t>
      </w:r>
      <w:r w:rsidRPr="00B45DC9">
        <w:tab/>
        <w:t>L</w:t>
      </w:r>
      <w:r>
        <w:t>’</w:t>
      </w:r>
      <w:r w:rsidRPr="00B45DC9">
        <w:t>application des méthodes de détermination de la surface moyenne de la caisse d</w:t>
      </w:r>
      <w:r>
        <w:t>’</w:t>
      </w:r>
      <w:r w:rsidRPr="00B45DC9">
        <w:t>un engin de transport spécial compte tenu de la surface extérieure et de la surface intérieure de ladite caisse est importante si l</w:t>
      </w:r>
      <w:r>
        <w:t>’</w:t>
      </w:r>
      <w:r w:rsidRPr="00B45DC9">
        <w:t>on veut que l</w:t>
      </w:r>
      <w:r>
        <w:t>’</w:t>
      </w:r>
      <w:r w:rsidRPr="00B45DC9">
        <w:t>ensemble des Parties contractantes, des experts et des centres d</w:t>
      </w:r>
      <w:r>
        <w:t>’</w:t>
      </w:r>
      <w:r w:rsidRPr="00B45DC9">
        <w:t>essai comprennent de la même façon les normes et les prescriptions énoncées dans l</w:t>
      </w:r>
      <w:r>
        <w:t>’</w:t>
      </w:r>
      <w:r w:rsidRPr="00B45DC9">
        <w:t>ATP. L</w:t>
      </w:r>
      <w:r>
        <w:t>’</w:t>
      </w:r>
      <w:r w:rsidRPr="00B45DC9">
        <w:t>utilisation de méthodes communes, compréhensibles et accessibles pour la mesure de la surface moyenne d</w:t>
      </w:r>
      <w:r>
        <w:t>’</w:t>
      </w:r>
      <w:r w:rsidRPr="00B45DC9">
        <w:t>une caisse d</w:t>
      </w:r>
      <w:r>
        <w:t>’</w:t>
      </w:r>
      <w:r w:rsidRPr="00B45DC9">
        <w:t>engin de transport spécial permettra en effet de renforcer la confiance mutuelle à l</w:t>
      </w:r>
      <w:r>
        <w:t>’</w:t>
      </w:r>
      <w:r w:rsidRPr="00B45DC9">
        <w:t>égard des certificats ATP et d</w:t>
      </w:r>
      <w:r>
        <w:t>’</w:t>
      </w:r>
      <w:r w:rsidRPr="00B45DC9">
        <w:t>améliorer ainsi le fonctionnement de l</w:t>
      </w:r>
      <w:r>
        <w:t>’</w:t>
      </w:r>
      <w:r w:rsidRPr="00B45DC9">
        <w:t>ensemble du système de contrôle et de certification dans le cadre de l</w:t>
      </w:r>
      <w:r>
        <w:t>’</w:t>
      </w:r>
      <w:r w:rsidRPr="00B45DC9">
        <w:t>ATP.</w:t>
      </w:r>
    </w:p>
    <w:p w:rsidR="00B45DC9" w:rsidRPr="00B45DC9" w:rsidRDefault="00B45DC9" w:rsidP="00B45DC9">
      <w:pPr>
        <w:pStyle w:val="SingleTxtG"/>
      </w:pPr>
      <w:r w:rsidRPr="00B45DC9">
        <w:t>10.</w:t>
      </w:r>
      <w:r w:rsidRPr="00B45DC9">
        <w:tab/>
        <w:t>Dans la pratique, les caisses des engins de transport spéciaux peuvent être de formes très diverses et comporter différents</w:t>
      </w:r>
      <w:r>
        <w:t xml:space="preserve"> </w:t>
      </w:r>
      <w:r w:rsidRPr="00B45DC9">
        <w:t>éléments de structure supplémentaires ainsi que des vides cachés, qui doivent être pris en compte dans le cadre des essais ainsi que</w:t>
      </w:r>
      <w:r>
        <w:t xml:space="preserve"> </w:t>
      </w:r>
      <w:r w:rsidRPr="00B45DC9">
        <w:t>des contrôles effectués par les experts. L</w:t>
      </w:r>
      <w:r>
        <w:t>’</w:t>
      </w:r>
      <w:r w:rsidRPr="00B45DC9">
        <w:t>utilisation de la mét</w:t>
      </w:r>
      <w:r w:rsidR="00191E11">
        <w:t>hode</w:t>
      </w:r>
      <w:r w:rsidR="00C843FB">
        <w:t> </w:t>
      </w:r>
      <w:r w:rsidR="00191E11">
        <w:t>A, proposée par le Royaume</w:t>
      </w:r>
      <w:r w:rsidR="00191E11">
        <w:noBreakHyphen/>
      </w:r>
      <w:r w:rsidRPr="00B45DC9">
        <w:t>Uni, est appropriée s</w:t>
      </w:r>
      <w:r>
        <w:t>’</w:t>
      </w:r>
      <w:r w:rsidRPr="00B45DC9">
        <w:t>il est possible de prendre pleinement en compte tous ces éléments de structure ainsi que les vides cachés.</w:t>
      </w:r>
    </w:p>
    <w:p w:rsidR="00B45DC9" w:rsidRPr="00B45DC9" w:rsidRDefault="00B45DC9" w:rsidP="00B45DC9">
      <w:pPr>
        <w:pStyle w:val="SingleTxtG"/>
      </w:pPr>
      <w:r w:rsidRPr="00B45DC9">
        <w:t>11.</w:t>
      </w:r>
      <w:r w:rsidRPr="00B45DC9">
        <w:tab/>
        <w:t>Dans de nombreux cas il s</w:t>
      </w:r>
      <w:r>
        <w:t>’</w:t>
      </w:r>
      <w:r w:rsidRPr="00B45DC9">
        <w:t>avère difficile, pour différentes raisons, de déterminer avec précision la structure de la caisse des engins de transport spéciaux dans le cadre des essais ou des contrôles d</w:t>
      </w:r>
      <w:r>
        <w:t>’</w:t>
      </w:r>
      <w:r w:rsidRPr="00B45DC9">
        <w:t>experts, ou alors les méthodes utilisées pour calculer la surface moyenne de la caisse sont trop complexes. Pourtant, il n</w:t>
      </w:r>
      <w:r>
        <w:t>’</w:t>
      </w:r>
      <w:r w:rsidRPr="00B45DC9">
        <w:t>est pas difficile de mesurer la surface intérieure des parois, du plancher et de la toiture de toutes les structures connues d</w:t>
      </w:r>
      <w:r>
        <w:t>’</w:t>
      </w:r>
      <w:r w:rsidRPr="00B45DC9">
        <w:t>engins de transport spéciaux, y compris lorsqu</w:t>
      </w:r>
      <w:r>
        <w:t>’</w:t>
      </w:r>
      <w:r w:rsidRPr="00B45DC9">
        <w:t>ils ont une forme complexe (des exemples qui peuvent être appliqués à toutes les structures de caisse sont analysés dans la proposition du Royaume-Uni figurant dans le document</w:t>
      </w:r>
      <w:r>
        <w:t xml:space="preserve"> </w:t>
      </w:r>
      <w:r w:rsidRPr="00B45DC9">
        <w:t>ECE/TRANS/WP.11/2015/2).</w:t>
      </w:r>
    </w:p>
    <w:p w:rsidR="00B45DC9" w:rsidRPr="00B45DC9" w:rsidRDefault="00DD4C4A" w:rsidP="00B45DC9">
      <w:pPr>
        <w:pStyle w:val="SingleTxtG"/>
      </w:pPr>
      <w:r>
        <w:lastRenderedPageBreak/>
        <w:tab/>
      </w:r>
      <w:r w:rsidR="00B45DC9" w:rsidRPr="00B45DC9">
        <w:t>Lorsque</w:t>
      </w:r>
      <w:r w:rsidR="00B45DC9">
        <w:t xml:space="preserve"> </w:t>
      </w:r>
      <w:r w:rsidR="00B45DC9" w:rsidRPr="00B45DC9">
        <w:t>l</w:t>
      </w:r>
      <w:r w:rsidR="00B45DC9">
        <w:t>’</w:t>
      </w:r>
      <w:r w:rsidR="00B45DC9" w:rsidRPr="00B45DC9">
        <w:t>épaisseur moyenne de l</w:t>
      </w:r>
      <w:r w:rsidR="00B45DC9">
        <w:t>’</w:t>
      </w:r>
      <w:r w:rsidR="00B45DC9" w:rsidRPr="00B45DC9">
        <w:t>isolant est indiquée par le constructeur dans la documentation technique, il est approprié d</w:t>
      </w:r>
      <w:r w:rsidR="00B45DC9">
        <w:t>’</w:t>
      </w:r>
      <w:r w:rsidR="00B45DC9" w:rsidRPr="00B45DC9">
        <w:t>appliquer la méthode B, selon laquelle on détermine les dimensions extérieures de la caisse de l</w:t>
      </w:r>
      <w:r w:rsidR="00B45DC9">
        <w:t>’</w:t>
      </w:r>
      <w:r w:rsidR="00B45DC9" w:rsidRPr="00B45DC9">
        <w:t>engin de transport spécial</w:t>
      </w:r>
      <w:r w:rsidR="00B45DC9">
        <w:t xml:space="preserve"> </w:t>
      </w:r>
      <w:r w:rsidR="00B45DC9" w:rsidRPr="00B45DC9">
        <w:t>comme</w:t>
      </w:r>
      <w:r w:rsidR="00B45DC9">
        <w:t xml:space="preserve"> </w:t>
      </w:r>
      <w:r w:rsidR="00B45DC9" w:rsidRPr="00B45DC9">
        <w:t>les dimensions intérieures, augmentées de l</w:t>
      </w:r>
      <w:r w:rsidR="00B45DC9">
        <w:t>’</w:t>
      </w:r>
      <w:r w:rsidR="00B45DC9" w:rsidRPr="00B45DC9">
        <w:t>épaisseur moyenne de l</w:t>
      </w:r>
      <w:r w:rsidR="00B45DC9">
        <w:t>’</w:t>
      </w:r>
      <w:r w:rsidR="00B45DC9" w:rsidRPr="00B45DC9">
        <w:t>isolant. Si cette dernière variable n</w:t>
      </w:r>
      <w:r w:rsidR="00B45DC9">
        <w:t>’</w:t>
      </w:r>
      <w:r w:rsidR="00B45DC9" w:rsidRPr="00B45DC9">
        <w:t>est pas connue, on emploie la méthode C, qui est la plus universelle.</w:t>
      </w:r>
    </w:p>
    <w:p w:rsidR="00B45DC9" w:rsidRPr="00B45DC9" w:rsidRDefault="00B45DC9" w:rsidP="00B45DC9">
      <w:pPr>
        <w:pStyle w:val="SingleTxtG"/>
      </w:pPr>
      <w:r w:rsidRPr="00B45DC9">
        <w:t>12.</w:t>
      </w:r>
      <w:r w:rsidRPr="00B45DC9">
        <w:tab/>
        <w:t>Dans le cadre de l</w:t>
      </w:r>
      <w:r>
        <w:t>’</w:t>
      </w:r>
      <w:r w:rsidRPr="00B45DC9">
        <w:t>élaboration des propositions relatives à l</w:t>
      </w:r>
      <w:r>
        <w:t>’</w:t>
      </w:r>
      <w:r w:rsidRPr="00B45DC9">
        <w:t>application des méthodes de calcul proposées par le Royaume-Uni aux caisses des wagons ferroviaires, les experts de la Fédération de Russie ont dû tenir</w:t>
      </w:r>
      <w:r>
        <w:t xml:space="preserve"> </w:t>
      </w:r>
      <w:r w:rsidRPr="00B45DC9">
        <w:t>compte des singularités de structure de l</w:t>
      </w:r>
      <w:r>
        <w:t>’</w:t>
      </w:r>
      <w:r w:rsidRPr="00B45DC9">
        <w:t>enveloppe</w:t>
      </w:r>
      <w:r w:rsidRPr="00B45DC9">
        <w:rPr>
          <w:b/>
          <w:i/>
        </w:rPr>
        <w:t xml:space="preserve"> </w:t>
      </w:r>
      <w:r w:rsidRPr="00B45DC9">
        <w:t>du wagon et, en premier lieu, de sa toiture.</w:t>
      </w:r>
    </w:p>
    <w:p w:rsidR="00B45DC9" w:rsidRPr="00B45DC9" w:rsidRDefault="00DD4C4A" w:rsidP="00B45DC9">
      <w:pPr>
        <w:pStyle w:val="SingleTxtG"/>
      </w:pPr>
      <w:r>
        <w:tab/>
      </w:r>
      <w:r w:rsidR="00B45DC9" w:rsidRPr="00B45DC9">
        <w:t>Un examen des données contenues dans le manuel intitulé « Wagons conçus pour des voies ferrées ayant un écartement de 1</w:t>
      </w:r>
      <w:r w:rsidR="000B0F9B">
        <w:t> </w:t>
      </w:r>
      <w:r w:rsidR="00B45DC9" w:rsidRPr="00B45DC9">
        <w:t>520</w:t>
      </w:r>
      <w:r w:rsidR="000B0F9B">
        <w:t> </w:t>
      </w:r>
      <w:r w:rsidR="00B45DC9" w:rsidRPr="00B45DC9">
        <w:t>mm »</w:t>
      </w:r>
      <w:r w:rsidR="00B45DC9" w:rsidRPr="00DD4C4A">
        <w:rPr>
          <w:rStyle w:val="FootnoteReference"/>
        </w:rPr>
        <w:footnoteReference w:id="2"/>
      </w:r>
      <w:r w:rsidR="00B45DC9" w:rsidRPr="00B45DC9">
        <w:t xml:space="preserve"> a montré que la structure de caisse de wagon la plus courante se compose de parois verticales de hauteur égale, d</w:t>
      </w:r>
      <w:r w:rsidR="00B45DC9">
        <w:t>’</w:t>
      </w:r>
      <w:r w:rsidR="00B45DC9" w:rsidRPr="00B45DC9">
        <w:t>un plancher rectangulaire et d</w:t>
      </w:r>
      <w:r w:rsidR="00B45DC9">
        <w:t>’</w:t>
      </w:r>
      <w:r w:rsidR="00B45DC9" w:rsidRPr="00B45DC9">
        <w:t>une toiture arrondie. Les</w:t>
      </w:r>
      <w:r w:rsidR="00B45DC9">
        <w:t xml:space="preserve"> </w:t>
      </w:r>
      <w:r w:rsidR="00B45DC9" w:rsidRPr="00B45DC9">
        <w:t>parois et les planchers ayant une telle structure sont relativement</w:t>
      </w:r>
      <w:r w:rsidR="00B45DC9">
        <w:t xml:space="preserve"> </w:t>
      </w:r>
      <w:r w:rsidR="00B45DC9" w:rsidRPr="00B45DC9">
        <w:t>faciles à mesurer. Lorsqu</w:t>
      </w:r>
      <w:r w:rsidR="00B45DC9">
        <w:t>’</w:t>
      </w:r>
      <w:r w:rsidR="00B45DC9" w:rsidRPr="00B45DC9">
        <w:t>ils sont de</w:t>
      </w:r>
      <w:r w:rsidR="00B45DC9">
        <w:t xml:space="preserve"> </w:t>
      </w:r>
      <w:r w:rsidR="00B45DC9" w:rsidRPr="00B45DC9">
        <w:t>forme</w:t>
      </w:r>
      <w:r w:rsidR="00B45DC9">
        <w:t xml:space="preserve"> </w:t>
      </w:r>
      <w:r w:rsidR="00B45DC9" w:rsidRPr="00B45DC9">
        <w:t>plus complexe, il est possible</w:t>
      </w:r>
      <w:r w:rsidR="00B45DC9">
        <w:t xml:space="preserve"> </w:t>
      </w:r>
      <w:r w:rsidR="00B45DC9" w:rsidRPr="00B45DC9">
        <w:t>d</w:t>
      </w:r>
      <w:r w:rsidR="00B45DC9">
        <w:t>’</w:t>
      </w:r>
      <w:r w:rsidR="00B45DC9" w:rsidRPr="00B45DC9">
        <w:t>utiliser des valeurs moyennes pondérées, calculées selon</w:t>
      </w:r>
      <w:r w:rsidR="00B45DC9">
        <w:t xml:space="preserve"> </w:t>
      </w:r>
      <w:r w:rsidR="00B45DC9" w:rsidRPr="00B45DC9">
        <w:t>les méthodes proposées par le Royaume-Uni.</w:t>
      </w:r>
    </w:p>
    <w:p w:rsidR="00B45DC9" w:rsidRPr="00B45DC9" w:rsidRDefault="00DD4C4A" w:rsidP="00B45DC9">
      <w:pPr>
        <w:pStyle w:val="SingleTxtG"/>
      </w:pPr>
      <w:r>
        <w:tab/>
      </w:r>
      <w:r w:rsidR="00B45DC9" w:rsidRPr="00B45DC9">
        <w:t>Ces méthodes ne peuvent toutefois pas être utilisées si la toiture de l</w:t>
      </w:r>
      <w:r w:rsidR="00B45DC9">
        <w:t>’</w:t>
      </w:r>
      <w:r w:rsidR="00B45DC9" w:rsidRPr="00B45DC9">
        <w:t>engin de transport spécial est</w:t>
      </w:r>
      <w:r w:rsidR="00B45DC9">
        <w:t xml:space="preserve"> </w:t>
      </w:r>
      <w:r w:rsidR="00B45DC9" w:rsidRPr="00B45DC9">
        <w:t>arrondie. Il a donc fallu élaborer des méthodes différentes pour mesurer la surface de ce type de toiture.</w:t>
      </w:r>
    </w:p>
    <w:p w:rsidR="00B45DC9" w:rsidRPr="00B45DC9" w:rsidRDefault="00B45DC9" w:rsidP="00B45DC9">
      <w:pPr>
        <w:pStyle w:val="SingleTxtG"/>
      </w:pPr>
      <w:r w:rsidRPr="00B45DC9">
        <w:t>13.</w:t>
      </w:r>
      <w:r w:rsidRPr="00B45DC9">
        <w:tab/>
        <w:t>Si le constructeur fournit un descriptif précis</w:t>
      </w:r>
      <w:r>
        <w:t xml:space="preserve"> </w:t>
      </w:r>
      <w:r w:rsidRPr="00B45DC9">
        <w:t>permettant de déterminer la longueur de l</w:t>
      </w:r>
      <w:r>
        <w:t>’</w:t>
      </w:r>
      <w:r w:rsidRPr="00B45DC9">
        <w:t>arrondi de la toiture, il est effectivement possible de mesurer la surface de la toiture selon la méthode A (toutes les données sont connues).</w:t>
      </w:r>
    </w:p>
    <w:p w:rsidR="00B45DC9" w:rsidRPr="00B45DC9" w:rsidRDefault="00DD4C4A" w:rsidP="00B45DC9">
      <w:pPr>
        <w:pStyle w:val="SingleTxtG"/>
      </w:pPr>
      <w:r>
        <w:tab/>
      </w:r>
      <w:r w:rsidR="00B45DC9" w:rsidRPr="00B45DC9">
        <w:t>Cependant,</w:t>
      </w:r>
      <w:r w:rsidR="00B45DC9">
        <w:t xml:space="preserve"> </w:t>
      </w:r>
      <w:r w:rsidR="00B45DC9" w:rsidRPr="00B45DC9">
        <w:t>même si</w:t>
      </w:r>
      <w:r w:rsidR="00B45DC9">
        <w:t xml:space="preserve"> </w:t>
      </w:r>
      <w:r w:rsidR="00B45DC9" w:rsidRPr="00B45DC9">
        <w:t>ces informations figurent</w:t>
      </w:r>
      <w:r w:rsidR="00B45DC9">
        <w:t xml:space="preserve"> </w:t>
      </w:r>
      <w:r w:rsidR="00B45DC9" w:rsidRPr="00B45DC9">
        <w:t>dans la documentation technique, l</w:t>
      </w:r>
      <w:r w:rsidR="00B45DC9">
        <w:t>’</w:t>
      </w:r>
      <w:r w:rsidR="00B45DC9" w:rsidRPr="00B45DC9">
        <w:t>utilisation</w:t>
      </w:r>
      <w:r w:rsidR="00B45DC9">
        <w:t xml:space="preserve"> </w:t>
      </w:r>
      <w:r w:rsidR="00B45DC9" w:rsidRPr="00B45DC9">
        <w:t>de méthodes mathématiques complexes reste souvent nécessaire. Pour déterminer le coefficient K avec une marge d</w:t>
      </w:r>
      <w:r w:rsidR="00B45DC9">
        <w:t>’</w:t>
      </w:r>
      <w:r w:rsidR="00B45DC9" w:rsidRPr="00B45DC9">
        <w:t>erreur ne dépassant</w:t>
      </w:r>
      <w:r w:rsidR="00B45DC9">
        <w:t xml:space="preserve"> </w:t>
      </w:r>
      <w:r w:rsidR="00B45DC9" w:rsidRPr="00B45DC9">
        <w:t>pas</w:t>
      </w:r>
      <w:r w:rsidR="00B45DC9">
        <w:t xml:space="preserve"> </w:t>
      </w:r>
      <w:r w:rsidR="00B45DC9" w:rsidRPr="00B45DC9">
        <w:t>les valeurs indiquées au paragraphe 2.3.2 de l</w:t>
      </w:r>
      <w:r w:rsidR="00B45DC9">
        <w:t>’</w:t>
      </w:r>
      <w:r w:rsidR="00B45DC9" w:rsidRPr="00B45DC9">
        <w:t>appendice 2 de l</w:t>
      </w:r>
      <w:r w:rsidR="00B45DC9">
        <w:t>’</w:t>
      </w:r>
      <w:r w:rsidR="00B45DC9" w:rsidRPr="00B45DC9">
        <w:t>annexe 1 de l</w:t>
      </w:r>
      <w:r w:rsidR="00B45DC9">
        <w:t>’</w:t>
      </w:r>
      <w:r w:rsidR="00B45DC9" w:rsidRPr="00B45DC9">
        <w:t>ATP, il est possible d</w:t>
      </w:r>
      <w:r w:rsidR="00B45DC9">
        <w:t>’</w:t>
      </w:r>
      <w:r w:rsidR="00B45DC9" w:rsidRPr="00B45DC9">
        <w:t>utiliser une méthode plus simple, fondée sur la représentation de l</w:t>
      </w:r>
      <w:r w:rsidR="00B45DC9">
        <w:t>’</w:t>
      </w:r>
      <w:r w:rsidR="00B45DC9" w:rsidRPr="00B45DC9">
        <w:t>arrondi</w:t>
      </w:r>
      <w:r w:rsidR="00B45DC9">
        <w:t xml:space="preserve"> </w:t>
      </w:r>
      <w:r w:rsidR="00B45DC9" w:rsidRPr="00B45DC9">
        <w:t>de la toiture comme correspondant à la moitié du périmètre de l</w:t>
      </w:r>
      <w:r w:rsidR="00B45DC9">
        <w:t>’</w:t>
      </w:r>
      <w:r w:rsidR="00B45DC9" w:rsidRPr="00B45DC9">
        <w:t>ellipse. Le périmètre de l</w:t>
      </w:r>
      <w:r w:rsidR="00B45DC9">
        <w:t>’</w:t>
      </w:r>
      <w:r w:rsidR="00B45DC9" w:rsidRPr="00B45DC9">
        <w:t>ellipse peut être déterminé à partir de</w:t>
      </w:r>
      <w:r w:rsidR="00B45DC9">
        <w:t xml:space="preserve"> </w:t>
      </w:r>
      <w:r w:rsidR="00B45DC9" w:rsidRPr="00B45DC9">
        <w:t>la valeur des deux axes de celle-ci, qui</w:t>
      </w:r>
      <w:r w:rsidR="00B45DC9">
        <w:t xml:space="preserve"> </w:t>
      </w:r>
      <w:r w:rsidR="00B45DC9" w:rsidRPr="00B45DC9">
        <w:t>correspondent à la largeur de la caisse et à la hauteur de l</w:t>
      </w:r>
      <w:r w:rsidR="00B45DC9">
        <w:t>’</w:t>
      </w:r>
      <w:r w:rsidR="00B45DC9" w:rsidRPr="00B45DC9">
        <w:t xml:space="preserve">arrondi de la </w:t>
      </w:r>
      <w:r w:rsidR="0002637C" w:rsidRPr="00B45DC9">
        <w:t>toiture,</w:t>
      </w:r>
      <w:r w:rsidR="00B45DC9" w:rsidRPr="00B45DC9">
        <w:t xml:space="preserve"> avec une petite marge d</w:t>
      </w:r>
      <w:r w:rsidR="00B45DC9">
        <w:t>’</w:t>
      </w:r>
      <w:r w:rsidR="00B45DC9" w:rsidRPr="00B45DC9">
        <w:t>erreur n</w:t>
      </w:r>
      <w:r w:rsidR="00B45DC9">
        <w:t>’</w:t>
      </w:r>
      <w:r w:rsidR="00B45DC9" w:rsidRPr="00B45DC9">
        <w:t>excédant pas</w:t>
      </w:r>
      <w:r w:rsidR="00B45DC9">
        <w:t xml:space="preserve"> </w:t>
      </w:r>
      <w:r w:rsidR="00B45DC9" w:rsidRPr="00B45DC9">
        <w:t>0,3619 % compte tenu d</w:t>
      </w:r>
      <w:r w:rsidR="00B45DC9">
        <w:t>’</w:t>
      </w:r>
      <w:r w:rsidR="00B45DC9" w:rsidRPr="00B45DC9">
        <w:t>une excentricité de l</w:t>
      </w:r>
      <w:r w:rsidR="00B45DC9">
        <w:t>’</w:t>
      </w:r>
      <w:r w:rsidR="00B45DC9" w:rsidRPr="00B45DC9">
        <w:t>ellipse de ~0,979811 (rapport axial : ~1/5, ce qui correspond globalement à la plupart des structures de wagon connues). C</w:t>
      </w:r>
      <w:r w:rsidR="00B45DC9">
        <w:t>’</w:t>
      </w:r>
      <w:r w:rsidR="00B45DC9" w:rsidRPr="00B45DC9">
        <w:t>est précisément cette méthode de mesure qui est proposée par les experts de la Fédération de Russie.</w:t>
      </w:r>
    </w:p>
    <w:p w:rsidR="00B45DC9" w:rsidRPr="00B45DC9" w:rsidRDefault="00DD4C4A" w:rsidP="00B45DC9">
      <w:pPr>
        <w:pStyle w:val="SingleTxtG"/>
      </w:pPr>
      <w:r>
        <w:tab/>
      </w:r>
      <w:r w:rsidR="00B45DC9" w:rsidRPr="00B45DC9">
        <w:t>Il est possible de calculer l</w:t>
      </w:r>
      <w:r w:rsidR="00B45DC9">
        <w:t>’</w:t>
      </w:r>
      <w:r w:rsidR="00B45DC9" w:rsidRPr="00B45DC9">
        <w:t>erreur globale de</w:t>
      </w:r>
      <w:r w:rsidR="00B45DC9">
        <w:t xml:space="preserve"> </w:t>
      </w:r>
      <w:r w:rsidR="00B45DC9" w:rsidRPr="00B45DC9">
        <w:t>mesure de la surface moyenne de la caisse en utilisant les méthodes présentées</w:t>
      </w:r>
      <w:r w:rsidR="00B45DC9">
        <w:t xml:space="preserve"> </w:t>
      </w:r>
      <w:r w:rsidR="00B45DC9" w:rsidRPr="00B45DC9">
        <w:t>dans le Manuel ATP (voir l</w:t>
      </w:r>
      <w:r w:rsidR="00B45DC9">
        <w:t>’</w:t>
      </w:r>
      <w:r w:rsidR="00B45DC9" w:rsidRPr="00B45DC9">
        <w:t>observation relative au paragraphe 2.3.2 de l</w:t>
      </w:r>
      <w:r w:rsidR="00B45DC9">
        <w:t>’</w:t>
      </w:r>
      <w:r w:rsidR="00B45DC9" w:rsidRPr="00B45DC9">
        <w:t>appendice 2 de l</w:t>
      </w:r>
      <w:r w:rsidR="00B45DC9">
        <w:t>’</w:t>
      </w:r>
      <w:r w:rsidR="00B45DC9" w:rsidRPr="00B45DC9">
        <w:t>annexe 1 de l</w:t>
      </w:r>
      <w:r w:rsidR="00B45DC9">
        <w:t>’</w:t>
      </w:r>
      <w:r w:rsidR="00B45DC9" w:rsidRPr="00B45DC9">
        <w:t>ATP).</w:t>
      </w:r>
    </w:p>
    <w:p w:rsidR="00B45DC9" w:rsidRPr="00B45DC9" w:rsidRDefault="00B45DC9" w:rsidP="00B45DC9">
      <w:pPr>
        <w:pStyle w:val="SingleTxtG"/>
      </w:pPr>
      <w:r w:rsidRPr="00B45DC9">
        <w:t>14.</w:t>
      </w:r>
      <w:r w:rsidRPr="00B45DC9">
        <w:tab/>
        <w:t>En conclusion, il est nécessaire de</w:t>
      </w:r>
      <w:r>
        <w:t xml:space="preserve"> </w:t>
      </w:r>
      <w:r w:rsidRPr="00B45DC9">
        <w:t>vérifier l</w:t>
      </w:r>
      <w:r>
        <w:t>’</w:t>
      </w:r>
      <w:r w:rsidRPr="00B45DC9">
        <w:t>applicabilité</w:t>
      </w:r>
      <w:r>
        <w:t xml:space="preserve"> </w:t>
      </w:r>
      <w:r w:rsidRPr="00B45DC9">
        <w:t>de la méthode de calcul</w:t>
      </w:r>
      <w:r>
        <w:t xml:space="preserve"> </w:t>
      </w:r>
      <w:r w:rsidRPr="00B45DC9">
        <w:t>C aux structures connues de caisses de wagons ferroviaires autres que les wagons-citernes. Compte tenu des objectifs principaux de l</w:t>
      </w:r>
      <w:r>
        <w:t>’</w:t>
      </w:r>
      <w:r w:rsidRPr="00B45DC9">
        <w:t>ATP, qui sont de</w:t>
      </w:r>
      <w:r>
        <w:t xml:space="preserve"> </w:t>
      </w:r>
      <w:r w:rsidRPr="00B45DC9">
        <w:t>garantir les conditions de conservation de la qualité des</w:t>
      </w:r>
      <w:r>
        <w:t xml:space="preserve"> </w:t>
      </w:r>
      <w:r w:rsidRPr="00B45DC9">
        <w:t>denrées périssables</w:t>
      </w:r>
      <w:r>
        <w:t xml:space="preserve"> </w:t>
      </w:r>
      <w:r w:rsidRPr="00B45DC9">
        <w:t>au cours de leur</w:t>
      </w:r>
      <w:r>
        <w:t xml:space="preserve"> </w:t>
      </w:r>
      <w:r w:rsidRPr="00B45DC9">
        <w:t>transport, il est évident que la valeur du coefficient K, calculée d</w:t>
      </w:r>
      <w:r>
        <w:t>’</w:t>
      </w:r>
      <w:r w:rsidRPr="00B45DC9">
        <w:t>après la méthode C, ne doit pas être inférieure à sa</w:t>
      </w:r>
      <w:r>
        <w:t xml:space="preserve"> </w:t>
      </w:r>
      <w:r w:rsidRPr="00B45DC9">
        <w:t>valeur réelle. La surface moyenne calculée de la caisse de l</w:t>
      </w:r>
      <w:r>
        <w:t>’</w:t>
      </w:r>
      <w:r w:rsidRPr="00B45DC9">
        <w:t>engin de transport spécial doit donc être minimale, ce qui correspond également à une épaisseur moyenne calculée de l</w:t>
      </w:r>
      <w:r>
        <w:t>’</w:t>
      </w:r>
      <w:r w:rsidRPr="00B45DC9">
        <w:t>isolant minimale. L</w:t>
      </w:r>
      <w:r>
        <w:t>’</w:t>
      </w:r>
      <w:r w:rsidRPr="00B45DC9">
        <w:t>épaisseur de l</w:t>
      </w:r>
      <w:r>
        <w:t>’</w:t>
      </w:r>
      <w:r w:rsidRPr="00B45DC9">
        <w:t>isolant dépend en général de la conductivité</w:t>
      </w:r>
      <w:r>
        <w:t xml:space="preserve"> </w:t>
      </w:r>
      <w:r w:rsidRPr="00B45DC9">
        <w:t>thermique des matériaux dont il est composé (habituellement du</w:t>
      </w:r>
      <w:r>
        <w:t xml:space="preserve"> </w:t>
      </w:r>
      <w:r w:rsidRPr="00B45DC9">
        <w:t>matériau utilisé comme agent</w:t>
      </w:r>
      <w:r>
        <w:t xml:space="preserve"> </w:t>
      </w:r>
      <w:r w:rsidRPr="00B45DC9">
        <w:t>de remplissage principal des structures d</w:t>
      </w:r>
      <w:r>
        <w:t>’</w:t>
      </w:r>
      <w:r w:rsidRPr="00B45DC9">
        <w:t>isolation</w:t>
      </w:r>
      <w:r>
        <w:t xml:space="preserve"> </w:t>
      </w:r>
      <w:r w:rsidRPr="00B45DC9">
        <w:t>du compartiment de chargement des engins de transport spéciaux).</w:t>
      </w:r>
    </w:p>
    <w:p w:rsidR="00B45DC9" w:rsidRPr="00B45DC9" w:rsidRDefault="00DD4C4A" w:rsidP="00B45DC9">
      <w:pPr>
        <w:pStyle w:val="SingleTxtG"/>
      </w:pPr>
      <w:r>
        <w:tab/>
      </w:r>
      <w:r w:rsidR="00B45DC9">
        <w:t>À</w:t>
      </w:r>
      <w:r w:rsidR="00B45DC9" w:rsidRPr="00B45DC9">
        <w:t xml:space="preserve"> l</w:t>
      </w:r>
      <w:r w:rsidR="00B45DC9">
        <w:t>’</w:t>
      </w:r>
      <w:r w:rsidR="00B45DC9" w:rsidRPr="00B45DC9">
        <w:t>heure actuelle, c</w:t>
      </w:r>
      <w:r w:rsidR="00B45DC9">
        <w:t>’</w:t>
      </w:r>
      <w:r w:rsidR="00B45DC9" w:rsidRPr="00B45DC9">
        <w:t>est</w:t>
      </w:r>
      <w:r w:rsidR="00B45DC9">
        <w:t xml:space="preserve"> </w:t>
      </w:r>
      <w:r w:rsidR="00B45DC9" w:rsidRPr="00B45DC9">
        <w:t>souvent de la mousse de polyuréthane qui est utilisée pour l</w:t>
      </w:r>
      <w:r w:rsidR="00B45DC9">
        <w:t>’</w:t>
      </w:r>
      <w:r w:rsidR="00B45DC9" w:rsidRPr="00B45DC9">
        <w:t>isolation des caisses des engins de transport spéciaux, y compris celles des wagons ferroviaires de nouvelle génération, car ce matériau a un coefficient de transmission thermique bien plus faible que celui des autres matériaux isolants</w:t>
      </w:r>
      <w:r w:rsidR="00B45DC9">
        <w:t xml:space="preserve"> </w:t>
      </w:r>
      <w:r w:rsidR="00B45DC9" w:rsidRPr="00B45DC9">
        <w:t>connus utilisés pour ces mêmes caisses. Les mousses de polyuréthane fabriquées industriellement peuvent avoir un coefficient de transmission thermique allant jusqu</w:t>
      </w:r>
      <w:r w:rsidR="00B45DC9">
        <w:t>’</w:t>
      </w:r>
      <w:r w:rsidR="00B45DC9" w:rsidRPr="00B45DC9">
        <w:t>à</w:t>
      </w:r>
      <w:r w:rsidR="00B45DC9">
        <w:t xml:space="preserve"> </w:t>
      </w:r>
      <w:r w:rsidR="00B45DC9" w:rsidRPr="00B45DC9">
        <w:t>0,019 W/(m·K).</w:t>
      </w:r>
      <w:r w:rsidR="00382E5D">
        <w:t xml:space="preserve"> </w:t>
      </w:r>
      <w:r w:rsidR="00B45DC9" w:rsidRPr="00B45DC9">
        <w:t>Dans la pratique cependant, c</w:t>
      </w:r>
      <w:r w:rsidR="00B45DC9">
        <w:t>’</w:t>
      </w:r>
      <w:r w:rsidR="00B45DC9" w:rsidRPr="00B45DC9">
        <w:t>est-à-dire compte tenu de la température, de l</w:t>
      </w:r>
      <w:r w:rsidR="00B45DC9">
        <w:t>’</w:t>
      </w:r>
      <w:r w:rsidR="00B45DC9" w:rsidRPr="00B45DC9">
        <w:t>humidité et des conditions de fabrication et d</w:t>
      </w:r>
      <w:r w:rsidR="00B45DC9">
        <w:t>’</w:t>
      </w:r>
      <w:r w:rsidR="00B45DC9" w:rsidRPr="00B45DC9">
        <w:t>application de la mousse sur les surfaces d</w:t>
      </w:r>
      <w:r w:rsidR="00B45DC9">
        <w:t>’</w:t>
      </w:r>
      <w:r w:rsidR="00B45DC9" w:rsidRPr="00B45DC9">
        <w:t>isolation, ce coefficient est rarement inférieur à une valeu</w:t>
      </w:r>
      <w:r w:rsidR="00DF7959">
        <w:t>r comprise entre 0,023 et 0,025 </w:t>
      </w:r>
      <w:r w:rsidR="00B45DC9" w:rsidRPr="00B45DC9">
        <w:t>W/(m·K). En effet, durant la période d</w:t>
      </w:r>
      <w:r w:rsidR="00B45DC9">
        <w:t>’</w:t>
      </w:r>
      <w:r w:rsidR="00B45DC9" w:rsidRPr="00B45DC9">
        <w:t>exploitation du wagon, à mesure que la mousse vieillit et subit les effets de l</w:t>
      </w:r>
      <w:r w:rsidR="00B45DC9">
        <w:t>’</w:t>
      </w:r>
      <w:r w:rsidR="00B45DC9" w:rsidRPr="00B45DC9">
        <w:t>humidité, le coefficient de transmission thermique ne fait qu</w:t>
      </w:r>
      <w:r w:rsidR="00B45DC9">
        <w:t>’</w:t>
      </w:r>
      <w:r w:rsidR="00B45DC9" w:rsidRPr="00B45DC9">
        <w:t>augmenter. Par conséquent, le coefficient</w:t>
      </w:r>
      <w:r w:rsidR="00B45DC9">
        <w:t xml:space="preserve"> </w:t>
      </w:r>
      <w:r w:rsidR="00B45DC9" w:rsidRPr="00B45DC9">
        <w:t>calculé de 0,025 W/(m·K) proposé par le Royaume-Uni dans le document ECE/TRANS/WP.11/2015/2 apparaît</w:t>
      </w:r>
      <w:r w:rsidR="00B45DC9">
        <w:t xml:space="preserve"> </w:t>
      </w:r>
      <w:r w:rsidR="00B45DC9" w:rsidRPr="00B45DC9">
        <w:t>acceptable et raisonnable tant pour les engins de transport spéciaux routiers que pour les wagons ferroviaires.</w:t>
      </w:r>
    </w:p>
    <w:p w:rsidR="00B45DC9" w:rsidRPr="00B45DC9" w:rsidRDefault="00B45DC9" w:rsidP="00E07C02">
      <w:pPr>
        <w:pStyle w:val="SingleTxtG"/>
        <w:keepNext/>
        <w:keepLines/>
      </w:pPr>
      <w:r w:rsidRPr="00B45DC9">
        <w:t>15.</w:t>
      </w:r>
      <w:r w:rsidRPr="00B45DC9">
        <w:tab/>
        <w:t>Sur la base de la formule bien connue pour le calcul théorique du coefficient de transmission thermique (sans tenir compte de la convection ni du rayonnement), on peut obtenir l</w:t>
      </w:r>
      <w:r>
        <w:t>’</w:t>
      </w:r>
      <w:r w:rsidRPr="00B45DC9">
        <w:t>épaisseur moyenne calculée de l</w:t>
      </w:r>
      <w:r>
        <w:t>’</w:t>
      </w:r>
      <w:r w:rsidRPr="00B45DC9">
        <w:t>isolant, d, au moyen de l</w:t>
      </w:r>
      <w:r>
        <w:t>’</w:t>
      </w:r>
      <w:r w:rsidRPr="00B45DC9">
        <w:t>équation suivante</w:t>
      </w:r>
      <w:r w:rsidR="00266B42">
        <w:t> </w:t>
      </w:r>
      <w:r w:rsidRPr="00B45DC9">
        <w:t>:</w:t>
      </w:r>
    </w:p>
    <w:p w:rsidR="00B45DC9" w:rsidRPr="00B45DC9" w:rsidRDefault="005C5144" w:rsidP="00B45DC9">
      <w:pPr>
        <w:pStyle w:val="SingleTxtG"/>
      </w:pPr>
      <m:oMathPara>
        <m:oMath>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α</m:t>
                      </m:r>
                    </m:e>
                    <m:sub>
                      <m:r>
                        <m:rPr>
                          <m:sty m:val="p"/>
                        </m:rPr>
                        <w:rPr>
                          <w:rFonts w:ascii="Cambria Math" w:hAnsi="Cambria Math"/>
                        </w:rPr>
                        <m:t>e</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d</m:t>
                  </m:r>
                </m:num>
                <m:den>
                  <m:r>
                    <m:rPr>
                      <m:sty m:val="p"/>
                    </m:rPr>
                    <w:rPr>
                      <w:rFonts w:ascii="Cambria Math" w:hAnsi="Cambria Math"/>
                    </w:rPr>
                    <m:t>λ</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den>
              </m:f>
            </m:den>
          </m:f>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∆T∙S</m:t>
              </m:r>
            </m:den>
          </m:f>
        </m:oMath>
      </m:oMathPara>
    </w:p>
    <w:p w:rsidR="00B45DC9" w:rsidRPr="00B45DC9" w:rsidRDefault="00B45DC9" w:rsidP="00DF7959">
      <w:pPr>
        <w:pStyle w:val="SingleTxtG"/>
        <w:keepNext/>
      </w:pPr>
      <w:r w:rsidRPr="00B45DC9">
        <w:t>Où</w:t>
      </w:r>
      <w:r w:rsidR="00266B42">
        <w:t> </w:t>
      </w:r>
      <w:r w:rsidRPr="00B45DC9">
        <w:t>:</w:t>
      </w:r>
    </w:p>
    <w:p w:rsidR="00B45DC9" w:rsidRPr="00B45DC9" w:rsidRDefault="00B45DC9" w:rsidP="00B45DC9">
      <w:pPr>
        <w:pStyle w:val="SingleTxtG"/>
      </w:pPr>
      <w:r w:rsidRPr="00B45DC9">
        <w:t>αe, αi sont les valeurs de transfert thermique calculées respectivement pour les surfaces extérieure et intérieure de la caisse de l</w:t>
      </w:r>
      <w:r>
        <w:t>’</w:t>
      </w:r>
      <w:r w:rsidRPr="00B45DC9">
        <w:t>engin de transport spécial (ces valeurs ont une incidence négligeable sur le coefficient K et peuvent donc être ignorées dans les calculs)</w:t>
      </w:r>
      <w:r w:rsidR="0002637C">
        <w:t> </w:t>
      </w:r>
      <w:r w:rsidRPr="00B45DC9">
        <w:t>;</w:t>
      </w:r>
    </w:p>
    <w:p w:rsidR="00B45DC9" w:rsidRPr="00B45DC9" w:rsidRDefault="00B45DC9" w:rsidP="00B45DC9">
      <w:pPr>
        <w:pStyle w:val="SingleTxtG"/>
      </w:pPr>
      <w:r w:rsidRPr="00B45DC9">
        <w:t>λ = 0,025 W/(m·K) est la valeur calculée pour le coefficient de transmission thermique</w:t>
      </w:r>
      <w:r w:rsidR="0002637C">
        <w:t> </w:t>
      </w:r>
      <w:r w:rsidRPr="00B45DC9">
        <w:t>;</w:t>
      </w:r>
    </w:p>
    <w:p w:rsidR="00B45DC9" w:rsidRDefault="00B45DC9" w:rsidP="00B45DC9">
      <w:pPr>
        <w:pStyle w:val="SingleTxtG"/>
      </w:pPr>
      <w:r w:rsidRPr="00B45DC9">
        <w:t>S doit être calculé comme suit en l</w:t>
      </w:r>
      <w:r>
        <w:t>’</w:t>
      </w:r>
      <w:r w:rsidR="00266B42">
        <w:t>occurrence </w:t>
      </w:r>
      <w:r w:rsidRPr="00B45DC9">
        <w:t>:</w:t>
      </w:r>
      <w:r>
        <w:t xml:space="preserve"> </w:t>
      </w:r>
    </w:p>
    <w:p w:rsidR="00B45DC9" w:rsidRPr="00B45DC9" w:rsidRDefault="00B45DC9" w:rsidP="00B45DC9">
      <w:pPr>
        <w:pStyle w:val="SingleTxtG"/>
      </w:pPr>
      <m:oMathPara>
        <m:oMath>
          <m:r>
            <m:rPr>
              <m:sty m:val="p"/>
            </m:rPr>
            <w:rPr>
              <w:rFonts w:ascii="Cambria Math" w:hAnsi="Cambria Math"/>
            </w:rPr>
            <m:t>S=</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e</m:t>
                  </m:r>
                </m:sub>
              </m:sSub>
            </m:e>
          </m:rad>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∙f(</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r>
                <m:rPr>
                  <m:sty m:val="p"/>
                </m:rPr>
                <w:rPr>
                  <w:rFonts w:ascii="Cambria Math" w:hAnsi="Cambria Math"/>
                </w:rPr>
                <m:t>, d)</m:t>
              </m:r>
            </m:e>
          </m:rad>
        </m:oMath>
      </m:oMathPara>
    </w:p>
    <w:p w:rsidR="00B45DC9" w:rsidRPr="00B45DC9" w:rsidRDefault="00DF7959" w:rsidP="00B45DC9">
      <w:pPr>
        <w:pStyle w:val="SingleTxtG"/>
      </w:pPr>
      <w:r>
        <w:tab/>
      </w:r>
      <w:r w:rsidR="00B45DC9" w:rsidRPr="00B45DC9">
        <w:t>On peut théoriquement résoudre une semblable équation</w:t>
      </w:r>
      <w:r w:rsidR="00B45DC9">
        <w:t xml:space="preserve"> </w:t>
      </w:r>
      <w:r w:rsidR="00B45DC9" w:rsidRPr="00B45DC9">
        <w:t>en ce qui concerne la grandeur d en utilisant les</w:t>
      </w:r>
      <w:r w:rsidR="00B45DC9">
        <w:t xml:space="preserve"> </w:t>
      </w:r>
      <w:r w:rsidR="00B45DC9" w:rsidRPr="00B45DC9">
        <w:t>méthodes numériques (voir la méthode D à</w:t>
      </w:r>
      <w:r w:rsidR="00B45DC9">
        <w:t xml:space="preserve"> </w:t>
      </w:r>
      <w:r w:rsidR="00B45DC9" w:rsidRPr="00B45DC9">
        <w:t>l</w:t>
      </w:r>
      <w:r w:rsidR="00B45DC9">
        <w:t>’</w:t>
      </w:r>
      <w:r w:rsidR="00B45DC9" w:rsidRPr="00B45DC9">
        <w:t>annexe A) ou la méthode des itérations (méthode C). Comme on peut le constater, les deux méthodes donnent le même résultat, mais la méthode des itérations est beaucoup plus accessible (elle ne nécessite pas l</w:t>
      </w:r>
      <w:r w:rsidR="00B45DC9">
        <w:t>’</w:t>
      </w:r>
      <w:r w:rsidR="00B45DC9" w:rsidRPr="00B45DC9">
        <w:t>utilisation d</w:t>
      </w:r>
      <w:r w:rsidR="00B45DC9">
        <w:t>’</w:t>
      </w:r>
      <w:r w:rsidR="00B45DC9" w:rsidRPr="00B45DC9">
        <w:t>algorithmes spéciaux ou d</w:t>
      </w:r>
      <w:r w:rsidR="00B45DC9">
        <w:t>’</w:t>
      </w:r>
      <w:r w:rsidR="00B45DC9" w:rsidRPr="00B45DC9">
        <w:t>outils logiciels). En outre, le nombre requis d</w:t>
      </w:r>
      <w:r w:rsidR="00B45DC9">
        <w:t>’</w:t>
      </w:r>
      <w:r w:rsidR="00B45DC9" w:rsidRPr="00B45DC9">
        <w:t>itérations n</w:t>
      </w:r>
      <w:r w:rsidR="00B45DC9">
        <w:t>’</w:t>
      </w:r>
      <w:r w:rsidR="00B45DC9" w:rsidRPr="00B45DC9">
        <w:t>est pas très</w:t>
      </w:r>
      <w:r w:rsidR="00B45DC9">
        <w:t xml:space="preserve"> </w:t>
      </w:r>
      <w:r w:rsidR="00B45DC9" w:rsidRPr="00B45DC9">
        <w:t>élevé et dépend</w:t>
      </w:r>
      <w:r w:rsidR="00B45DC9">
        <w:t xml:space="preserve"> </w:t>
      </w:r>
      <w:r w:rsidR="00B45DC9" w:rsidRPr="00B45DC9">
        <w:t>généralement du niveau de précision spécifié de la grandeur recherchée (dans les exemples présentés dans les annexes A et B, cette précision est de 0,001 m).</w:t>
      </w:r>
    </w:p>
    <w:p w:rsidR="00B45DC9" w:rsidRPr="00B45DC9" w:rsidRDefault="00DF7959" w:rsidP="00DF7959">
      <w:pPr>
        <w:pStyle w:val="HChG"/>
      </w:pPr>
      <w:r>
        <w:tab/>
      </w:r>
      <w:r>
        <w:tab/>
      </w:r>
      <w:r w:rsidR="00B45DC9" w:rsidRPr="00B45DC9">
        <w:t>Coûts</w:t>
      </w:r>
    </w:p>
    <w:p w:rsidR="00B45DC9" w:rsidRPr="00B45DC9" w:rsidRDefault="00B45DC9" w:rsidP="00B45DC9">
      <w:pPr>
        <w:pStyle w:val="SingleTxtG"/>
      </w:pPr>
      <w:r w:rsidRPr="00B45DC9">
        <w:t>16.</w:t>
      </w:r>
      <w:r w:rsidRPr="00B45DC9">
        <w:tab/>
        <w:t>Il n</w:t>
      </w:r>
      <w:r>
        <w:t>’</w:t>
      </w:r>
      <w:r w:rsidRPr="00B45DC9">
        <w:t>y a pas de coûts supplémentaires à prévoir. L</w:t>
      </w:r>
      <w:r>
        <w:t>’</w:t>
      </w:r>
      <w:r w:rsidRPr="00B45DC9">
        <w:t>application des méthodes de calcul de la surface moyenne de la caisse des wagons autres que les wagons-citernes ne nécessite pas d</w:t>
      </w:r>
      <w:r>
        <w:t>’</w:t>
      </w:r>
      <w:r w:rsidRPr="00B45DC9">
        <w:t>instruments supplémentaires, de méthodes mathématiques compliquées ou de procédures coûteuses.</w:t>
      </w:r>
    </w:p>
    <w:p w:rsidR="00B45DC9" w:rsidRPr="00B45DC9" w:rsidRDefault="00DF7959" w:rsidP="00DF7959">
      <w:pPr>
        <w:pStyle w:val="HChG"/>
      </w:pPr>
      <w:r>
        <w:tab/>
      </w:r>
      <w:r>
        <w:tab/>
      </w:r>
      <w:r w:rsidR="00B45DC9" w:rsidRPr="00B45DC9">
        <w:t>Faisabilité</w:t>
      </w:r>
    </w:p>
    <w:p w:rsidR="00B45DC9" w:rsidRPr="00B45DC9" w:rsidRDefault="00B45DC9" w:rsidP="00B45DC9">
      <w:pPr>
        <w:pStyle w:val="SingleTxtG"/>
      </w:pPr>
      <w:r w:rsidRPr="00B45DC9">
        <w:t>17.</w:t>
      </w:r>
      <w:r w:rsidRPr="00B45DC9">
        <w:tab/>
        <w:t>Les modifications proposées favoriseront la réalisation des principaux objectifs et buts de l</w:t>
      </w:r>
      <w:r>
        <w:t>’</w:t>
      </w:r>
      <w:r w:rsidRPr="00B45DC9">
        <w:t>ATP sans coûts supplémentaires ni période de transition. En outre, elles contribueront à renforcer la confiance mutuelle des Parties contractantes.</w:t>
      </w:r>
    </w:p>
    <w:p w:rsidR="00B45DC9" w:rsidRPr="00B45DC9" w:rsidRDefault="00DF7959" w:rsidP="00DF7959">
      <w:pPr>
        <w:pStyle w:val="HChG"/>
      </w:pPr>
      <w:r>
        <w:tab/>
      </w:r>
      <w:r>
        <w:tab/>
      </w:r>
      <w:r w:rsidR="00B45DC9" w:rsidRPr="00B45DC9">
        <w:t>Applicabilité</w:t>
      </w:r>
    </w:p>
    <w:p w:rsidR="00B45DC9" w:rsidRPr="00B45DC9" w:rsidRDefault="00B45DC9" w:rsidP="00B45DC9">
      <w:pPr>
        <w:pStyle w:val="SingleTxtG"/>
      </w:pPr>
      <w:r w:rsidRPr="00B45DC9">
        <w:t>18.</w:t>
      </w:r>
      <w:r w:rsidRPr="00B45DC9">
        <w:tab/>
        <w:t>Il n</w:t>
      </w:r>
      <w:r>
        <w:t>’</w:t>
      </w:r>
      <w:r w:rsidRPr="00B45DC9">
        <w:t>est prévu aucun problème en ce qui concerne les essais et les contrôles d</w:t>
      </w:r>
      <w:r>
        <w:t>’</w:t>
      </w:r>
      <w:r w:rsidRPr="00B45DC9">
        <w:t>experts.</w:t>
      </w:r>
    </w:p>
    <w:p w:rsidR="00B45DC9" w:rsidRPr="00B45DC9" w:rsidRDefault="00B45DC9" w:rsidP="00DF7959">
      <w:pPr>
        <w:pStyle w:val="HChG"/>
      </w:pPr>
      <w:r>
        <w:br w:type="page"/>
      </w:r>
      <w:r w:rsidRPr="00B45DC9">
        <w:t>Annexe A</w:t>
      </w:r>
    </w:p>
    <w:p w:rsidR="00B45DC9" w:rsidRPr="00B45DC9" w:rsidRDefault="00DF7959" w:rsidP="00DF7959">
      <w:pPr>
        <w:pStyle w:val="HChG"/>
      </w:pPr>
      <w:r>
        <w:tab/>
      </w:r>
      <w:r>
        <w:tab/>
      </w:r>
      <w:r w:rsidR="00B45DC9" w:rsidRPr="00B45DC9">
        <w:t>Détermination de la surface moyenne de la caisse d</w:t>
      </w:r>
      <w:r w:rsidR="00B45DC9">
        <w:t>’</w:t>
      </w:r>
      <w:r w:rsidR="00B45DC9" w:rsidRPr="00B45DC9">
        <w:t>un wagon ferroviaire (sur la base du nouveau wagon isotherme fabriqué dans les ateliers de Dessau (Allemagne))</w:t>
      </w:r>
    </w:p>
    <w:p w:rsidR="00B45DC9" w:rsidRPr="00B45DC9" w:rsidRDefault="00DF7959" w:rsidP="00DF7959">
      <w:pPr>
        <w:pStyle w:val="H1G"/>
      </w:pPr>
      <w:r>
        <w:tab/>
      </w:r>
      <w:r w:rsidR="00B45DC9" w:rsidRPr="00B45DC9">
        <w:t>1.</w:t>
      </w:r>
      <w:r w:rsidR="00B45DC9" w:rsidRPr="00B45DC9">
        <w:tab/>
        <w:t>Données de référence</w:t>
      </w:r>
    </w:p>
    <w:p w:rsidR="00B45DC9" w:rsidRPr="00B45DC9" w:rsidRDefault="00B45DC9" w:rsidP="00B45DC9">
      <w:pPr>
        <w:pStyle w:val="SingleTxtG"/>
      </w:pPr>
      <w:r w:rsidRPr="00B45DC9">
        <w:t>Dimensions intérieures de la caisse du wagon,</w:t>
      </w:r>
      <w:r>
        <w:t xml:space="preserve"> </w:t>
      </w:r>
      <w:r w:rsidRPr="00B45DC9">
        <w:t>m :</w:t>
      </w:r>
    </w:p>
    <w:p w:rsidR="00B45DC9" w:rsidRPr="00B45DC9" w:rsidRDefault="00B45DC9" w:rsidP="00197623">
      <w:pPr>
        <w:pStyle w:val="SingleTxtG"/>
        <w:spacing w:line="240" w:lineRule="auto"/>
      </w:pPr>
      <w:r w:rsidRPr="00B45DC9">
        <w:t>longueur :</w:t>
      </w:r>
      <w:r w:rsidRPr="00B45DC9">
        <w:tab/>
      </w:r>
      <w:r w:rsidRPr="00B45DC9">
        <w:tab/>
      </w:r>
      <w:r w:rsidRPr="00B45DC9">
        <w:tab/>
      </w:r>
      <w:r w:rsidRPr="00B45DC9">
        <w:tab/>
      </w:r>
      <w:r w:rsidRPr="00B45DC9">
        <w:tab/>
      </w:r>
      <w:r w:rsidR="00266B42">
        <w:tab/>
      </w:r>
      <w:r w:rsidRPr="00B45DC9">
        <w:rPr>
          <w:noProof/>
          <w:lang w:val="en-US"/>
        </w:rPr>
        <w:drawing>
          <wp:inline distT="0" distB="0" distL="0" distR="0" wp14:anchorId="4077578D" wp14:editId="3D6696E3">
            <wp:extent cx="549698" cy="132139"/>
            <wp:effectExtent l="0" t="0" r="3175" b="127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9698" cy="132139"/>
                    </a:xfrm>
                    <a:prstGeom prst="rect">
                      <a:avLst/>
                    </a:prstGeom>
                    <a:noFill/>
                    <a:ln w="9525">
                      <a:noFill/>
                      <a:miter lim="800000"/>
                      <a:headEnd/>
                      <a:tailEnd/>
                    </a:ln>
                  </pic:spPr>
                </pic:pic>
              </a:graphicData>
            </a:graphic>
          </wp:inline>
        </w:drawing>
      </w:r>
    </w:p>
    <w:p w:rsidR="00B45DC9" w:rsidRPr="00B45DC9" w:rsidRDefault="00B45DC9" w:rsidP="00197623">
      <w:pPr>
        <w:pStyle w:val="SingleTxtG"/>
        <w:spacing w:line="240" w:lineRule="auto"/>
      </w:pPr>
      <w:r w:rsidRPr="00B45DC9">
        <w:t>largeur :</w:t>
      </w:r>
      <w:r w:rsidRPr="00B45DC9">
        <w:tab/>
      </w:r>
      <w:r w:rsidRPr="00B45DC9">
        <w:tab/>
      </w:r>
      <w:r w:rsidRPr="00B45DC9">
        <w:tab/>
      </w:r>
      <w:r w:rsidRPr="00B45DC9">
        <w:tab/>
      </w:r>
      <w:r w:rsidRPr="00B45DC9">
        <w:tab/>
      </w:r>
      <w:r w:rsidR="00266B42">
        <w:tab/>
      </w:r>
      <w:r w:rsidRPr="00B45DC9">
        <w:rPr>
          <w:noProof/>
          <w:lang w:val="en-US"/>
        </w:rPr>
        <w:drawing>
          <wp:inline distT="0" distB="0" distL="0" distR="0" wp14:anchorId="23B75410" wp14:editId="4B20BC3C">
            <wp:extent cx="511940" cy="132138"/>
            <wp:effectExtent l="0" t="0" r="2540" b="127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1940" cy="132138"/>
                    </a:xfrm>
                    <a:prstGeom prst="rect">
                      <a:avLst/>
                    </a:prstGeom>
                    <a:noFill/>
                    <a:ln w="9525">
                      <a:noFill/>
                      <a:miter lim="800000"/>
                      <a:headEnd/>
                      <a:tailEnd/>
                    </a:ln>
                  </pic:spPr>
                </pic:pic>
              </a:graphicData>
            </a:graphic>
          </wp:inline>
        </w:drawing>
      </w:r>
    </w:p>
    <w:p w:rsidR="00B45DC9" w:rsidRPr="00B45DC9" w:rsidRDefault="00B45DC9" w:rsidP="00197623">
      <w:pPr>
        <w:pStyle w:val="SingleTxtG"/>
        <w:spacing w:line="240" w:lineRule="auto"/>
      </w:pPr>
      <w:r w:rsidRPr="00B45DC9">
        <w:t>hauteur des parois latérales</w:t>
      </w:r>
      <w:r w:rsidR="00266B42">
        <w:t> </w:t>
      </w:r>
      <w:r w:rsidRPr="00B45DC9">
        <w:t>:</w:t>
      </w:r>
      <w:r w:rsidRPr="00B45DC9">
        <w:tab/>
      </w:r>
      <w:r w:rsidRPr="00B45DC9">
        <w:tab/>
      </w:r>
      <w:r w:rsidRPr="00B45DC9">
        <w:tab/>
      </w:r>
      <w:r w:rsidRPr="00B45DC9">
        <w:rPr>
          <w:noProof/>
          <w:lang w:val="en-US"/>
        </w:rPr>
        <w:drawing>
          <wp:inline distT="0" distB="0" distL="0" distR="0" wp14:anchorId="41E21C25" wp14:editId="1A5E82D2">
            <wp:extent cx="539127" cy="132139"/>
            <wp:effectExtent l="0" t="0" r="0" b="127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39127" cy="132139"/>
                    </a:xfrm>
                    <a:prstGeom prst="rect">
                      <a:avLst/>
                    </a:prstGeom>
                    <a:noFill/>
                    <a:ln w="9525">
                      <a:noFill/>
                      <a:miter lim="800000"/>
                      <a:headEnd/>
                      <a:tailEnd/>
                    </a:ln>
                  </pic:spPr>
                </pic:pic>
              </a:graphicData>
            </a:graphic>
          </wp:inline>
        </w:drawing>
      </w:r>
    </w:p>
    <w:p w:rsidR="00B45DC9" w:rsidRPr="00B45DC9" w:rsidRDefault="00B45DC9" w:rsidP="00197623">
      <w:pPr>
        <w:pStyle w:val="SingleTxtG"/>
        <w:spacing w:line="240" w:lineRule="auto"/>
      </w:pPr>
      <w:r w:rsidRPr="00B45DC9">
        <w:t>hauteur sur l</w:t>
      </w:r>
      <w:r>
        <w:t>’</w:t>
      </w:r>
      <w:r w:rsidRPr="00B45DC9">
        <w:t>axe longitudinal central</w:t>
      </w:r>
      <w:r w:rsidR="00266B42">
        <w:t> </w:t>
      </w:r>
      <w:r w:rsidRPr="00B45DC9">
        <w:t xml:space="preserve">: </w:t>
      </w:r>
      <w:r w:rsidRPr="00B45DC9">
        <w:tab/>
      </w:r>
      <w:r w:rsidR="00266B42">
        <w:tab/>
      </w:r>
      <w:r w:rsidRPr="00B45DC9">
        <w:rPr>
          <w:noProof/>
          <w:lang w:val="en-US"/>
        </w:rPr>
        <w:drawing>
          <wp:inline distT="0" distB="0" distL="0" distR="0" wp14:anchorId="3613BAF0" wp14:editId="2DF76BB8">
            <wp:extent cx="483629" cy="132139"/>
            <wp:effectExtent l="0" t="0" r="0" b="1270"/>
            <wp:docPr id="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83629" cy="132139"/>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Épaisseur moyenne déclarée de l</w:t>
      </w:r>
      <w:r>
        <w:t>’</w:t>
      </w:r>
      <w:r w:rsidRPr="00B45DC9">
        <w:t>isolant,</w:t>
      </w:r>
      <w:r>
        <w:t xml:space="preserve"> </w:t>
      </w:r>
      <w:r w:rsidRPr="00B45DC9">
        <w:t>m, dans les éléments de la caisse suivants</w:t>
      </w:r>
      <w:r w:rsidR="00266B42">
        <w:t> </w:t>
      </w:r>
      <w:r w:rsidRPr="00B45DC9">
        <w:t>:</w:t>
      </w:r>
    </w:p>
    <w:p w:rsidR="00B45DC9" w:rsidRPr="00B45DC9" w:rsidRDefault="00B45DC9" w:rsidP="00B45DC9">
      <w:pPr>
        <w:pStyle w:val="SingleTxtG"/>
      </w:pPr>
      <w:r w:rsidRPr="00B45DC9">
        <w:t>parois d</w:t>
      </w:r>
      <w:r>
        <w:t>’</w:t>
      </w:r>
      <w:r w:rsidRPr="00B45DC9">
        <w:t>extrémités</w:t>
      </w:r>
      <w:r>
        <w:t xml:space="preserve"> </w:t>
      </w:r>
      <w:r w:rsidRPr="00B45DC9">
        <w:t>:</w:t>
      </w:r>
      <w:r w:rsidRPr="00B45DC9">
        <w:tab/>
      </w:r>
      <w:r w:rsidRPr="00B45DC9">
        <w:tab/>
      </w:r>
      <w:r w:rsidRPr="00B45DC9">
        <w:tab/>
      </w:r>
      <w:r w:rsidRPr="00B45DC9">
        <w:tab/>
      </w:r>
      <w:r w:rsidR="00266B42">
        <w:tab/>
      </w:r>
      <w:r w:rsidRPr="00B45DC9">
        <w:rPr>
          <w:noProof/>
          <w:lang w:val="en-US"/>
        </w:rPr>
        <w:drawing>
          <wp:inline distT="0" distB="0" distL="0" distR="0" wp14:anchorId="59562156" wp14:editId="5849C638">
            <wp:extent cx="644083" cy="132139"/>
            <wp:effectExtent l="0" t="0" r="3810" b="1270"/>
            <wp:docPr id="4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44083" cy="132139"/>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parois et portes latérales :</w:t>
      </w:r>
      <w:r w:rsidRPr="00B45DC9">
        <w:tab/>
      </w:r>
      <w:r w:rsidRPr="00B45DC9">
        <w:tab/>
      </w:r>
      <w:r w:rsidRPr="00B45DC9">
        <w:tab/>
      </w:r>
      <w:r w:rsidR="00266B42">
        <w:tab/>
      </w:r>
      <w:r w:rsidRPr="00B45DC9">
        <w:rPr>
          <w:noProof/>
          <w:lang w:val="en-US"/>
        </w:rPr>
        <w:drawing>
          <wp:inline distT="0" distB="0" distL="0" distR="0" wp14:anchorId="2146345A" wp14:editId="1D532AA7">
            <wp:extent cx="681837" cy="132139"/>
            <wp:effectExtent l="0" t="0" r="4445" b="1270"/>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81837" cy="132139"/>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plancher :</w:t>
      </w:r>
      <w:r w:rsidRPr="00B45DC9">
        <w:tab/>
      </w:r>
      <w:r w:rsidRPr="00B45DC9">
        <w:tab/>
      </w:r>
      <w:r w:rsidRPr="00B45DC9">
        <w:tab/>
      </w:r>
      <w:r w:rsidRPr="00B45DC9">
        <w:tab/>
      </w:r>
      <w:r w:rsidRPr="00B45DC9">
        <w:tab/>
      </w:r>
      <w:r w:rsidR="00266B42">
        <w:tab/>
      </w:r>
      <w:r w:rsidRPr="00B45DC9">
        <w:rPr>
          <w:noProof/>
          <w:lang w:val="en-US"/>
        </w:rPr>
        <w:drawing>
          <wp:inline distT="0" distB="0" distL="0" distR="0" wp14:anchorId="1A9806DC" wp14:editId="554BF69E">
            <wp:extent cx="747907" cy="132139"/>
            <wp:effectExtent l="0" t="0" r="0" b="1270"/>
            <wp:docPr id="4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47907" cy="132139"/>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toiture :</w:t>
      </w:r>
      <w:r w:rsidRPr="00B45DC9">
        <w:tab/>
      </w:r>
      <w:r w:rsidRPr="00B45DC9">
        <w:tab/>
      </w:r>
      <w:r w:rsidRPr="00B45DC9">
        <w:tab/>
      </w:r>
      <w:r w:rsidRPr="00B45DC9">
        <w:tab/>
      </w:r>
      <w:r w:rsidRPr="00B45DC9">
        <w:tab/>
      </w:r>
      <w:r w:rsidR="00266B42">
        <w:tab/>
      </w:r>
      <w:r w:rsidRPr="00B45DC9">
        <w:rPr>
          <w:noProof/>
          <w:lang w:val="en-US"/>
        </w:rPr>
        <w:drawing>
          <wp:inline distT="0" distB="0" distL="0" distR="0" wp14:anchorId="5E40FD4A" wp14:editId="7E41DD51">
            <wp:extent cx="737336" cy="132139"/>
            <wp:effectExtent l="0" t="0" r="5715" b="1270"/>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737336" cy="132139"/>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rPr>
          <w:i/>
        </w:rPr>
        <w:t>Remarque : Les valeurs relatives à l</w:t>
      </w:r>
      <w:r>
        <w:rPr>
          <w:i/>
        </w:rPr>
        <w:t>’</w:t>
      </w:r>
      <w:r w:rsidRPr="00B45DC9">
        <w:rPr>
          <w:i/>
        </w:rPr>
        <w:t>épaisseur moyenne</w:t>
      </w:r>
      <w:r>
        <w:rPr>
          <w:i/>
        </w:rPr>
        <w:t xml:space="preserve"> </w:t>
      </w:r>
      <w:r w:rsidRPr="00B45DC9">
        <w:rPr>
          <w:i/>
        </w:rPr>
        <w:t>de l</w:t>
      </w:r>
      <w:r>
        <w:rPr>
          <w:i/>
        </w:rPr>
        <w:t>’</w:t>
      </w:r>
      <w:r w:rsidRPr="00B45DC9">
        <w:rPr>
          <w:i/>
        </w:rPr>
        <w:t>isolation sont indiquées dans la documentation d</w:t>
      </w:r>
      <w:r>
        <w:rPr>
          <w:i/>
        </w:rPr>
        <w:t>’</w:t>
      </w:r>
      <w:r w:rsidRPr="00B45DC9">
        <w:rPr>
          <w:i/>
        </w:rPr>
        <w:t>exploitation du wagon isotherme de type</w:t>
      </w:r>
      <w:r w:rsidRPr="00B45DC9">
        <w:t xml:space="preserve"> </w:t>
      </w:r>
      <w:r w:rsidRPr="00B45DC9">
        <w:rPr>
          <w:i/>
        </w:rPr>
        <w:t>ТН 4-201-90</w:t>
      </w:r>
      <w:r w:rsidRPr="00B45DC9">
        <w:t>.</w:t>
      </w:r>
    </w:p>
    <w:p w:rsidR="00B45DC9" w:rsidRPr="00B45DC9" w:rsidRDefault="00B45DC9" w:rsidP="00B45DC9">
      <w:pPr>
        <w:pStyle w:val="SingleTxtG"/>
      </w:pPr>
      <w:r w:rsidRPr="00B45DC9">
        <w:t>Coefficient calculé de transmission thermique des parois intérieures de la caisse, W/(m</w:t>
      </w:r>
      <w:r w:rsidRPr="00B45DC9">
        <w:rPr>
          <w:vertAlign w:val="superscript"/>
        </w:rPr>
        <w:t>2</w:t>
      </w:r>
      <w:r w:rsidRPr="00B45DC9">
        <w:rPr>
          <w:rFonts w:ascii="Cambria Math" w:hAnsi="Cambria Math" w:cs="Cambria Math"/>
        </w:rPr>
        <w:t>⋅</w:t>
      </w:r>
      <w:r w:rsidRPr="00B45DC9">
        <w:t>K) :</w:t>
      </w:r>
      <w:r w:rsidR="00DF7959">
        <w:t xml:space="preserve"> </w:t>
      </w:r>
      <w:r w:rsidRPr="00B45DC9">
        <w:rPr>
          <w:noProof/>
          <w:lang w:val="en-US"/>
        </w:rPr>
        <w:drawing>
          <wp:inline distT="0" distB="0" distL="0" distR="0" wp14:anchorId="063DF6C9" wp14:editId="12313046">
            <wp:extent cx="323850" cy="133350"/>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calculé de transmission thermique des parois extérieures de la caisse, W/(m</w:t>
      </w:r>
      <w:r w:rsidRPr="00B45DC9">
        <w:rPr>
          <w:vertAlign w:val="superscript"/>
        </w:rPr>
        <w:t>2</w:t>
      </w:r>
      <w:r w:rsidRPr="00B45DC9">
        <w:rPr>
          <w:rFonts w:ascii="Cambria Math" w:hAnsi="Cambria Math" w:cs="Cambria Math"/>
        </w:rPr>
        <w:t>⋅</w:t>
      </w:r>
      <w:r w:rsidRPr="00B45DC9">
        <w:t>K) :</w:t>
      </w:r>
      <w:r w:rsidR="00DF7959">
        <w:t xml:space="preserve"> </w:t>
      </w:r>
      <w:r w:rsidRPr="00B45DC9">
        <w:rPr>
          <w:noProof/>
          <w:lang w:val="en-US"/>
        </w:rPr>
        <w:drawing>
          <wp:inline distT="0" distB="0" distL="0" distR="0" wp14:anchorId="0415AA33" wp14:editId="4E2F25EB">
            <wp:extent cx="333375" cy="133350"/>
            <wp:effectExtent l="19050" t="0" r="9525"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rPr>
          <w:i/>
        </w:rPr>
      </w:pPr>
      <w:r w:rsidRPr="00B45DC9">
        <w:rPr>
          <w:i/>
        </w:rPr>
        <w:t>Remarque : ces paramètres ont une incidence négligeable sur les résultats des calculs</w:t>
      </w:r>
      <w:r w:rsidR="00266B42">
        <w:rPr>
          <w:i/>
        </w:rPr>
        <w:t> </w:t>
      </w:r>
      <w:r w:rsidRPr="00B45DC9">
        <w:rPr>
          <w:i/>
        </w:rPr>
        <w:t>;</w:t>
      </w:r>
      <w:r>
        <w:rPr>
          <w:i/>
        </w:rPr>
        <w:t xml:space="preserve"> </w:t>
      </w:r>
      <w:r w:rsidRPr="00B45DC9">
        <w:rPr>
          <w:i/>
        </w:rPr>
        <w:t>par souci de simplification, ils ont été ignorés par l</w:t>
      </w:r>
      <w:r>
        <w:rPr>
          <w:i/>
        </w:rPr>
        <w:t>’</w:t>
      </w:r>
      <w:r w:rsidRPr="00B45DC9">
        <w:rPr>
          <w:i/>
        </w:rPr>
        <w:t>attribution d</w:t>
      </w:r>
      <w:r>
        <w:rPr>
          <w:i/>
        </w:rPr>
        <w:t>’</w:t>
      </w:r>
      <w:r w:rsidRPr="00B45DC9">
        <w:rPr>
          <w:i/>
        </w:rPr>
        <w:t>une valeur infinie.</w:t>
      </w:r>
    </w:p>
    <w:p w:rsidR="00B45DC9" w:rsidRPr="00B45DC9" w:rsidRDefault="00B45DC9" w:rsidP="00B45DC9">
      <w:pPr>
        <w:pStyle w:val="SingleTxtG"/>
      </w:pPr>
      <w:r w:rsidRPr="00B45DC9">
        <w:t>Paramètres mesurés</w:t>
      </w:r>
      <w:r>
        <w:t xml:space="preserve"> </w:t>
      </w:r>
      <w:r w:rsidRPr="00B45DC9">
        <w:t>en conditions stables :</w:t>
      </w:r>
    </w:p>
    <w:p w:rsidR="00B45DC9" w:rsidRPr="00B45DC9" w:rsidRDefault="00B45DC9" w:rsidP="00B45DC9">
      <w:pPr>
        <w:pStyle w:val="SingleTxtG"/>
      </w:pPr>
      <w:r w:rsidRPr="00B45DC9">
        <w:t>Puissance thermique moyenne, W :</w:t>
      </w:r>
      <w:r w:rsidRPr="00B45DC9">
        <w:tab/>
      </w:r>
      <w:r w:rsidRPr="00B45DC9">
        <w:tab/>
      </w:r>
      <w:r w:rsidRPr="00B45DC9">
        <w:rPr>
          <w:noProof/>
          <w:lang w:val="en-US"/>
        </w:rPr>
        <w:drawing>
          <wp:inline distT="0" distB="0" distL="0" distR="0" wp14:anchorId="1266B757" wp14:editId="09943384">
            <wp:extent cx="465881" cy="132138"/>
            <wp:effectExtent l="0" t="0" r="0" b="1270"/>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70154"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Écart moyen de température entre l</w:t>
      </w:r>
      <w:r>
        <w:t>’</w:t>
      </w:r>
      <w:r w:rsidRPr="00B45DC9">
        <w:t>intérieur et l</w:t>
      </w:r>
      <w:r>
        <w:t>’</w:t>
      </w:r>
      <w:r w:rsidRPr="00B45DC9">
        <w:t>ext</w:t>
      </w:r>
      <w:r w:rsidR="00D74BCF">
        <w:t>érieur de la caisse du wagon, K</w:t>
      </w:r>
      <w:r w:rsidRPr="00B45DC9">
        <w:t> :</w:t>
      </w:r>
      <w:r w:rsidRPr="00B45DC9">
        <w:rPr>
          <w:noProof/>
          <w:lang w:val="en-US"/>
        </w:rPr>
        <w:drawing>
          <wp:inline distT="0" distB="0" distL="0" distR="0" wp14:anchorId="652B0DD1" wp14:editId="3FBDFFF7">
            <wp:extent cx="400050" cy="133350"/>
            <wp:effectExtent l="1905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0005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calculé de transmission thermique du matériau isolant de la caisse, W/(m</w:t>
      </w:r>
      <w:r w:rsidRPr="00B45DC9">
        <w:rPr>
          <w:rFonts w:ascii="Cambria Math" w:hAnsi="Cambria Math" w:cs="Cambria Math"/>
        </w:rPr>
        <w:t>⋅</w:t>
      </w:r>
      <w:r w:rsidRPr="00B45DC9">
        <w:t>K) :</w:t>
      </w:r>
      <w:r w:rsidRPr="00B45DC9">
        <w:rPr>
          <w:noProof/>
          <w:lang w:val="en-US"/>
        </w:rPr>
        <w:drawing>
          <wp:inline distT="0" distB="0" distL="0" distR="0" wp14:anchorId="771175ED" wp14:editId="73E60513">
            <wp:extent cx="438150" cy="133350"/>
            <wp:effectExtent l="19050" t="0" r="0" b="0"/>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B45DC9" w:rsidRPr="00B45DC9" w:rsidRDefault="00DF7959" w:rsidP="00DF7959">
      <w:pPr>
        <w:pStyle w:val="H1G"/>
      </w:pPr>
      <w:r>
        <w:tab/>
      </w:r>
      <w:r w:rsidR="00266B42">
        <w:t>2.</w:t>
      </w:r>
      <w:r w:rsidR="00266B42">
        <w:tab/>
        <w:t>Calcul selon la méthode A</w:t>
      </w:r>
    </w:p>
    <w:p w:rsidR="00B45DC9" w:rsidRPr="00B45DC9" w:rsidRDefault="00B45DC9" w:rsidP="00B45DC9">
      <w:pPr>
        <w:pStyle w:val="SingleTxtG"/>
      </w:pPr>
      <w:r w:rsidRPr="00B45DC9">
        <w:t>Surface moyenne de la caisse du wagon, m</w:t>
      </w:r>
      <w:r w:rsidRPr="00B45DC9">
        <w:rPr>
          <w:vertAlign w:val="superscript"/>
        </w:rPr>
        <w:t>2</w:t>
      </w:r>
      <w:r w:rsidRPr="00B45DC9">
        <w:t> :</w:t>
      </w:r>
      <w:r w:rsidR="00DF7959">
        <w:t xml:space="preserve"> </w:t>
      </w:r>
      <w:r w:rsidRPr="00B45DC9">
        <w:rPr>
          <w:noProof/>
          <w:lang w:val="en-US"/>
        </w:rPr>
        <w:drawing>
          <wp:inline distT="0" distB="0" distL="0" distR="0" wp14:anchorId="5A5D8D08" wp14:editId="51F851BC">
            <wp:extent cx="542925" cy="133350"/>
            <wp:effectExtent l="19050" t="0" r="9525"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rPr>
          <w:i/>
        </w:rPr>
      </w:pPr>
      <w:r w:rsidRPr="00B45DC9">
        <w:rPr>
          <w:i/>
        </w:rPr>
        <w:t>Remarque : Le calcul de la surface moyenne de la caisse du wagon n</w:t>
      </w:r>
      <w:r>
        <w:rPr>
          <w:i/>
        </w:rPr>
        <w:t>’</w:t>
      </w:r>
      <w:r w:rsidRPr="00B45DC9">
        <w:rPr>
          <w:i/>
        </w:rPr>
        <w:t>est pas transcrit en raison de sa longueur.</w:t>
      </w:r>
    </w:p>
    <w:p w:rsidR="00B45DC9" w:rsidRPr="00B45DC9" w:rsidRDefault="00B45DC9" w:rsidP="00B45DC9">
      <w:pPr>
        <w:pStyle w:val="SingleTxtG"/>
      </w:pPr>
      <w:r w:rsidRPr="00B45DC9">
        <w:t>Fonction de calcul du coefficient K :</w:t>
      </w:r>
      <w:r w:rsidRPr="00B45DC9">
        <w:tab/>
      </w:r>
      <w:r w:rsidRPr="00B45DC9">
        <w:rPr>
          <w:noProof/>
          <w:lang w:val="en-US"/>
        </w:rPr>
        <w:drawing>
          <wp:inline distT="0" distB="0" distL="0" distR="0" wp14:anchorId="182BD429" wp14:editId="6476F7B8">
            <wp:extent cx="1009650" cy="276225"/>
            <wp:effectExtent l="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K, W/(m</w:t>
      </w:r>
      <w:r w:rsidRPr="00B45DC9">
        <w:rPr>
          <w:vertAlign w:val="superscript"/>
        </w:rPr>
        <w:t>2</w:t>
      </w:r>
      <w:r w:rsidRPr="00B45DC9">
        <w:rPr>
          <w:rFonts w:ascii="Cambria Math" w:hAnsi="Cambria Math" w:cs="Cambria Math"/>
        </w:rPr>
        <w:t>⋅</w:t>
      </w:r>
      <w:r w:rsidRPr="00B45DC9">
        <w:t>K) :</w:t>
      </w:r>
      <w:r w:rsidRPr="00B45DC9">
        <w:tab/>
      </w:r>
      <w:r w:rsidRPr="00B45DC9">
        <w:tab/>
      </w:r>
      <w:r w:rsidRPr="00B45DC9">
        <w:tab/>
      </w:r>
      <w:r w:rsidRPr="00B45DC9">
        <w:rPr>
          <w:noProof/>
          <w:lang w:val="en-US"/>
        </w:rPr>
        <w:drawing>
          <wp:inline distT="0" distB="0" distL="0" distR="0" wp14:anchorId="6DF5111D" wp14:editId="6D9E69B6">
            <wp:extent cx="1562100" cy="133350"/>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B45DC9" w:rsidRPr="00B45DC9" w:rsidRDefault="00DF7959" w:rsidP="00DF7959">
      <w:pPr>
        <w:pStyle w:val="H1G"/>
      </w:pPr>
      <w:r>
        <w:tab/>
      </w:r>
      <w:r w:rsidR="00B45DC9" w:rsidRPr="00B45DC9">
        <w:t>3.</w:t>
      </w:r>
      <w:r w:rsidR="00B45DC9" w:rsidRPr="00B45DC9">
        <w:tab/>
      </w:r>
      <w:r w:rsidR="00266B42">
        <w:t>Calcul selon la méthode B</w:t>
      </w:r>
    </w:p>
    <w:p w:rsidR="00B45DC9" w:rsidRPr="00B45DC9" w:rsidRDefault="00B45DC9" w:rsidP="00B45DC9">
      <w:pPr>
        <w:pStyle w:val="SingleTxtG"/>
      </w:pPr>
      <w:r w:rsidRPr="00B45DC9">
        <w:t>Détermination des dimensions extérieures théoriques de la caisse du wagon, m :</w:t>
      </w:r>
    </w:p>
    <w:p w:rsidR="00B45DC9" w:rsidRPr="00B45DC9" w:rsidRDefault="00B45DC9" w:rsidP="00B45DC9">
      <w:pPr>
        <w:pStyle w:val="SingleTxtG"/>
      </w:pPr>
      <w:r w:rsidRPr="00B45DC9">
        <w:t>longueur :</w:t>
      </w:r>
      <w:r w:rsidRPr="00B45DC9">
        <w:tab/>
      </w:r>
      <w:r w:rsidRPr="00B45DC9">
        <w:tab/>
      </w:r>
      <w:r w:rsidRPr="00B45DC9">
        <w:tab/>
      </w:r>
      <w:r w:rsidRPr="00B45DC9">
        <w:tab/>
      </w:r>
      <w:r w:rsidRPr="00B45DC9">
        <w:tab/>
      </w:r>
      <w:r w:rsidRPr="00B45DC9">
        <w:tab/>
      </w:r>
      <w:r w:rsidRPr="00B45DC9">
        <w:rPr>
          <w:noProof/>
          <w:lang w:val="en-US"/>
        </w:rPr>
        <w:drawing>
          <wp:inline distT="0" distB="0" distL="0" distR="0" wp14:anchorId="72C51B76" wp14:editId="0EBB8305">
            <wp:extent cx="1095375" cy="133350"/>
            <wp:effectExtent l="19050" t="0" r="9525" b="0"/>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10953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largeur :</w:t>
      </w:r>
      <w:r w:rsidRPr="00B45DC9">
        <w:tab/>
      </w:r>
      <w:r w:rsidRPr="00B45DC9">
        <w:tab/>
      </w:r>
      <w:r w:rsidRPr="00B45DC9">
        <w:tab/>
      </w:r>
      <w:r w:rsidRPr="00B45DC9">
        <w:tab/>
      </w:r>
      <w:r w:rsidRPr="00B45DC9">
        <w:tab/>
      </w:r>
      <w:r w:rsidRPr="00B45DC9">
        <w:tab/>
      </w:r>
      <w:r w:rsidRPr="00B45DC9">
        <w:rPr>
          <w:noProof/>
          <w:lang w:val="en-US"/>
        </w:rPr>
        <w:drawing>
          <wp:inline distT="0" distB="0" distL="0" distR="0" wp14:anchorId="4A9E01C0" wp14:editId="2AB5FFAA">
            <wp:extent cx="1162050" cy="133350"/>
            <wp:effectExtent l="19050" t="0" r="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116205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des parois latérales :</w:t>
      </w:r>
      <w:r w:rsidRPr="00B45DC9">
        <w:tab/>
      </w:r>
      <w:r w:rsidRPr="00B45DC9">
        <w:tab/>
      </w:r>
      <w:r w:rsidRPr="00B45DC9">
        <w:tab/>
      </w:r>
      <w:r w:rsidRPr="00B45DC9">
        <w:rPr>
          <w:noProof/>
          <w:lang w:val="en-US"/>
        </w:rPr>
        <w:drawing>
          <wp:inline distT="0" distB="0" distL="0" distR="0" wp14:anchorId="231DD93A" wp14:editId="4B234FF3">
            <wp:extent cx="1285875" cy="133350"/>
            <wp:effectExtent l="19050" t="0" r="952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sur l</w:t>
      </w:r>
      <w:r>
        <w:t>’</w:t>
      </w:r>
      <w:r w:rsidRPr="00B45DC9">
        <w:t>axe longitudinal central :</w:t>
      </w:r>
      <w:r w:rsidR="00DF7959">
        <w:tab/>
      </w:r>
      <w:r w:rsidR="00DF7959">
        <w:tab/>
      </w:r>
      <w:r w:rsidRPr="00B45DC9">
        <w:rPr>
          <w:noProof/>
          <w:lang w:val="en-US"/>
        </w:rPr>
        <w:drawing>
          <wp:inline distT="0" distB="0" distL="0" distR="0" wp14:anchorId="2B5867F7" wp14:editId="79992952">
            <wp:extent cx="1733550" cy="1333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173355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Variable empirique pour le calcul de la longueur de l</w:t>
      </w:r>
      <w:r>
        <w:t>’</w:t>
      </w:r>
      <w:r w:rsidRPr="00B45DC9">
        <w:t>arrondi de</w:t>
      </w:r>
      <w:r>
        <w:t xml:space="preserve"> </w:t>
      </w:r>
      <w:r w:rsidRPr="00B45DC9">
        <w:t>la toiture</w:t>
      </w:r>
      <w:r w:rsidR="00DF7959">
        <w:t> </w:t>
      </w:r>
      <w:r w:rsidRPr="00B45DC9">
        <w:t>:</w:t>
      </w:r>
    </w:p>
    <w:p w:rsidR="00B45DC9" w:rsidRPr="00B45DC9" w:rsidRDefault="00B45DC9" w:rsidP="00B45DC9">
      <w:pPr>
        <w:pStyle w:val="SingleTxtG"/>
      </w:pPr>
      <w:r w:rsidRPr="00B45DC9">
        <w:rPr>
          <w:noProof/>
          <w:lang w:val="en-US"/>
        </w:rPr>
        <w:drawing>
          <wp:inline distT="0" distB="0" distL="0" distR="0" wp14:anchorId="4032E4EA" wp14:editId="7B84B062">
            <wp:extent cx="542290" cy="42037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290" cy="420370"/>
                    </a:xfrm>
                    <a:prstGeom prst="rect">
                      <a:avLst/>
                    </a:prstGeom>
                    <a:noFill/>
                  </pic:spPr>
                </pic:pic>
              </a:graphicData>
            </a:graphic>
          </wp:inline>
        </w:drawing>
      </w:r>
    </w:p>
    <w:p w:rsidR="00B45DC9" w:rsidRPr="00B45DC9" w:rsidRDefault="00B45DC9" w:rsidP="00B45DC9">
      <w:pPr>
        <w:pStyle w:val="SingleTxtG"/>
      </w:pPr>
      <w:r w:rsidRPr="00B45DC9">
        <w:t>Fonction de calcul de la longueur de l</w:t>
      </w:r>
      <w:r>
        <w:t>’</w:t>
      </w:r>
      <w:r w:rsidRPr="00B45DC9">
        <w:t>arrondi de la toiture :</w:t>
      </w:r>
    </w:p>
    <w:p w:rsidR="00B45DC9" w:rsidRPr="00B45DC9" w:rsidRDefault="00B45DC9" w:rsidP="00B45DC9">
      <w:pPr>
        <w:pStyle w:val="SingleTxtG"/>
      </w:pPr>
      <w:r w:rsidRPr="00B45DC9">
        <w:rPr>
          <w:noProof/>
          <w:lang w:val="en-US"/>
        </w:rPr>
        <w:drawing>
          <wp:inline distT="0" distB="0" distL="0" distR="0" wp14:anchorId="0CA0D3C7" wp14:editId="10E9413A">
            <wp:extent cx="1743075" cy="533400"/>
            <wp:effectExtent l="0" t="0" r="9525" b="0"/>
            <wp:docPr id="7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Fonction de</w:t>
      </w:r>
      <w:r>
        <w:t xml:space="preserve"> </w:t>
      </w:r>
      <w:r w:rsidRPr="00B45DC9">
        <w:t>calcul de la surface extérieure ou intérieure de la caisse du wagon :</w:t>
      </w:r>
    </w:p>
    <w:p w:rsidR="00B45DC9" w:rsidRPr="00B45DC9" w:rsidRDefault="00B45DC9" w:rsidP="00B45DC9">
      <w:pPr>
        <w:pStyle w:val="SingleTxtG"/>
      </w:pPr>
      <w:r w:rsidRPr="00B45DC9">
        <w:rPr>
          <w:noProof/>
          <w:lang w:val="en-US"/>
        </w:rPr>
        <w:drawing>
          <wp:inline distT="0" distB="0" distL="0" distR="0" wp14:anchorId="5F780FEE" wp14:editId="1C0810B4">
            <wp:extent cx="3095625" cy="276225"/>
            <wp:effectExtent l="0" t="0" r="9525" b="0"/>
            <wp:docPr id="7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srcRect/>
                    <a:stretch>
                      <a:fillRect/>
                    </a:stretch>
                  </pic:blipFill>
                  <pic:spPr bwMode="auto">
                    <a:xfrm>
                      <a:off x="0" y="0"/>
                      <a:ext cx="3095625" cy="276225"/>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Fonction de</w:t>
      </w:r>
      <w:r>
        <w:t xml:space="preserve"> </w:t>
      </w:r>
      <w:r w:rsidRPr="00B45DC9">
        <w:t>calcul de la surface moyenne de la caisse du wagon :</w:t>
      </w:r>
    </w:p>
    <w:p w:rsidR="00B45DC9" w:rsidRPr="00B45DC9" w:rsidRDefault="00B45DC9" w:rsidP="00B45DC9">
      <w:pPr>
        <w:pStyle w:val="SingleTxtG"/>
      </w:pPr>
      <w:r w:rsidRPr="00B45DC9">
        <w:rPr>
          <w:noProof/>
          <w:lang w:val="en-US"/>
        </w:rPr>
        <w:drawing>
          <wp:inline distT="0" distB="0" distL="0" distR="0" wp14:anchorId="7C758ACD" wp14:editId="445ACA44">
            <wp:extent cx="3305175" cy="152400"/>
            <wp:effectExtent l="19050" t="0" r="9525" b="0"/>
            <wp:docPr id="7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3305175" cy="15240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Surface moyenne de la caisse du wagon, m</w:t>
      </w:r>
      <w:r w:rsidRPr="00B45DC9">
        <w:rPr>
          <w:vertAlign w:val="superscript"/>
        </w:rPr>
        <w:t>2</w:t>
      </w:r>
      <w:r w:rsidRPr="00B45DC9">
        <w:t> :</w:t>
      </w:r>
      <w:r w:rsidR="00DF7959">
        <w:t xml:space="preserve"> </w:t>
      </w:r>
      <w:r w:rsidRPr="00B45DC9">
        <w:rPr>
          <w:noProof/>
          <w:lang w:val="en-US"/>
        </w:rPr>
        <w:drawing>
          <wp:inline distT="0" distB="0" distL="0" distR="0" wp14:anchorId="6A0E6CD7" wp14:editId="467261A7">
            <wp:extent cx="2257425" cy="133350"/>
            <wp:effectExtent l="19050" t="0" r="9525" b="0"/>
            <wp:docPr id="5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225742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K, W/(m</w:t>
      </w:r>
      <w:r w:rsidRPr="00B45DC9">
        <w:rPr>
          <w:vertAlign w:val="superscript"/>
        </w:rPr>
        <w:t>2</w:t>
      </w:r>
      <w:r w:rsidRPr="00B45DC9">
        <w:rPr>
          <w:rFonts w:ascii="Cambria Math" w:hAnsi="Cambria Math" w:cs="Cambria Math"/>
        </w:rPr>
        <w:t>⋅</w:t>
      </w:r>
      <w:r w:rsidRPr="00B45DC9">
        <w:t>K) :</w:t>
      </w:r>
      <w:r w:rsidRPr="00B45DC9">
        <w:tab/>
      </w:r>
      <w:r w:rsidRPr="00B45DC9">
        <w:rPr>
          <w:noProof/>
          <w:lang w:val="en-US"/>
        </w:rPr>
        <w:drawing>
          <wp:inline distT="0" distB="0" distL="0" distR="0" wp14:anchorId="2D190C93" wp14:editId="35043321">
            <wp:extent cx="1562100" cy="133350"/>
            <wp:effectExtent l="19050" t="0" r="0" b="0"/>
            <wp:docPr id="5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B45DC9" w:rsidRPr="00B45DC9" w:rsidRDefault="00DF7959" w:rsidP="00DF7959">
      <w:pPr>
        <w:pStyle w:val="H1G"/>
      </w:pPr>
      <w:r>
        <w:tab/>
      </w:r>
      <w:r w:rsidR="00B45DC9" w:rsidRPr="00B45DC9">
        <w:t>4.</w:t>
      </w:r>
      <w:r w:rsidR="00B45DC9" w:rsidRPr="00B45DC9">
        <w:tab/>
      </w:r>
      <w:r w:rsidR="00266B42">
        <w:t>Calcul selon la méthode C</w:t>
      </w:r>
    </w:p>
    <w:p w:rsidR="00B45DC9" w:rsidRPr="00B45DC9" w:rsidRDefault="00B45DC9" w:rsidP="00B45DC9">
      <w:pPr>
        <w:pStyle w:val="SingleTxtG"/>
      </w:pPr>
      <w:r w:rsidRPr="00B45DC9">
        <w:rPr>
          <w:noProof/>
          <w:lang w:val="en-US"/>
        </w:rPr>
        <w:drawing>
          <wp:inline distT="0" distB="0" distL="0" distR="0" wp14:anchorId="7D2A36A7" wp14:editId="577F9150">
            <wp:extent cx="3981450" cy="4848225"/>
            <wp:effectExtent l="19050" t="0" r="0" b="0"/>
            <wp:docPr id="4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3981450" cy="4848225"/>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Liste des variables supplémentaires :</w:t>
      </w:r>
    </w:p>
    <w:p w:rsidR="00B45DC9" w:rsidRPr="00B45DC9" w:rsidRDefault="00B45DC9" w:rsidP="00B45DC9">
      <w:pPr>
        <w:pStyle w:val="SingleTxtG"/>
        <w:rPr>
          <w:iCs/>
        </w:rPr>
      </w:pPr>
      <w:r w:rsidRPr="00B45DC9">
        <w:rPr>
          <w:iCs/>
        </w:rPr>
        <w:t>prec=10-</w:t>
      </w:r>
      <w:r w:rsidRPr="00B45DC9">
        <w:rPr>
          <w:iCs/>
          <w:vertAlign w:val="superscript"/>
        </w:rPr>
        <w:t>3</w:t>
      </w:r>
      <w:r w:rsidRPr="00B45DC9">
        <w:rPr>
          <w:iCs/>
        </w:rPr>
        <w:t>m</w:t>
      </w:r>
      <w:r>
        <w:rPr>
          <w:iCs/>
        </w:rPr>
        <w:t xml:space="preserve"> </w:t>
      </w:r>
      <w:r w:rsidRPr="00B45DC9">
        <w:rPr>
          <w:iCs/>
        </w:rPr>
        <w:t>est la précision dans le choix de l</w:t>
      </w:r>
      <w:r>
        <w:rPr>
          <w:iCs/>
        </w:rPr>
        <w:t>’</w:t>
      </w:r>
      <w:r w:rsidRPr="00B45DC9">
        <w:rPr>
          <w:iCs/>
        </w:rPr>
        <w:t>épaisseur moyenne de l</w:t>
      </w:r>
      <w:r>
        <w:rPr>
          <w:iCs/>
        </w:rPr>
        <w:t>’</w:t>
      </w:r>
      <w:r w:rsidRPr="00B45DC9">
        <w:rPr>
          <w:iCs/>
        </w:rPr>
        <w:t>isolant</w:t>
      </w:r>
      <w:r w:rsidR="00DF7959">
        <w:rPr>
          <w:iCs/>
        </w:rPr>
        <w:t> </w:t>
      </w:r>
      <w:r w:rsidRPr="00B45DC9">
        <w:rPr>
          <w:iCs/>
        </w:rPr>
        <w:t>;</w:t>
      </w:r>
    </w:p>
    <w:p w:rsidR="00B45DC9" w:rsidRPr="00B45DC9" w:rsidRDefault="00B45DC9" w:rsidP="00B45DC9">
      <w:pPr>
        <w:pStyle w:val="SingleTxtG"/>
        <w:rPr>
          <w:iCs/>
        </w:rPr>
      </w:pPr>
      <w:r w:rsidRPr="00B45DC9">
        <w:rPr>
          <w:iCs/>
        </w:rPr>
        <w:t>n</w:t>
      </w:r>
      <w:r>
        <w:rPr>
          <w:iCs/>
        </w:rPr>
        <w:t xml:space="preserve"> </w:t>
      </w:r>
      <w:r w:rsidRPr="00B45DC9">
        <w:rPr>
          <w:iCs/>
        </w:rPr>
        <w:t>est le numéro d</w:t>
      </w:r>
      <w:r>
        <w:rPr>
          <w:iCs/>
        </w:rPr>
        <w:t>’</w:t>
      </w:r>
      <w:r w:rsidRPr="00B45DC9">
        <w:rPr>
          <w:iCs/>
        </w:rPr>
        <w:t>itération, à compter de zéro (indexation dans Math</w:t>
      </w:r>
      <w:r w:rsidR="00D74BCF" w:rsidRPr="00B45DC9">
        <w:rPr>
          <w:iCs/>
        </w:rPr>
        <w:t>cad</w:t>
      </w:r>
      <w:r w:rsidRPr="00B45DC9">
        <w:rPr>
          <w:iCs/>
        </w:rPr>
        <w:t>)</w:t>
      </w:r>
      <w:r w:rsidR="00DF7959">
        <w:rPr>
          <w:iCs/>
        </w:rPr>
        <w:t> </w:t>
      </w:r>
      <w:r w:rsidRPr="00B45DC9">
        <w:rPr>
          <w:iCs/>
        </w:rPr>
        <w:t>;</w:t>
      </w:r>
    </w:p>
    <w:p w:rsidR="00B45DC9" w:rsidRPr="00B45DC9" w:rsidRDefault="00B45DC9" w:rsidP="00B45DC9">
      <w:pPr>
        <w:pStyle w:val="SingleTxtG"/>
        <w:rPr>
          <w:iCs/>
        </w:rPr>
      </w:pPr>
      <w:r w:rsidRPr="00B45DC9">
        <w:rPr>
          <w:iCs/>
        </w:rPr>
        <w:t>d</w:t>
      </w:r>
      <w:r w:rsidRPr="00B45DC9">
        <w:rPr>
          <w:iCs/>
          <w:vertAlign w:val="subscript"/>
        </w:rPr>
        <w:t>n</w:t>
      </w:r>
      <w:r w:rsidRPr="00DF7959">
        <w:rPr>
          <w:iCs/>
        </w:rPr>
        <w:t xml:space="preserve"> </w:t>
      </w:r>
      <w:r w:rsidRPr="00B45DC9">
        <w:rPr>
          <w:iCs/>
        </w:rPr>
        <w:t>est l</w:t>
      </w:r>
      <w:r>
        <w:rPr>
          <w:iCs/>
        </w:rPr>
        <w:t>’</w:t>
      </w:r>
      <w:r w:rsidRPr="00B45DC9">
        <w:rPr>
          <w:iCs/>
        </w:rPr>
        <w:t>épaisseur moyenne de l</w:t>
      </w:r>
      <w:r>
        <w:rPr>
          <w:iCs/>
        </w:rPr>
        <w:t>’</w:t>
      </w:r>
      <w:r w:rsidRPr="00B45DC9">
        <w:rPr>
          <w:iCs/>
        </w:rPr>
        <w:t>isolant, obtenue par l</w:t>
      </w:r>
      <w:r>
        <w:rPr>
          <w:iCs/>
        </w:rPr>
        <w:t>’</w:t>
      </w:r>
      <w:r w:rsidRPr="00B45DC9">
        <w:rPr>
          <w:iCs/>
        </w:rPr>
        <w:t>itération n, m</w:t>
      </w:r>
      <w:r w:rsidR="00DF7959">
        <w:rPr>
          <w:iCs/>
        </w:rPr>
        <w:t> </w:t>
      </w:r>
      <w:r w:rsidRPr="00B45DC9">
        <w:rPr>
          <w:iCs/>
        </w:rPr>
        <w:t>;</w:t>
      </w:r>
    </w:p>
    <w:p w:rsidR="00B45DC9" w:rsidRPr="00B45DC9" w:rsidRDefault="00B45DC9" w:rsidP="00B45DC9">
      <w:pPr>
        <w:pStyle w:val="SingleTxtG"/>
        <w:rPr>
          <w:iCs/>
        </w:rPr>
      </w:pPr>
      <w:r w:rsidRPr="00B45DC9">
        <w:rPr>
          <w:iCs/>
        </w:rPr>
        <w:t>LE</w:t>
      </w:r>
      <w:r w:rsidRPr="00B45DC9">
        <w:rPr>
          <w:iCs/>
          <w:vertAlign w:val="subscript"/>
        </w:rPr>
        <w:t>n</w:t>
      </w:r>
      <w:r w:rsidRPr="00DF7959">
        <w:rPr>
          <w:iCs/>
        </w:rPr>
        <w:t xml:space="preserve"> </w:t>
      </w:r>
      <w:r w:rsidRPr="00B45DC9">
        <w:rPr>
          <w:iCs/>
        </w:rPr>
        <w:t>est la longueur extérieure calculée de la caisse du wagon, obtenue par l</w:t>
      </w:r>
      <w:r>
        <w:rPr>
          <w:iCs/>
        </w:rPr>
        <w:t>’</w:t>
      </w:r>
      <w:r w:rsidRPr="00B45DC9">
        <w:rPr>
          <w:iCs/>
        </w:rPr>
        <w:t>itération n, m</w:t>
      </w:r>
      <w:r w:rsidR="00DF7959">
        <w:rPr>
          <w:iCs/>
        </w:rPr>
        <w:t> </w:t>
      </w:r>
      <w:r w:rsidRPr="00B45DC9">
        <w:rPr>
          <w:iCs/>
        </w:rPr>
        <w:t>;</w:t>
      </w:r>
    </w:p>
    <w:p w:rsidR="00B45DC9" w:rsidRPr="00B45DC9" w:rsidRDefault="00B45DC9" w:rsidP="00B45DC9">
      <w:pPr>
        <w:pStyle w:val="SingleTxtG"/>
        <w:rPr>
          <w:iCs/>
        </w:rPr>
      </w:pPr>
      <w:r w:rsidRPr="00B45DC9">
        <w:rPr>
          <w:iCs/>
        </w:rPr>
        <w:t>WE</w:t>
      </w:r>
      <w:r w:rsidRPr="00B45DC9">
        <w:rPr>
          <w:iCs/>
          <w:vertAlign w:val="subscript"/>
        </w:rPr>
        <w:t>n</w:t>
      </w:r>
      <w:r w:rsidRPr="00DF7959">
        <w:rPr>
          <w:iCs/>
        </w:rPr>
        <w:t xml:space="preserve"> </w:t>
      </w:r>
      <w:r w:rsidRPr="00B45DC9">
        <w:rPr>
          <w:iCs/>
        </w:rPr>
        <w:t>- idem pour la largeur, m</w:t>
      </w:r>
      <w:r w:rsidR="00DF7959">
        <w:rPr>
          <w:iCs/>
        </w:rPr>
        <w:t> </w:t>
      </w:r>
      <w:r w:rsidRPr="00B45DC9">
        <w:rPr>
          <w:iCs/>
        </w:rPr>
        <w:t>;</w:t>
      </w:r>
    </w:p>
    <w:p w:rsidR="00B45DC9" w:rsidRPr="00B45DC9" w:rsidRDefault="00B45DC9" w:rsidP="00B45DC9">
      <w:pPr>
        <w:pStyle w:val="SingleTxtG"/>
        <w:rPr>
          <w:iCs/>
        </w:rPr>
      </w:pPr>
      <w:r w:rsidRPr="00B45DC9">
        <w:rPr>
          <w:iCs/>
        </w:rPr>
        <w:t>We</w:t>
      </w:r>
      <w:r w:rsidRPr="00B45DC9">
        <w:rPr>
          <w:iCs/>
          <w:vertAlign w:val="subscript"/>
        </w:rPr>
        <w:t>n</w:t>
      </w:r>
      <w:r w:rsidRPr="00DF7959">
        <w:rPr>
          <w:iCs/>
        </w:rPr>
        <w:t xml:space="preserve"> </w:t>
      </w:r>
      <w:r w:rsidRPr="00B45DC9">
        <w:rPr>
          <w:iCs/>
        </w:rPr>
        <w:t>- idem pour la hauteur latérale, m</w:t>
      </w:r>
      <w:r w:rsidR="00DF7959">
        <w:rPr>
          <w:iCs/>
        </w:rPr>
        <w:t> </w:t>
      </w:r>
      <w:r w:rsidRPr="00B45DC9">
        <w:rPr>
          <w:iCs/>
        </w:rPr>
        <w:t>;</w:t>
      </w:r>
    </w:p>
    <w:p w:rsidR="00B45DC9" w:rsidRPr="00B45DC9" w:rsidRDefault="00B45DC9" w:rsidP="00B45DC9">
      <w:pPr>
        <w:pStyle w:val="SingleTxtG"/>
        <w:rPr>
          <w:iCs/>
        </w:rPr>
      </w:pPr>
      <w:r w:rsidRPr="00B45DC9">
        <w:rPr>
          <w:iCs/>
        </w:rPr>
        <w:t>HE</w:t>
      </w:r>
      <w:r w:rsidRPr="00B45DC9">
        <w:rPr>
          <w:iCs/>
          <w:vertAlign w:val="subscript"/>
        </w:rPr>
        <w:t>n</w:t>
      </w:r>
      <w:r w:rsidRPr="00DF7959">
        <w:rPr>
          <w:iCs/>
        </w:rPr>
        <w:t xml:space="preserve"> </w:t>
      </w:r>
      <w:r w:rsidRPr="00B45DC9">
        <w:rPr>
          <w:iCs/>
        </w:rPr>
        <w:t>- idem pour la hauteur sur l</w:t>
      </w:r>
      <w:r>
        <w:rPr>
          <w:iCs/>
        </w:rPr>
        <w:t>’</w:t>
      </w:r>
      <w:r w:rsidRPr="00B45DC9">
        <w:rPr>
          <w:iCs/>
        </w:rPr>
        <w:t>axe longitudinal central, m</w:t>
      </w:r>
      <w:r w:rsidR="00DF7959">
        <w:rPr>
          <w:iCs/>
        </w:rPr>
        <w:t> </w:t>
      </w:r>
      <w:r w:rsidRPr="00B45DC9">
        <w:rPr>
          <w:iCs/>
        </w:rPr>
        <w:t>;</w:t>
      </w:r>
    </w:p>
    <w:p w:rsidR="00B45DC9" w:rsidRPr="00B45DC9" w:rsidRDefault="00B45DC9" w:rsidP="00B45DC9">
      <w:pPr>
        <w:pStyle w:val="SingleTxtG"/>
        <w:rPr>
          <w:iCs/>
        </w:rPr>
      </w:pPr>
      <w:r w:rsidRPr="00B45DC9">
        <w:rPr>
          <w:iCs/>
        </w:rPr>
        <w:t>S</w:t>
      </w:r>
      <w:r w:rsidRPr="00B45DC9">
        <w:rPr>
          <w:iCs/>
          <w:vertAlign w:val="subscript"/>
        </w:rPr>
        <w:t>n</w:t>
      </w:r>
      <w:r w:rsidRPr="00DF7959">
        <w:rPr>
          <w:iCs/>
        </w:rPr>
        <w:t xml:space="preserve"> </w:t>
      </w:r>
      <w:r w:rsidRPr="00B45DC9">
        <w:rPr>
          <w:iCs/>
        </w:rPr>
        <w:t>est la surface extérieure moyenne calculée de la caisse du wagon, obtenue par l</w:t>
      </w:r>
      <w:r>
        <w:rPr>
          <w:iCs/>
        </w:rPr>
        <w:t>’</w:t>
      </w:r>
      <w:r w:rsidRPr="00B45DC9">
        <w:rPr>
          <w:iCs/>
        </w:rPr>
        <w:t>itération n, m</w:t>
      </w:r>
      <w:r w:rsidR="00DF7959">
        <w:rPr>
          <w:iCs/>
        </w:rPr>
        <w:t> </w:t>
      </w:r>
      <w:r w:rsidRPr="00B45DC9">
        <w:rPr>
          <w:iCs/>
        </w:rPr>
        <w:t>;</w:t>
      </w:r>
    </w:p>
    <w:p w:rsidR="00B45DC9" w:rsidRPr="00B45DC9" w:rsidRDefault="00B45DC9" w:rsidP="00B45DC9">
      <w:pPr>
        <w:pStyle w:val="SingleTxtG"/>
        <w:rPr>
          <w:iCs/>
        </w:rPr>
      </w:pPr>
      <w:r w:rsidRPr="00B45DC9">
        <w:rPr>
          <w:iCs/>
        </w:rPr>
        <w:t>coefK_C</w:t>
      </w:r>
      <w:r w:rsidRPr="00B45DC9">
        <w:rPr>
          <w:iCs/>
          <w:vertAlign w:val="subscript"/>
        </w:rPr>
        <w:t>n</w:t>
      </w:r>
      <w:r w:rsidRPr="00DF7959">
        <w:rPr>
          <w:iCs/>
        </w:rPr>
        <w:t xml:space="preserve"> </w:t>
      </w:r>
      <w:r w:rsidRPr="00B45DC9">
        <w:rPr>
          <w:iCs/>
        </w:rPr>
        <w:t>est le coefficient K calculé, obtenu par l</w:t>
      </w:r>
      <w:r>
        <w:rPr>
          <w:iCs/>
        </w:rPr>
        <w:t>’</w:t>
      </w:r>
      <w:r w:rsidRPr="00B45DC9">
        <w:rPr>
          <w:iCs/>
        </w:rPr>
        <w:t xml:space="preserve">itération n selon la méthode C, </w:t>
      </w:r>
      <w:r w:rsidRPr="00B45DC9">
        <w:t>W/(m</w:t>
      </w:r>
      <w:r w:rsidRPr="00B45DC9">
        <w:rPr>
          <w:vertAlign w:val="superscript"/>
        </w:rPr>
        <w:t>2</w:t>
      </w:r>
      <w:r w:rsidRPr="00B45DC9">
        <w:rPr>
          <w:rFonts w:ascii="Cambria Math" w:hAnsi="Cambria Math" w:cs="Cambria Math"/>
        </w:rPr>
        <w:t>⋅</w:t>
      </w:r>
      <w:r w:rsidRPr="00B45DC9">
        <w:t>K)</w:t>
      </w:r>
      <w:r w:rsidR="00DF7959">
        <w:t> </w:t>
      </w:r>
      <w:r w:rsidRPr="00B45DC9">
        <w:rPr>
          <w:iCs/>
        </w:rPr>
        <w:t>;</w:t>
      </w:r>
    </w:p>
    <w:p w:rsidR="00B45DC9" w:rsidRPr="00B45DC9" w:rsidRDefault="00B45DC9" w:rsidP="00B45DC9">
      <w:pPr>
        <w:pStyle w:val="SingleTxtG"/>
        <w:rPr>
          <w:i/>
          <w:iCs/>
        </w:rPr>
      </w:pPr>
      <w:r w:rsidRPr="00B45DC9">
        <w:rPr>
          <w:iCs/>
        </w:rPr>
        <w:t>Δd</w:t>
      </w:r>
      <w:r>
        <w:rPr>
          <w:iCs/>
        </w:rPr>
        <w:t xml:space="preserve"> </w:t>
      </w:r>
      <w:r w:rsidRPr="00B45DC9">
        <w:rPr>
          <w:iCs/>
        </w:rPr>
        <w:t>est le module de changement absolu de l</w:t>
      </w:r>
      <w:r>
        <w:rPr>
          <w:iCs/>
        </w:rPr>
        <w:t>’</w:t>
      </w:r>
      <w:r w:rsidRPr="00B45DC9">
        <w:rPr>
          <w:iCs/>
        </w:rPr>
        <w:t>épaisseur moyenne calculée de l</w:t>
      </w:r>
      <w:r>
        <w:rPr>
          <w:iCs/>
        </w:rPr>
        <w:t>’</w:t>
      </w:r>
      <w:r w:rsidRPr="00B45DC9">
        <w:rPr>
          <w:iCs/>
        </w:rPr>
        <w:t>isolant, m (Δd&gt;prec).</w:t>
      </w:r>
    </w:p>
    <w:p w:rsidR="00B45DC9" w:rsidRPr="00B45DC9" w:rsidRDefault="00B45DC9" w:rsidP="00B45DC9">
      <w:pPr>
        <w:pStyle w:val="SingleTxtG"/>
      </w:pPr>
      <w:r w:rsidRPr="00B45DC9">
        <w:t>Résultat du choix des paramètres (</w:t>
      </w:r>
      <w:r w:rsidR="00DF7959" w:rsidRPr="00B45DC9">
        <w:t>colonnes</w:t>
      </w:r>
      <w:r w:rsidRPr="00B45DC9">
        <w:t xml:space="preserve"> d | LE | WE | We | HE | S | coefK_C) dans les itérations (lignes) :</w:t>
      </w:r>
    </w:p>
    <w:p w:rsidR="00B45DC9" w:rsidRPr="00B45DC9" w:rsidRDefault="00B45DC9" w:rsidP="00B45DC9">
      <w:pPr>
        <w:pStyle w:val="SingleTxtG"/>
      </w:pPr>
      <w:r w:rsidRPr="00B45DC9">
        <w:rPr>
          <w:noProof/>
          <w:lang w:val="en-US"/>
        </w:rPr>
        <w:drawing>
          <wp:inline distT="0" distB="0" distL="0" distR="0" wp14:anchorId="16598E5A" wp14:editId="04B6CD25">
            <wp:extent cx="4905375" cy="64770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4905375" cy="647700"/>
                    </a:xfrm>
                    <a:prstGeom prst="rect">
                      <a:avLst/>
                    </a:prstGeom>
                    <a:noFill/>
                    <a:ln w="9525">
                      <a:noFill/>
                      <a:miter lim="800000"/>
                      <a:headEnd/>
                      <a:tailEnd/>
                    </a:ln>
                  </pic:spPr>
                </pic:pic>
              </a:graphicData>
            </a:graphic>
          </wp:inline>
        </w:drawing>
      </w:r>
    </w:p>
    <w:p w:rsidR="00B45DC9" w:rsidRPr="00B45DC9" w:rsidRDefault="001077EE" w:rsidP="001077EE">
      <w:pPr>
        <w:pStyle w:val="H1G"/>
      </w:pPr>
      <w:r>
        <w:tab/>
      </w:r>
      <w:r w:rsidR="00B45DC9" w:rsidRPr="00B45DC9">
        <w:t>5.</w:t>
      </w:r>
      <w:r w:rsidR="00B45DC9" w:rsidRPr="00B45DC9">
        <w:tab/>
        <w:t>Détermination de l</w:t>
      </w:r>
      <w:r w:rsidR="00B45DC9">
        <w:t>’</w:t>
      </w:r>
      <w:r w:rsidR="00B45DC9" w:rsidRPr="00B45DC9">
        <w:t>épaisseur moyenne de l</w:t>
      </w:r>
      <w:r w:rsidR="00B45DC9">
        <w:t>’</w:t>
      </w:r>
      <w:r w:rsidR="00B45DC9" w:rsidRPr="00B45DC9">
        <w:t xml:space="preserve">isolant </w:t>
      </w:r>
      <w:r>
        <w:br/>
      </w:r>
      <w:r w:rsidR="00266B42">
        <w:t>selon la méthode D</w:t>
      </w:r>
    </w:p>
    <w:p w:rsidR="00B45DC9" w:rsidRPr="00B45DC9" w:rsidRDefault="00B45DC9" w:rsidP="00B45DC9">
      <w:pPr>
        <w:pStyle w:val="SingleTxtG"/>
      </w:pPr>
      <w:r w:rsidRPr="00B45DC9">
        <w:rPr>
          <w:noProof/>
          <w:lang w:val="en-US"/>
        </w:rPr>
        <w:drawing>
          <wp:inline distT="0" distB="0" distL="0" distR="0" wp14:anchorId="2F3E014C" wp14:editId="78C4805F">
            <wp:extent cx="4820421" cy="422844"/>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7" cstate="print"/>
                    <a:srcRect/>
                    <a:stretch>
                      <a:fillRect/>
                    </a:stretch>
                  </pic:blipFill>
                  <pic:spPr bwMode="auto">
                    <a:xfrm>
                      <a:off x="0" y="0"/>
                      <a:ext cx="4851839" cy="425600"/>
                    </a:xfrm>
                    <a:prstGeom prst="rect">
                      <a:avLst/>
                    </a:prstGeom>
                    <a:noFill/>
                    <a:ln w="9525">
                      <a:noFill/>
                      <a:miter lim="800000"/>
                      <a:headEnd/>
                      <a:tailEnd/>
                    </a:ln>
                  </pic:spPr>
                </pic:pic>
              </a:graphicData>
            </a:graphic>
          </wp:inline>
        </w:drawing>
      </w:r>
    </w:p>
    <w:p w:rsidR="00B45DC9" w:rsidRPr="00B45DC9" w:rsidRDefault="00B45DC9" w:rsidP="00B45DC9">
      <w:pPr>
        <w:pStyle w:val="SingleTxtG"/>
      </w:pPr>
    </w:p>
    <w:p w:rsidR="00B45DC9" w:rsidRPr="00B45DC9" w:rsidRDefault="00B45DC9" w:rsidP="001077EE">
      <w:pPr>
        <w:pStyle w:val="HChG"/>
      </w:pPr>
      <w:r w:rsidRPr="00B45DC9">
        <w:br w:type="page"/>
        <w:t>Annexe B</w:t>
      </w:r>
    </w:p>
    <w:p w:rsidR="00B45DC9" w:rsidRPr="00B45DC9" w:rsidRDefault="001077EE" w:rsidP="001077EE">
      <w:pPr>
        <w:pStyle w:val="HChG"/>
      </w:pPr>
      <w:r>
        <w:tab/>
      </w:r>
      <w:r>
        <w:tab/>
      </w:r>
      <w:r w:rsidR="00B45DC9" w:rsidRPr="00B45DC9">
        <w:t>Détermination de la surface moyenne de la caisse du wagon ferroviaire (sur la base d</w:t>
      </w:r>
      <w:r w:rsidR="00B45DC9">
        <w:t>’</w:t>
      </w:r>
      <w:r w:rsidR="00B45DC9" w:rsidRPr="00B45DC9">
        <w:t xml:space="preserve">essais réalisés en avril 2015 </w:t>
      </w:r>
      <w:r>
        <w:br/>
      </w:r>
      <w:r w:rsidR="00B45DC9" w:rsidRPr="00B45DC9">
        <w:t>sur le wagon n</w:t>
      </w:r>
      <w:r w:rsidR="00B45DC9" w:rsidRPr="00B45DC9">
        <w:rPr>
          <w:vertAlign w:val="superscript"/>
        </w:rPr>
        <w:t>o</w:t>
      </w:r>
      <w:r w:rsidR="00B45DC9" w:rsidRPr="00B45DC9">
        <w:t> 80007990)</w:t>
      </w:r>
    </w:p>
    <w:p w:rsidR="00B45DC9" w:rsidRPr="00B45DC9" w:rsidRDefault="001077EE" w:rsidP="001077EE">
      <w:pPr>
        <w:pStyle w:val="H1G"/>
      </w:pPr>
      <w:r>
        <w:tab/>
      </w:r>
      <w:r w:rsidR="00B45DC9" w:rsidRPr="00B45DC9">
        <w:t>1.</w:t>
      </w:r>
      <w:r w:rsidR="00B45DC9" w:rsidRPr="00B45DC9">
        <w:tab/>
        <w:t>Données de référence</w:t>
      </w:r>
    </w:p>
    <w:p w:rsidR="00B45DC9" w:rsidRPr="00B45DC9" w:rsidRDefault="00B45DC9" w:rsidP="00B45DC9">
      <w:pPr>
        <w:pStyle w:val="SingleTxtG"/>
      </w:pPr>
      <w:r w:rsidRPr="00B45DC9">
        <w:t>Dimensions intérieures de la caisse du wagon, m :</w:t>
      </w:r>
    </w:p>
    <w:p w:rsidR="00B45DC9" w:rsidRPr="00B45DC9" w:rsidRDefault="00B45DC9" w:rsidP="00B45DC9">
      <w:pPr>
        <w:pStyle w:val="SingleTxtG"/>
      </w:pPr>
      <w:r w:rsidRPr="00B45DC9">
        <w:t>longueur :</w:t>
      </w:r>
      <w:r w:rsidRPr="00B45DC9">
        <w:tab/>
      </w:r>
      <w:r w:rsidRPr="00B45DC9">
        <w:tab/>
      </w:r>
      <w:r w:rsidRPr="00B45DC9">
        <w:tab/>
      </w:r>
      <w:r w:rsidRPr="00B45DC9">
        <w:tab/>
      </w:r>
      <w:r w:rsidRPr="00B45DC9">
        <w:tab/>
      </w:r>
      <w:r w:rsidRPr="00B45DC9">
        <w:rPr>
          <w:noProof/>
          <w:lang w:val="en-US"/>
        </w:rPr>
        <w:drawing>
          <wp:inline distT="0" distB="0" distL="0" distR="0" wp14:anchorId="47FFDD4F" wp14:editId="3DD9E8C1">
            <wp:extent cx="2324100" cy="13335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8" cstate="print"/>
                    <a:srcRect/>
                    <a:stretch>
                      <a:fillRect/>
                    </a:stretch>
                  </pic:blipFill>
                  <pic:spPr bwMode="auto">
                    <a:xfrm>
                      <a:off x="0" y="0"/>
                      <a:ext cx="232410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largeur :</w:t>
      </w:r>
      <w:r w:rsidRPr="00B45DC9">
        <w:tab/>
      </w:r>
      <w:r w:rsidRPr="00B45DC9">
        <w:tab/>
      </w:r>
      <w:r w:rsidRPr="00B45DC9">
        <w:tab/>
      </w:r>
      <w:r w:rsidRPr="00B45DC9">
        <w:tab/>
      </w:r>
      <w:r w:rsidRPr="00B45DC9">
        <w:tab/>
      </w:r>
      <w:r w:rsidRPr="00B45DC9">
        <w:rPr>
          <w:noProof/>
          <w:lang w:val="en-US"/>
        </w:rPr>
        <w:drawing>
          <wp:inline distT="0" distB="0" distL="0" distR="0" wp14:anchorId="6BC311C5" wp14:editId="358DB4B8">
            <wp:extent cx="2124075" cy="13335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9" cstate="print"/>
                    <a:srcRect/>
                    <a:stretch>
                      <a:fillRect/>
                    </a:stretch>
                  </pic:blipFill>
                  <pic:spPr bwMode="auto">
                    <a:xfrm>
                      <a:off x="0" y="0"/>
                      <a:ext cx="21240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des parois latérales :</w:t>
      </w:r>
      <w:r w:rsidRPr="00B45DC9">
        <w:tab/>
      </w:r>
      <w:r w:rsidRPr="00B45DC9">
        <w:tab/>
      </w:r>
      <w:r w:rsidRPr="00B45DC9">
        <w:rPr>
          <w:noProof/>
          <w:lang w:val="en-US"/>
        </w:rPr>
        <w:drawing>
          <wp:inline distT="0" distB="0" distL="0" distR="0" wp14:anchorId="185ABDF4" wp14:editId="6C35FB93">
            <wp:extent cx="2124075" cy="133350"/>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0" cstate="print"/>
                    <a:srcRect/>
                    <a:stretch>
                      <a:fillRect/>
                    </a:stretch>
                  </pic:blipFill>
                  <pic:spPr bwMode="auto">
                    <a:xfrm>
                      <a:off x="0" y="0"/>
                      <a:ext cx="21240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sur l</w:t>
      </w:r>
      <w:r>
        <w:t>’</w:t>
      </w:r>
      <w:r w:rsidRPr="00B45DC9">
        <w:t>axe longitudinal central :</w:t>
      </w:r>
      <w:r w:rsidRPr="00B45DC9">
        <w:tab/>
      </w:r>
      <w:r w:rsidRPr="00B45DC9">
        <w:rPr>
          <w:noProof/>
          <w:lang w:val="en-US"/>
        </w:rPr>
        <w:drawing>
          <wp:inline distT="0" distB="0" distL="0" distR="0" wp14:anchorId="1B0D9E2C" wp14:editId="7479ACD0">
            <wp:extent cx="1524000" cy="1333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cstate="print"/>
                    <a:srcRect/>
                    <a:stretch>
                      <a:fillRect/>
                    </a:stretch>
                  </pic:blipFill>
                  <pic:spPr bwMode="auto">
                    <a:xfrm>
                      <a:off x="0" y="0"/>
                      <a:ext cx="152400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rPr>
          <w:i/>
        </w:rPr>
        <w:t>Remarque : Les dimensions intérieures de la caisse sont déterminées au moyen</w:t>
      </w:r>
      <w:r>
        <w:rPr>
          <w:i/>
        </w:rPr>
        <w:t xml:space="preserve"> </w:t>
      </w:r>
      <w:r w:rsidRPr="00B45DC9">
        <w:rPr>
          <w:i/>
        </w:rPr>
        <w:t>de mesures répétées</w:t>
      </w:r>
      <w:r>
        <w:rPr>
          <w:i/>
        </w:rPr>
        <w:t xml:space="preserve"> </w:t>
      </w:r>
      <w:r w:rsidRPr="00B45DC9">
        <w:rPr>
          <w:i/>
        </w:rPr>
        <w:t>dans des conditions inchangées</w:t>
      </w:r>
      <w:r w:rsidRPr="00B45DC9">
        <w:t>.</w:t>
      </w:r>
    </w:p>
    <w:p w:rsidR="00B45DC9" w:rsidRPr="00B45DC9" w:rsidRDefault="00B45DC9" w:rsidP="00B45DC9">
      <w:pPr>
        <w:pStyle w:val="SingleTxtG"/>
      </w:pPr>
      <w:r w:rsidRPr="00B45DC9">
        <w:t>Épaisseur moyenne déclarée de l</w:t>
      </w:r>
      <w:r>
        <w:t>’</w:t>
      </w:r>
      <w:r w:rsidRPr="00B45DC9">
        <w:t>isolant,</w:t>
      </w:r>
      <w:r>
        <w:t xml:space="preserve"> </w:t>
      </w:r>
      <w:r w:rsidRPr="00B45DC9">
        <w:t>m, dans les éléments de la caisse suivants</w:t>
      </w:r>
      <w:r w:rsidR="001077EE">
        <w:t> </w:t>
      </w:r>
      <w:r w:rsidRPr="00B45DC9">
        <w:t>:</w:t>
      </w:r>
    </w:p>
    <w:p w:rsidR="00B45DC9" w:rsidRPr="00B45DC9" w:rsidRDefault="00B45DC9" w:rsidP="003829F3">
      <w:pPr>
        <w:pStyle w:val="SingleTxtG"/>
      </w:pPr>
      <w:r w:rsidRPr="00B45DC9">
        <w:t>parois d</w:t>
      </w:r>
      <w:r>
        <w:t>’</w:t>
      </w:r>
      <w:r w:rsidRPr="00B45DC9">
        <w:t>extrémités :</w:t>
      </w:r>
      <w:r w:rsidRPr="00B45DC9">
        <w:tab/>
      </w:r>
      <w:r w:rsidRPr="00B45DC9">
        <w:tab/>
      </w:r>
      <w:r w:rsidRPr="00B45DC9">
        <w:rPr>
          <w:noProof/>
          <w:lang w:val="en-US"/>
        </w:rPr>
        <w:drawing>
          <wp:inline distT="0" distB="0" distL="0" distR="0" wp14:anchorId="35C03B0F" wp14:editId="2AA68272">
            <wp:extent cx="1031062" cy="132139"/>
            <wp:effectExtent l="0" t="0" r="0" b="127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cstate="print"/>
                    <a:srcRect/>
                    <a:stretch>
                      <a:fillRect/>
                    </a:stretch>
                  </pic:blipFill>
                  <pic:spPr bwMode="auto">
                    <a:xfrm>
                      <a:off x="0" y="0"/>
                      <a:ext cx="1040511"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 xml:space="preserve">parois latérales : </w:t>
      </w:r>
      <w:r w:rsidRPr="00B45DC9">
        <w:tab/>
      </w:r>
      <w:r w:rsidRPr="00B45DC9">
        <w:tab/>
      </w:r>
      <w:r w:rsidRPr="00B45DC9">
        <w:rPr>
          <w:noProof/>
          <w:lang w:val="en-US"/>
        </w:rPr>
        <w:drawing>
          <wp:inline distT="0" distB="0" distL="0" distR="0" wp14:anchorId="50E71AA4" wp14:editId="4CF5ED81">
            <wp:extent cx="1210384" cy="132138"/>
            <wp:effectExtent l="0" t="0" r="8890" b="127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cstate="print"/>
                    <a:srcRect/>
                    <a:stretch>
                      <a:fillRect/>
                    </a:stretch>
                  </pic:blipFill>
                  <pic:spPr bwMode="auto">
                    <a:xfrm>
                      <a:off x="0" y="0"/>
                      <a:ext cx="1221486"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portes latérales :</w:t>
      </w:r>
      <w:r w:rsidRPr="00B45DC9">
        <w:tab/>
      </w:r>
      <w:r w:rsidRPr="00B45DC9">
        <w:tab/>
      </w:r>
      <w:r w:rsidRPr="00B45DC9">
        <w:rPr>
          <w:noProof/>
          <w:lang w:val="en-US"/>
        </w:rPr>
        <w:drawing>
          <wp:inline distT="0" distB="0" distL="0" distR="0" wp14:anchorId="2B4132B1" wp14:editId="7F428B69">
            <wp:extent cx="1200955" cy="132139"/>
            <wp:effectExtent l="0" t="0" r="0" b="127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4" cstate="print"/>
                    <a:srcRect/>
                    <a:stretch>
                      <a:fillRect/>
                    </a:stretch>
                  </pic:blipFill>
                  <pic:spPr bwMode="auto">
                    <a:xfrm>
                      <a:off x="0" y="0"/>
                      <a:ext cx="1211961"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plancher :</w:t>
      </w:r>
      <w:r w:rsidRPr="00B45DC9">
        <w:tab/>
      </w:r>
      <w:r w:rsidRPr="00B45DC9">
        <w:tab/>
      </w:r>
      <w:r w:rsidRPr="00B45DC9">
        <w:tab/>
      </w:r>
      <w:r w:rsidRPr="00B45DC9">
        <w:rPr>
          <w:noProof/>
          <w:lang w:val="en-US"/>
        </w:rPr>
        <w:drawing>
          <wp:inline distT="0" distB="0" distL="0" distR="0" wp14:anchorId="0F24B942" wp14:editId="0EE3D0E0">
            <wp:extent cx="792833" cy="131658"/>
            <wp:effectExtent l="0" t="0" r="7620" b="190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5" cstate="print"/>
                    <a:srcRect/>
                    <a:stretch>
                      <a:fillRect/>
                    </a:stretch>
                  </pic:blipFill>
                  <pic:spPr bwMode="auto">
                    <a:xfrm>
                      <a:off x="0" y="0"/>
                      <a:ext cx="803021" cy="133350"/>
                    </a:xfrm>
                    <a:prstGeom prst="rect">
                      <a:avLst/>
                    </a:prstGeom>
                    <a:noFill/>
                    <a:ln w="9525">
                      <a:noFill/>
                      <a:miter lim="800000"/>
                      <a:headEnd/>
                      <a:tailEnd/>
                    </a:ln>
                  </pic:spPr>
                </pic:pic>
              </a:graphicData>
            </a:graphic>
          </wp:inline>
        </w:drawing>
      </w:r>
    </w:p>
    <w:p w:rsidR="00B45DC9" w:rsidRPr="00B45DC9" w:rsidRDefault="00B45DC9" w:rsidP="003829F3">
      <w:pPr>
        <w:pStyle w:val="SingleTxtG"/>
      </w:pPr>
      <w:r w:rsidRPr="00B45DC9">
        <w:t>toiture :</w:t>
      </w:r>
      <w:r w:rsidRPr="00B45DC9">
        <w:tab/>
      </w:r>
      <w:r w:rsidRPr="00B45DC9">
        <w:tab/>
      </w:r>
      <w:r w:rsidRPr="00B45DC9">
        <w:tab/>
      </w:r>
      <w:r w:rsidRPr="00B45DC9">
        <w:rPr>
          <w:noProof/>
          <w:lang w:val="en-US"/>
        </w:rPr>
        <w:drawing>
          <wp:inline distT="0" distB="0" distL="0" distR="0" wp14:anchorId="5DE1817A" wp14:editId="2F30FDAA">
            <wp:extent cx="795477" cy="132139"/>
            <wp:effectExtent l="0" t="0" r="5080" b="127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6" cstate="print"/>
                    <a:srcRect/>
                    <a:stretch>
                      <a:fillRect/>
                    </a:stretch>
                  </pic:blipFill>
                  <pic:spPr bwMode="auto">
                    <a:xfrm>
                      <a:off x="0" y="0"/>
                      <a:ext cx="802767"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Ouverture</w:t>
      </w:r>
      <w:r>
        <w:t xml:space="preserve"> </w:t>
      </w:r>
      <w:r w:rsidRPr="00B45DC9">
        <w:t>de chargement, m :</w:t>
      </w:r>
    </w:p>
    <w:p w:rsidR="00B45DC9" w:rsidRPr="00B45DC9" w:rsidRDefault="00B45DC9" w:rsidP="00B45DC9">
      <w:pPr>
        <w:pStyle w:val="SingleTxtG"/>
      </w:pPr>
      <w:r w:rsidRPr="00B45DC9">
        <w:t>largeur :</w:t>
      </w:r>
      <w:r w:rsidRPr="00B45DC9">
        <w:tab/>
      </w:r>
      <w:r w:rsidRPr="00B45DC9">
        <w:rPr>
          <w:noProof/>
          <w:lang w:val="en-US"/>
        </w:rPr>
        <w:drawing>
          <wp:inline distT="0" distB="0" distL="0" distR="0" wp14:anchorId="05801C28" wp14:editId="1EC4E341">
            <wp:extent cx="475699" cy="132139"/>
            <wp:effectExtent l="0" t="0" r="635" b="127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7" cstate="print"/>
                    <a:srcRect/>
                    <a:stretch>
                      <a:fillRect/>
                    </a:stretch>
                  </pic:blipFill>
                  <pic:spPr bwMode="auto">
                    <a:xfrm>
                      <a:off x="0" y="0"/>
                      <a:ext cx="480059"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w:t>
      </w:r>
      <w:r w:rsidRPr="00B45DC9">
        <w:tab/>
      </w:r>
      <w:r w:rsidRPr="00B45DC9">
        <w:rPr>
          <w:noProof/>
          <w:lang w:val="en-US"/>
        </w:rPr>
        <w:drawing>
          <wp:inline distT="0" distB="0" distL="0" distR="0" wp14:anchorId="024EFB5A" wp14:editId="2B0D4ACB">
            <wp:extent cx="486270" cy="132139"/>
            <wp:effectExtent l="0" t="0" r="9525" b="127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8" cstate="print"/>
                    <a:srcRect/>
                    <a:stretch>
                      <a:fillRect/>
                    </a:stretch>
                  </pic:blipFill>
                  <pic:spPr bwMode="auto">
                    <a:xfrm>
                      <a:off x="0" y="0"/>
                      <a:ext cx="490726" cy="133350"/>
                    </a:xfrm>
                    <a:prstGeom prst="rect">
                      <a:avLst/>
                    </a:prstGeom>
                    <a:noFill/>
                    <a:ln w="9525">
                      <a:noFill/>
                      <a:miter lim="800000"/>
                      <a:headEnd/>
                      <a:tailEnd/>
                    </a:ln>
                  </pic:spPr>
                </pic:pic>
              </a:graphicData>
            </a:graphic>
          </wp:inline>
        </w:drawing>
      </w:r>
    </w:p>
    <w:p w:rsidR="00B45DC9" w:rsidRPr="00B45DC9" w:rsidRDefault="00B45DC9" w:rsidP="00B45DC9">
      <w:pPr>
        <w:pStyle w:val="SingleTxtG"/>
        <w:rPr>
          <w:i/>
        </w:rPr>
      </w:pPr>
      <w:r w:rsidRPr="00B45DC9">
        <w:rPr>
          <w:i/>
        </w:rPr>
        <w:t>Remarque : L</w:t>
      </w:r>
      <w:r>
        <w:rPr>
          <w:i/>
        </w:rPr>
        <w:t>’</w:t>
      </w:r>
      <w:r w:rsidRPr="00B45DC9">
        <w:rPr>
          <w:i/>
        </w:rPr>
        <w:t>épaisseur moyenne de l</w:t>
      </w:r>
      <w:r>
        <w:rPr>
          <w:i/>
        </w:rPr>
        <w:t>’</w:t>
      </w:r>
      <w:r w:rsidRPr="00B45DC9">
        <w:rPr>
          <w:i/>
        </w:rPr>
        <w:t>isolant ainsi que</w:t>
      </w:r>
      <w:r>
        <w:rPr>
          <w:i/>
        </w:rPr>
        <w:t xml:space="preserve"> </w:t>
      </w:r>
      <w:r w:rsidRPr="00B45DC9">
        <w:rPr>
          <w:i/>
        </w:rPr>
        <w:t>l</w:t>
      </w:r>
      <w:r>
        <w:rPr>
          <w:i/>
        </w:rPr>
        <w:t>’</w:t>
      </w:r>
      <w:r w:rsidRPr="00B45DC9">
        <w:rPr>
          <w:i/>
        </w:rPr>
        <w:t>ouverture</w:t>
      </w:r>
      <w:r>
        <w:rPr>
          <w:i/>
        </w:rPr>
        <w:t xml:space="preserve"> </w:t>
      </w:r>
      <w:r w:rsidRPr="00B45DC9">
        <w:rPr>
          <w:i/>
        </w:rPr>
        <w:t>de chargement</w:t>
      </w:r>
      <w:r>
        <w:rPr>
          <w:i/>
        </w:rPr>
        <w:t xml:space="preserve"> </w:t>
      </w:r>
      <w:r w:rsidRPr="00B45DC9">
        <w:rPr>
          <w:i/>
        </w:rPr>
        <w:t>sont indiquées dans la documentation technique Т</w:t>
      </w:r>
      <w:r w:rsidR="00D74BCF">
        <w:rPr>
          <w:i/>
        </w:rPr>
        <w:t>U</w:t>
      </w:r>
      <w:r w:rsidRPr="00B45DC9">
        <w:rPr>
          <w:i/>
        </w:rPr>
        <w:t xml:space="preserve"> 3182601-427-01055865-08.</w:t>
      </w:r>
    </w:p>
    <w:p w:rsidR="00B45DC9" w:rsidRPr="00B45DC9" w:rsidRDefault="00B45DC9" w:rsidP="00B45DC9">
      <w:pPr>
        <w:pStyle w:val="SingleTxtG"/>
      </w:pPr>
      <w:r w:rsidRPr="00B45DC9">
        <w:t>Épaisseur moyenne calculée de l</w:t>
      </w:r>
      <w:r>
        <w:t>’</w:t>
      </w:r>
      <w:r w:rsidRPr="00B45DC9">
        <w:t>isolant,</w:t>
      </w:r>
      <w:r>
        <w:t xml:space="preserve"> </w:t>
      </w:r>
      <w:r w:rsidRPr="00B45DC9">
        <w:t>m, dans les parois et les portes latérales :</w:t>
      </w:r>
    </w:p>
    <w:p w:rsidR="00B45DC9" w:rsidRPr="00B45DC9" w:rsidRDefault="00B45DC9" w:rsidP="00B45DC9">
      <w:pPr>
        <w:pStyle w:val="SingleTxtG"/>
      </w:pPr>
      <w:r w:rsidRPr="00B45DC9">
        <w:rPr>
          <w:noProof/>
          <w:lang w:val="en-US"/>
        </w:rPr>
        <w:drawing>
          <wp:inline distT="0" distB="0" distL="0" distR="0" wp14:anchorId="35A2AB9C" wp14:editId="3C9E52D8">
            <wp:extent cx="2447925" cy="2762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9" cstate="print"/>
                    <a:srcRect/>
                    <a:stretch>
                      <a:fillRect/>
                    </a:stretch>
                  </pic:blipFill>
                  <pic:spPr bwMode="auto">
                    <a:xfrm>
                      <a:off x="0" y="0"/>
                      <a:ext cx="2447925" cy="276225"/>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calculé de transmission thermique des parois intérieures de la caisse, W/(m</w:t>
      </w:r>
      <w:r w:rsidRPr="00B45DC9">
        <w:rPr>
          <w:vertAlign w:val="superscript"/>
        </w:rPr>
        <w:t>2</w:t>
      </w:r>
      <w:r w:rsidRPr="00B45DC9">
        <w:rPr>
          <w:rFonts w:ascii="Cambria Math" w:hAnsi="Cambria Math" w:cs="Cambria Math"/>
        </w:rPr>
        <w:t>⋅</w:t>
      </w:r>
      <w:r w:rsidRPr="00B45DC9">
        <w:t>K) :</w:t>
      </w:r>
      <w:r w:rsidR="001077EE">
        <w:tab/>
      </w:r>
      <w:r w:rsidRPr="00B45DC9">
        <w:rPr>
          <w:noProof/>
          <w:lang w:val="en-US"/>
        </w:rPr>
        <w:drawing>
          <wp:inline distT="0" distB="0" distL="0" distR="0" wp14:anchorId="20DCF3C6" wp14:editId="5780BB76">
            <wp:extent cx="323850" cy="1333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0" cstate="print"/>
                    <a:srcRect/>
                    <a:stretch>
                      <a:fillRect/>
                    </a:stretch>
                  </pic:blipFill>
                  <pic:spPr bwMode="auto">
                    <a:xfrm>
                      <a:off x="0" y="0"/>
                      <a:ext cx="32385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calculé de transmission thermique des parois extérieures de la caisse, W/(m</w:t>
      </w:r>
      <w:r w:rsidRPr="00B45DC9">
        <w:rPr>
          <w:vertAlign w:val="superscript"/>
        </w:rPr>
        <w:t>2</w:t>
      </w:r>
      <w:r w:rsidRPr="00B45DC9">
        <w:rPr>
          <w:rFonts w:ascii="Cambria Math" w:hAnsi="Cambria Math" w:cs="Cambria Math"/>
        </w:rPr>
        <w:t>⋅</w:t>
      </w:r>
      <w:r w:rsidRPr="00B45DC9">
        <w:t>K) :</w:t>
      </w:r>
      <w:r w:rsidR="001077EE">
        <w:tab/>
      </w:r>
      <w:r w:rsidRPr="00B45DC9">
        <w:rPr>
          <w:noProof/>
          <w:lang w:val="en-US"/>
        </w:rPr>
        <w:drawing>
          <wp:inline distT="0" distB="0" distL="0" distR="0" wp14:anchorId="00A4711E" wp14:editId="3F9437CF">
            <wp:extent cx="333375" cy="133350"/>
            <wp:effectExtent l="1905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1" cstate="print"/>
                    <a:srcRect/>
                    <a:stretch>
                      <a:fillRect/>
                    </a:stretch>
                  </pic:blipFill>
                  <pic:spPr bwMode="auto">
                    <a:xfrm>
                      <a:off x="0" y="0"/>
                      <a:ext cx="3333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rPr>
          <w:i/>
        </w:rPr>
      </w:pPr>
      <w:r w:rsidRPr="00B45DC9">
        <w:rPr>
          <w:i/>
        </w:rPr>
        <w:t>Remarque : ces paramètres ont une incidence négligeable sur les résultats des calculs</w:t>
      </w:r>
      <w:r w:rsidR="00266B42">
        <w:rPr>
          <w:i/>
        </w:rPr>
        <w:t> </w:t>
      </w:r>
      <w:r w:rsidRPr="00B45DC9">
        <w:rPr>
          <w:i/>
        </w:rPr>
        <w:t>; par souci de simplification, ils ont été ignorés par l</w:t>
      </w:r>
      <w:r>
        <w:rPr>
          <w:i/>
        </w:rPr>
        <w:t>’</w:t>
      </w:r>
      <w:r w:rsidRPr="00B45DC9">
        <w:rPr>
          <w:i/>
        </w:rPr>
        <w:t>attribution d</w:t>
      </w:r>
      <w:r>
        <w:rPr>
          <w:i/>
        </w:rPr>
        <w:t>’</w:t>
      </w:r>
      <w:r w:rsidRPr="00B45DC9">
        <w:rPr>
          <w:i/>
        </w:rPr>
        <w:t>une valeur infinie.</w:t>
      </w:r>
    </w:p>
    <w:p w:rsidR="00B45DC9" w:rsidRPr="00B45DC9" w:rsidRDefault="00B45DC9" w:rsidP="00B45DC9">
      <w:pPr>
        <w:pStyle w:val="SingleTxtG"/>
      </w:pPr>
      <w:r w:rsidRPr="00B45DC9">
        <w:t>Paramètres mesurés en conditions stables :</w:t>
      </w:r>
    </w:p>
    <w:p w:rsidR="00B45DC9" w:rsidRPr="00B45DC9" w:rsidRDefault="00B45DC9" w:rsidP="00B45DC9">
      <w:pPr>
        <w:pStyle w:val="SingleTxtG"/>
      </w:pPr>
      <w:r w:rsidRPr="00B45DC9">
        <w:t>puissance thermique moyenne, W :</w:t>
      </w:r>
      <w:r w:rsidRPr="00B45DC9">
        <w:tab/>
      </w:r>
      <w:r w:rsidRPr="00B45DC9">
        <w:tab/>
      </w:r>
      <w:r w:rsidRPr="00B45DC9">
        <w:rPr>
          <w:noProof/>
          <w:lang w:val="en-US"/>
        </w:rPr>
        <w:drawing>
          <wp:inline distT="0" distB="0" distL="0" distR="0" wp14:anchorId="289C207A" wp14:editId="0896C3D0">
            <wp:extent cx="438150" cy="1333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2"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1077EE" w:rsidRDefault="00B45DC9" w:rsidP="001077EE">
      <w:pPr>
        <w:pStyle w:val="SingleTxtG"/>
        <w:keepNext/>
      </w:pPr>
      <w:r w:rsidRPr="00B45DC9">
        <w:t>écart moyen de température entre l</w:t>
      </w:r>
      <w:r>
        <w:t>’</w:t>
      </w:r>
      <w:r w:rsidRPr="00B45DC9">
        <w:t>intérieur et l</w:t>
      </w:r>
      <w:r>
        <w:t>’</w:t>
      </w:r>
      <w:r w:rsidRPr="00B45DC9">
        <w:t xml:space="preserve">extérieur de la caisse du wagon, </w:t>
      </w:r>
      <w:r w:rsidR="00D74BCF">
        <w:t>K </w:t>
      </w:r>
      <w:r w:rsidRPr="00B45DC9">
        <w:t>:</w:t>
      </w:r>
    </w:p>
    <w:p w:rsidR="00B45DC9" w:rsidRPr="00B45DC9" w:rsidRDefault="00B45DC9" w:rsidP="00B45DC9">
      <w:pPr>
        <w:pStyle w:val="SingleTxtG"/>
      </w:pPr>
      <w:r w:rsidRPr="00B45DC9">
        <w:rPr>
          <w:noProof/>
          <w:lang w:val="en-US"/>
        </w:rPr>
        <w:drawing>
          <wp:inline distT="0" distB="0" distL="0" distR="0" wp14:anchorId="2D119E14" wp14:editId="17EA37C4">
            <wp:extent cx="476250" cy="13335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3" cstate="print"/>
                    <a:srcRect/>
                    <a:stretch>
                      <a:fillRect/>
                    </a:stretch>
                  </pic:blipFill>
                  <pic:spPr bwMode="auto">
                    <a:xfrm>
                      <a:off x="0" y="0"/>
                      <a:ext cx="476250" cy="133350"/>
                    </a:xfrm>
                    <a:prstGeom prst="rect">
                      <a:avLst/>
                    </a:prstGeom>
                    <a:noFill/>
                    <a:ln w="9525">
                      <a:noFill/>
                      <a:miter lim="800000"/>
                      <a:headEnd/>
                      <a:tailEnd/>
                    </a:ln>
                  </pic:spPr>
                </pic:pic>
              </a:graphicData>
            </a:graphic>
          </wp:inline>
        </w:drawing>
      </w:r>
    </w:p>
    <w:p w:rsidR="001077EE" w:rsidRDefault="00B45DC9" w:rsidP="00B45DC9">
      <w:pPr>
        <w:pStyle w:val="SingleTxtG"/>
      </w:pPr>
      <w:r w:rsidRPr="00B45DC9">
        <w:t>Coefficient calculé de transmission thermique du matériau isolant de la caisse, W/(m</w:t>
      </w:r>
      <w:r w:rsidRPr="00B45DC9">
        <w:rPr>
          <w:rFonts w:ascii="Cambria Math" w:hAnsi="Cambria Math" w:cs="Cambria Math"/>
        </w:rPr>
        <w:t>⋅</w:t>
      </w:r>
      <w:r w:rsidRPr="00B45DC9">
        <w:t>K) :</w:t>
      </w:r>
    </w:p>
    <w:p w:rsidR="00B45DC9" w:rsidRPr="00B45DC9" w:rsidRDefault="00B45DC9" w:rsidP="00B45DC9">
      <w:pPr>
        <w:pStyle w:val="SingleTxtG"/>
      </w:pPr>
      <w:r w:rsidRPr="00B45DC9">
        <w:rPr>
          <w:noProof/>
          <w:lang w:val="en-US"/>
        </w:rPr>
        <w:drawing>
          <wp:inline distT="0" distB="0" distL="0" distR="0" wp14:anchorId="0F6A0D28" wp14:editId="72877EC9">
            <wp:extent cx="438150" cy="1333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4" cstate="print"/>
                    <a:srcRect/>
                    <a:stretch>
                      <a:fillRect/>
                    </a:stretch>
                  </pic:blipFill>
                  <pic:spPr bwMode="auto">
                    <a:xfrm>
                      <a:off x="0" y="0"/>
                      <a:ext cx="438150" cy="133350"/>
                    </a:xfrm>
                    <a:prstGeom prst="rect">
                      <a:avLst/>
                    </a:prstGeom>
                    <a:noFill/>
                    <a:ln w="9525">
                      <a:noFill/>
                      <a:miter lim="800000"/>
                      <a:headEnd/>
                      <a:tailEnd/>
                    </a:ln>
                  </pic:spPr>
                </pic:pic>
              </a:graphicData>
            </a:graphic>
          </wp:inline>
        </w:drawing>
      </w:r>
    </w:p>
    <w:p w:rsidR="001077EE" w:rsidRDefault="00B45DC9" w:rsidP="00B45DC9">
      <w:pPr>
        <w:pStyle w:val="SingleTxtG"/>
      </w:pPr>
      <w:r w:rsidRPr="00B45DC9">
        <w:t xml:space="preserve">Fonction de calcul du coefficient K : </w:t>
      </w:r>
    </w:p>
    <w:p w:rsidR="00B45DC9" w:rsidRPr="00B45DC9" w:rsidRDefault="00B45DC9" w:rsidP="00B45DC9">
      <w:pPr>
        <w:pStyle w:val="SingleTxtG"/>
      </w:pPr>
      <w:r w:rsidRPr="00B45DC9">
        <w:rPr>
          <w:noProof/>
          <w:lang w:val="en-US"/>
        </w:rPr>
        <w:drawing>
          <wp:inline distT="0" distB="0" distL="0" distR="0" wp14:anchorId="5317DB41" wp14:editId="55433E94">
            <wp:extent cx="1009650" cy="2762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5"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B45DC9" w:rsidRPr="00B45DC9" w:rsidRDefault="001077EE" w:rsidP="001077EE">
      <w:pPr>
        <w:pStyle w:val="H1G"/>
      </w:pPr>
      <w:r>
        <w:tab/>
      </w:r>
      <w:r w:rsidR="00B45DC9" w:rsidRPr="00B45DC9">
        <w:t>2.</w:t>
      </w:r>
      <w:r w:rsidR="00B45DC9" w:rsidRPr="00B45DC9">
        <w:tab/>
        <w:t>Calcul selon la méthode A</w:t>
      </w:r>
    </w:p>
    <w:p w:rsidR="00B45DC9" w:rsidRPr="00B45DC9" w:rsidRDefault="00B45DC9" w:rsidP="00B45DC9">
      <w:pPr>
        <w:pStyle w:val="SingleTxtG"/>
        <w:rPr>
          <w:i/>
        </w:rPr>
      </w:pPr>
      <w:r w:rsidRPr="00B45DC9">
        <w:rPr>
          <w:i/>
        </w:rPr>
        <w:t>Remarque : Le calcul ne peut pas être effectué en raison du</w:t>
      </w:r>
      <w:r>
        <w:rPr>
          <w:i/>
        </w:rPr>
        <w:t xml:space="preserve"> </w:t>
      </w:r>
      <w:r w:rsidRPr="00B45DC9">
        <w:rPr>
          <w:i/>
        </w:rPr>
        <w:t>manque de données sur la structure</w:t>
      </w:r>
      <w:r>
        <w:rPr>
          <w:i/>
        </w:rPr>
        <w:t xml:space="preserve"> </w:t>
      </w:r>
      <w:r w:rsidRPr="00B45DC9">
        <w:rPr>
          <w:i/>
        </w:rPr>
        <w:t>interne de l</w:t>
      </w:r>
      <w:r>
        <w:rPr>
          <w:i/>
        </w:rPr>
        <w:t>’</w:t>
      </w:r>
      <w:r w:rsidRPr="00B45DC9">
        <w:rPr>
          <w:i/>
        </w:rPr>
        <w:t>isolant et sur les singularités de structure de la caisse.</w:t>
      </w:r>
    </w:p>
    <w:p w:rsidR="00B45DC9" w:rsidRPr="00B45DC9" w:rsidRDefault="001077EE" w:rsidP="001077EE">
      <w:pPr>
        <w:pStyle w:val="H1G"/>
      </w:pPr>
      <w:r>
        <w:tab/>
      </w:r>
      <w:r w:rsidR="00B45DC9" w:rsidRPr="00B45DC9">
        <w:t>3.</w:t>
      </w:r>
      <w:r w:rsidR="00B45DC9" w:rsidRPr="00B45DC9">
        <w:tab/>
        <w:t>Calcul selon la méthode B </w:t>
      </w:r>
    </w:p>
    <w:p w:rsidR="00B45DC9" w:rsidRPr="00B45DC9" w:rsidRDefault="00B45DC9" w:rsidP="00B45DC9">
      <w:pPr>
        <w:pStyle w:val="SingleTxtG"/>
      </w:pPr>
      <w:r w:rsidRPr="00B45DC9">
        <w:t>Détermination des dimensions extérieures théoriques de la caisse du wagon, m :</w:t>
      </w:r>
    </w:p>
    <w:p w:rsidR="00B45DC9" w:rsidRPr="00B45DC9" w:rsidRDefault="00B45DC9" w:rsidP="00B45DC9">
      <w:pPr>
        <w:pStyle w:val="SingleTxtG"/>
      </w:pPr>
      <w:r w:rsidRPr="00B45DC9">
        <w:t>longueur :</w:t>
      </w:r>
      <w:r w:rsidRPr="00B45DC9">
        <w:tab/>
      </w:r>
      <w:r w:rsidRPr="00B45DC9">
        <w:tab/>
      </w:r>
      <w:r w:rsidRPr="00B45DC9">
        <w:tab/>
      </w:r>
      <w:r w:rsidRPr="00B45DC9">
        <w:tab/>
      </w:r>
      <w:r w:rsidRPr="00B45DC9">
        <w:tab/>
      </w:r>
      <w:r w:rsidRPr="00B45DC9">
        <w:rPr>
          <w:noProof/>
          <w:lang w:val="en-US"/>
        </w:rPr>
        <w:drawing>
          <wp:inline distT="0" distB="0" distL="0" distR="0" wp14:anchorId="44E4DE47" wp14:editId="1B302C67">
            <wp:extent cx="1095375" cy="133350"/>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6" cstate="print"/>
                    <a:srcRect/>
                    <a:stretch>
                      <a:fillRect/>
                    </a:stretch>
                  </pic:blipFill>
                  <pic:spPr bwMode="auto">
                    <a:xfrm>
                      <a:off x="0" y="0"/>
                      <a:ext cx="10953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largeur :</w:t>
      </w:r>
      <w:r w:rsidRPr="00B45DC9">
        <w:tab/>
      </w:r>
      <w:r w:rsidRPr="00B45DC9">
        <w:tab/>
      </w:r>
      <w:r w:rsidRPr="00B45DC9">
        <w:tab/>
      </w:r>
      <w:r w:rsidRPr="00B45DC9">
        <w:tab/>
      </w:r>
      <w:r w:rsidRPr="00B45DC9">
        <w:tab/>
      </w:r>
      <w:r w:rsidRPr="00B45DC9">
        <w:rPr>
          <w:noProof/>
          <w:lang w:val="en-US"/>
        </w:rPr>
        <w:drawing>
          <wp:inline distT="0" distB="0" distL="0" distR="0" wp14:anchorId="22242065" wp14:editId="5EFB8646">
            <wp:extent cx="1162050" cy="13335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7" cstate="print"/>
                    <a:srcRect/>
                    <a:stretch>
                      <a:fillRect/>
                    </a:stretch>
                  </pic:blipFill>
                  <pic:spPr bwMode="auto">
                    <a:xfrm>
                      <a:off x="0" y="0"/>
                      <a:ext cx="1162050"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des parois latérales :</w:t>
      </w:r>
      <w:r w:rsidRPr="00B45DC9">
        <w:tab/>
      </w:r>
      <w:r w:rsidRPr="00B45DC9">
        <w:tab/>
      </w:r>
      <w:r w:rsidRPr="00B45DC9">
        <w:rPr>
          <w:noProof/>
          <w:lang w:val="en-US"/>
        </w:rPr>
        <w:drawing>
          <wp:inline distT="0" distB="0" distL="0" distR="0" wp14:anchorId="725B257C" wp14:editId="2DBA0221">
            <wp:extent cx="1285875" cy="133350"/>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8"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hauteur sur l</w:t>
      </w:r>
      <w:r>
        <w:t>’</w:t>
      </w:r>
      <w:r w:rsidR="001077EE">
        <w:t>axe longitudinal central :</w:t>
      </w:r>
      <w:r w:rsidR="001077EE">
        <w:tab/>
      </w:r>
      <w:r w:rsidRPr="00B45DC9">
        <w:rPr>
          <w:noProof/>
          <w:lang w:val="en-US"/>
        </w:rPr>
        <w:drawing>
          <wp:inline distT="0" distB="0" distL="0" distR="0" wp14:anchorId="010C1FB4" wp14:editId="4928E3A7">
            <wp:extent cx="1733550" cy="13335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9" cstate="print"/>
                    <a:srcRect/>
                    <a:stretch>
                      <a:fillRect/>
                    </a:stretch>
                  </pic:blipFill>
                  <pic:spPr bwMode="auto">
                    <a:xfrm>
                      <a:off x="0" y="0"/>
                      <a:ext cx="1733550" cy="133350"/>
                    </a:xfrm>
                    <a:prstGeom prst="rect">
                      <a:avLst/>
                    </a:prstGeom>
                    <a:noFill/>
                    <a:ln w="9525">
                      <a:noFill/>
                      <a:miter lim="800000"/>
                      <a:headEnd/>
                      <a:tailEnd/>
                    </a:ln>
                  </pic:spPr>
                </pic:pic>
              </a:graphicData>
            </a:graphic>
          </wp:inline>
        </w:drawing>
      </w:r>
    </w:p>
    <w:p w:rsidR="001077EE" w:rsidRDefault="00B45DC9" w:rsidP="00B45DC9">
      <w:pPr>
        <w:pStyle w:val="SingleTxtG"/>
      </w:pPr>
      <w:r w:rsidRPr="00B45DC9">
        <w:t>Variable empirique pour le calcul de la longueur de l</w:t>
      </w:r>
      <w:r>
        <w:t>’</w:t>
      </w:r>
      <w:r w:rsidRPr="00B45DC9">
        <w:t>arrondi de la toiture :</w:t>
      </w:r>
    </w:p>
    <w:p w:rsidR="00B45DC9" w:rsidRPr="00B45DC9" w:rsidRDefault="00B45DC9" w:rsidP="00B45DC9">
      <w:pPr>
        <w:pStyle w:val="SingleTxtG"/>
      </w:pPr>
      <w:r w:rsidRPr="00B45DC9">
        <w:rPr>
          <w:noProof/>
          <w:lang w:val="en-US"/>
        </w:rPr>
        <w:drawing>
          <wp:inline distT="0" distB="0" distL="0" distR="0" wp14:anchorId="437A1619" wp14:editId="3DAE9D11">
            <wp:extent cx="542925" cy="419100"/>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0"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p>
    <w:p w:rsidR="001077EE" w:rsidRDefault="00B45DC9" w:rsidP="00B45DC9">
      <w:pPr>
        <w:pStyle w:val="SingleTxtG"/>
      </w:pPr>
      <w:r w:rsidRPr="00B45DC9">
        <w:t>Fonction de</w:t>
      </w:r>
      <w:r>
        <w:t xml:space="preserve"> </w:t>
      </w:r>
      <w:r w:rsidRPr="00B45DC9">
        <w:t>calcul de la longueur de l</w:t>
      </w:r>
      <w:r>
        <w:t>’</w:t>
      </w:r>
      <w:r w:rsidRPr="00B45DC9">
        <w:t>arrondi</w:t>
      </w:r>
      <w:r>
        <w:t xml:space="preserve"> </w:t>
      </w:r>
      <w:r w:rsidRPr="00B45DC9">
        <w:t>de la toiture :</w:t>
      </w:r>
    </w:p>
    <w:p w:rsidR="00B45DC9" w:rsidRDefault="00B45DC9" w:rsidP="00B45DC9">
      <w:pPr>
        <w:pStyle w:val="SingleTxtG"/>
      </w:pPr>
      <w:r w:rsidRPr="00B45DC9">
        <w:rPr>
          <w:noProof/>
          <w:lang w:val="en-US"/>
        </w:rPr>
        <w:drawing>
          <wp:inline distT="0" distB="0" distL="0" distR="0" wp14:anchorId="1C930004" wp14:editId="4E7467C1">
            <wp:extent cx="1743075" cy="5334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1"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1077EE" w:rsidRDefault="00B45DC9" w:rsidP="00B45DC9">
      <w:pPr>
        <w:pStyle w:val="SingleTxtG"/>
      </w:pPr>
      <w:r w:rsidRPr="00B45DC9">
        <w:t>Fonction de</w:t>
      </w:r>
      <w:r>
        <w:t xml:space="preserve"> </w:t>
      </w:r>
      <w:r w:rsidRPr="00B45DC9">
        <w:t>calcul de la surface de la caisse du wagon :</w:t>
      </w:r>
    </w:p>
    <w:p w:rsidR="00B45DC9" w:rsidRPr="00B45DC9" w:rsidRDefault="00B45DC9" w:rsidP="00B45DC9">
      <w:pPr>
        <w:pStyle w:val="SingleTxtG"/>
      </w:pPr>
      <w:r w:rsidRPr="00B45DC9">
        <w:rPr>
          <w:noProof/>
          <w:lang w:val="en-US"/>
        </w:rPr>
        <w:drawing>
          <wp:inline distT="0" distB="0" distL="0" distR="0" wp14:anchorId="62BD29D5" wp14:editId="0DFABE9A">
            <wp:extent cx="3095625" cy="276225"/>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2" cstate="print"/>
                    <a:srcRect/>
                    <a:stretch>
                      <a:fillRect/>
                    </a:stretch>
                  </pic:blipFill>
                  <pic:spPr bwMode="auto">
                    <a:xfrm>
                      <a:off x="0" y="0"/>
                      <a:ext cx="3095625" cy="276225"/>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Fonction de</w:t>
      </w:r>
      <w:r>
        <w:t xml:space="preserve"> </w:t>
      </w:r>
      <w:r w:rsidRPr="00B45DC9">
        <w:t>calcul de la surface moyenne de la caisse du wagon :</w:t>
      </w:r>
    </w:p>
    <w:p w:rsidR="00B45DC9" w:rsidRPr="00B45DC9" w:rsidRDefault="00B45DC9" w:rsidP="00B45DC9">
      <w:pPr>
        <w:pStyle w:val="SingleTxtG"/>
      </w:pPr>
      <w:r w:rsidRPr="00B45DC9">
        <w:rPr>
          <w:noProof/>
          <w:lang w:val="en-US"/>
        </w:rPr>
        <w:drawing>
          <wp:inline distT="0" distB="0" distL="0" distR="0" wp14:anchorId="676ED4D6" wp14:editId="21E80D1B">
            <wp:extent cx="3305175" cy="152400"/>
            <wp:effectExtent l="19050" t="0" r="9525" b="0"/>
            <wp:docPr id="6"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3" cstate="print"/>
                    <a:srcRect/>
                    <a:stretch>
                      <a:fillRect/>
                    </a:stretch>
                  </pic:blipFill>
                  <pic:spPr bwMode="auto">
                    <a:xfrm>
                      <a:off x="0" y="0"/>
                      <a:ext cx="3305175" cy="15240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Surface moyenne de la caisse du wagon, m</w:t>
      </w:r>
      <w:r w:rsidRPr="00B45DC9">
        <w:rPr>
          <w:vertAlign w:val="superscript"/>
        </w:rPr>
        <w:t>2</w:t>
      </w:r>
      <w:r w:rsidRPr="00B45DC9">
        <w:t> :</w:t>
      </w:r>
    </w:p>
    <w:p w:rsidR="00B45DC9" w:rsidRPr="00B45DC9" w:rsidRDefault="00B45DC9" w:rsidP="00B45DC9">
      <w:pPr>
        <w:pStyle w:val="SingleTxtG"/>
      </w:pPr>
      <w:r w:rsidRPr="00B45DC9">
        <w:rPr>
          <w:noProof/>
          <w:lang w:val="en-US"/>
        </w:rPr>
        <w:drawing>
          <wp:inline distT="0" distB="0" distL="0" distR="0" wp14:anchorId="5E4B85D8" wp14:editId="125AA2C9">
            <wp:extent cx="2257425" cy="133350"/>
            <wp:effectExtent l="1905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4" cstate="print"/>
                    <a:srcRect/>
                    <a:stretch>
                      <a:fillRect/>
                    </a:stretch>
                  </pic:blipFill>
                  <pic:spPr bwMode="auto">
                    <a:xfrm>
                      <a:off x="0" y="0"/>
                      <a:ext cx="2257425" cy="133350"/>
                    </a:xfrm>
                    <a:prstGeom prst="rect">
                      <a:avLst/>
                    </a:prstGeom>
                    <a:noFill/>
                    <a:ln w="9525">
                      <a:noFill/>
                      <a:miter lim="800000"/>
                      <a:headEnd/>
                      <a:tailEnd/>
                    </a:ln>
                  </pic:spPr>
                </pic:pic>
              </a:graphicData>
            </a:graphic>
          </wp:inline>
        </w:drawing>
      </w:r>
    </w:p>
    <w:p w:rsidR="00B45DC9" w:rsidRPr="00B45DC9" w:rsidRDefault="00B45DC9" w:rsidP="00B45DC9">
      <w:pPr>
        <w:pStyle w:val="SingleTxtG"/>
      </w:pPr>
      <w:r w:rsidRPr="00B45DC9">
        <w:t>Coefficient K, W/(m</w:t>
      </w:r>
      <w:r w:rsidRPr="00B45DC9">
        <w:rPr>
          <w:vertAlign w:val="superscript"/>
        </w:rPr>
        <w:t>2</w:t>
      </w:r>
      <w:r w:rsidRPr="00B45DC9">
        <w:rPr>
          <w:rFonts w:ascii="Cambria Math" w:hAnsi="Cambria Math" w:cs="Cambria Math"/>
        </w:rPr>
        <w:t>⋅</w:t>
      </w:r>
      <w:r w:rsidRPr="00B45DC9">
        <w:t>K) :</w:t>
      </w:r>
      <w:r w:rsidRPr="00B45DC9">
        <w:tab/>
      </w:r>
      <w:r w:rsidRPr="00B45DC9">
        <w:rPr>
          <w:noProof/>
          <w:lang w:val="en-US"/>
        </w:rPr>
        <w:drawing>
          <wp:inline distT="0" distB="0" distL="0" distR="0" wp14:anchorId="3A23C167" wp14:editId="08BF51BB">
            <wp:extent cx="1562100" cy="133350"/>
            <wp:effectExtent l="19050" t="0" r="0" b="0"/>
            <wp:docPr id="7"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5" cstate="print"/>
                    <a:srcRect/>
                    <a:stretch>
                      <a:fillRect/>
                    </a:stretch>
                  </pic:blipFill>
                  <pic:spPr bwMode="auto">
                    <a:xfrm>
                      <a:off x="0" y="0"/>
                      <a:ext cx="1562100" cy="133350"/>
                    </a:xfrm>
                    <a:prstGeom prst="rect">
                      <a:avLst/>
                    </a:prstGeom>
                    <a:noFill/>
                    <a:ln w="9525">
                      <a:noFill/>
                      <a:miter lim="800000"/>
                      <a:headEnd/>
                      <a:tailEnd/>
                    </a:ln>
                  </pic:spPr>
                </pic:pic>
              </a:graphicData>
            </a:graphic>
          </wp:inline>
        </w:drawing>
      </w:r>
    </w:p>
    <w:p w:rsidR="00B45DC9" w:rsidRPr="00B45DC9" w:rsidRDefault="001077EE" w:rsidP="001077EE">
      <w:pPr>
        <w:pStyle w:val="H1G"/>
      </w:pPr>
      <w:r>
        <w:tab/>
      </w:r>
      <w:r w:rsidR="00B45DC9" w:rsidRPr="00B45DC9">
        <w:t>4.</w:t>
      </w:r>
      <w:r w:rsidR="00B45DC9" w:rsidRPr="00B45DC9">
        <w:tab/>
        <w:t>Calcul selon la méthode C</w:t>
      </w:r>
    </w:p>
    <w:p w:rsidR="00B45DC9" w:rsidRPr="00B45DC9" w:rsidRDefault="00B45DC9" w:rsidP="00B45DC9">
      <w:pPr>
        <w:pStyle w:val="SingleTxtG"/>
      </w:pPr>
      <w:r w:rsidRPr="00B45DC9">
        <w:rPr>
          <w:noProof/>
          <w:lang w:val="en-US"/>
        </w:rPr>
        <w:drawing>
          <wp:inline distT="0" distB="0" distL="0" distR="0" wp14:anchorId="2EAF2716" wp14:editId="107B3AA8">
            <wp:extent cx="3981450" cy="484822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6" cstate="print"/>
                    <a:srcRect/>
                    <a:stretch>
                      <a:fillRect/>
                    </a:stretch>
                  </pic:blipFill>
                  <pic:spPr bwMode="auto">
                    <a:xfrm>
                      <a:off x="0" y="0"/>
                      <a:ext cx="3981450" cy="4848225"/>
                    </a:xfrm>
                    <a:prstGeom prst="rect">
                      <a:avLst/>
                    </a:prstGeom>
                    <a:noFill/>
                    <a:ln w="9525">
                      <a:noFill/>
                      <a:miter lim="800000"/>
                      <a:headEnd/>
                      <a:tailEnd/>
                    </a:ln>
                  </pic:spPr>
                </pic:pic>
              </a:graphicData>
            </a:graphic>
          </wp:inline>
        </w:drawing>
      </w:r>
    </w:p>
    <w:p w:rsidR="00B45DC9" w:rsidRPr="00B45DC9" w:rsidRDefault="00B45DC9" w:rsidP="00B45DC9">
      <w:pPr>
        <w:pStyle w:val="SingleTxtG"/>
        <w:rPr>
          <w:i/>
        </w:rPr>
      </w:pPr>
      <w:r w:rsidRPr="00B45DC9">
        <w:rPr>
          <w:i/>
        </w:rPr>
        <w:t>Liste des variables supplémentaires :</w:t>
      </w:r>
    </w:p>
    <w:p w:rsidR="00B45DC9" w:rsidRPr="00B45DC9" w:rsidRDefault="00B45DC9" w:rsidP="00B45DC9">
      <w:pPr>
        <w:pStyle w:val="SingleTxtG"/>
        <w:rPr>
          <w:i/>
          <w:iCs/>
        </w:rPr>
      </w:pPr>
      <w:r w:rsidRPr="00B45DC9">
        <w:rPr>
          <w:i/>
          <w:iCs/>
        </w:rPr>
        <w:t>prec=10-</w:t>
      </w:r>
      <w:r w:rsidRPr="00B45DC9">
        <w:rPr>
          <w:i/>
          <w:iCs/>
          <w:vertAlign w:val="superscript"/>
        </w:rPr>
        <w:t>3</w:t>
      </w:r>
      <w:r w:rsidRPr="00B45DC9">
        <w:rPr>
          <w:i/>
          <w:iCs/>
        </w:rPr>
        <w:t>m est la précision dans le choix de l</w:t>
      </w:r>
      <w:r>
        <w:rPr>
          <w:i/>
          <w:iCs/>
        </w:rPr>
        <w:t>’</w:t>
      </w:r>
      <w:r w:rsidRPr="00B45DC9">
        <w:rPr>
          <w:i/>
          <w:iCs/>
        </w:rPr>
        <w:t>épaisseur moyenne de l</w:t>
      </w:r>
      <w:r>
        <w:rPr>
          <w:i/>
          <w:iCs/>
        </w:rPr>
        <w:t>’</w:t>
      </w:r>
      <w:r w:rsidRPr="00B45DC9">
        <w:rPr>
          <w:i/>
          <w:iCs/>
        </w:rPr>
        <w:t>isolant</w:t>
      </w:r>
      <w:r w:rsidR="00046B3C">
        <w:rPr>
          <w:i/>
          <w:iCs/>
        </w:rPr>
        <w:t> </w:t>
      </w:r>
      <w:r w:rsidRPr="00B45DC9">
        <w:rPr>
          <w:i/>
          <w:iCs/>
        </w:rPr>
        <w:t>;</w:t>
      </w:r>
    </w:p>
    <w:p w:rsidR="00B45DC9" w:rsidRPr="00B45DC9" w:rsidRDefault="00B45DC9" w:rsidP="00B45DC9">
      <w:pPr>
        <w:pStyle w:val="SingleTxtG"/>
        <w:rPr>
          <w:i/>
          <w:iCs/>
        </w:rPr>
      </w:pPr>
      <w:r w:rsidRPr="00B45DC9">
        <w:rPr>
          <w:i/>
          <w:iCs/>
        </w:rPr>
        <w:t>n est le numéro d</w:t>
      </w:r>
      <w:r>
        <w:rPr>
          <w:i/>
          <w:iCs/>
        </w:rPr>
        <w:t>’</w:t>
      </w:r>
      <w:r w:rsidRPr="00B45DC9">
        <w:rPr>
          <w:i/>
          <w:iCs/>
        </w:rPr>
        <w:t>itération, à compter de zéro (indexation dans Math</w:t>
      </w:r>
      <w:r w:rsidR="00D74BCF" w:rsidRPr="00B45DC9">
        <w:rPr>
          <w:i/>
          <w:iCs/>
        </w:rPr>
        <w:t>cad</w:t>
      </w:r>
      <w:r w:rsidRPr="00B45DC9">
        <w:rPr>
          <w:i/>
          <w:iCs/>
        </w:rPr>
        <w:t>)</w:t>
      </w:r>
      <w:r w:rsidR="00046B3C">
        <w:rPr>
          <w:i/>
          <w:iCs/>
        </w:rPr>
        <w:t> </w:t>
      </w:r>
      <w:r w:rsidRPr="00B45DC9">
        <w:rPr>
          <w:i/>
          <w:iCs/>
        </w:rPr>
        <w:t>;</w:t>
      </w:r>
    </w:p>
    <w:p w:rsidR="00B45DC9" w:rsidRPr="00B45DC9" w:rsidRDefault="00B45DC9" w:rsidP="00B45DC9">
      <w:pPr>
        <w:pStyle w:val="SingleTxtG"/>
        <w:rPr>
          <w:i/>
          <w:iCs/>
        </w:rPr>
      </w:pPr>
      <w:r w:rsidRPr="00B45DC9">
        <w:rPr>
          <w:i/>
          <w:iCs/>
        </w:rPr>
        <w:t>d</w:t>
      </w:r>
      <w:r w:rsidRPr="00B45DC9">
        <w:rPr>
          <w:i/>
          <w:iCs/>
          <w:vertAlign w:val="subscript"/>
        </w:rPr>
        <w:t>n</w:t>
      </w:r>
      <w:r w:rsidRPr="00046B3C">
        <w:rPr>
          <w:i/>
          <w:iCs/>
        </w:rPr>
        <w:t xml:space="preserve"> </w:t>
      </w:r>
      <w:r w:rsidRPr="00B45DC9">
        <w:rPr>
          <w:i/>
          <w:iCs/>
        </w:rPr>
        <w:t>est</w:t>
      </w:r>
      <w:r w:rsidRPr="00B45DC9">
        <w:rPr>
          <w:i/>
          <w:iCs/>
          <w:vertAlign w:val="subscript"/>
        </w:rPr>
        <w:t xml:space="preserve"> </w:t>
      </w:r>
      <w:r w:rsidRPr="00B45DC9">
        <w:rPr>
          <w:i/>
          <w:iCs/>
        </w:rPr>
        <w:t>l</w:t>
      </w:r>
      <w:r>
        <w:rPr>
          <w:i/>
          <w:iCs/>
        </w:rPr>
        <w:t>’</w:t>
      </w:r>
      <w:r w:rsidRPr="00B45DC9">
        <w:rPr>
          <w:i/>
          <w:iCs/>
        </w:rPr>
        <w:t xml:space="preserve"> épaisseur moyenne de l</w:t>
      </w:r>
      <w:r>
        <w:rPr>
          <w:i/>
          <w:iCs/>
        </w:rPr>
        <w:t>’</w:t>
      </w:r>
      <w:r w:rsidRPr="00B45DC9">
        <w:rPr>
          <w:i/>
          <w:iCs/>
        </w:rPr>
        <w:t>isolant, obtenue par l</w:t>
      </w:r>
      <w:r>
        <w:rPr>
          <w:i/>
          <w:iCs/>
        </w:rPr>
        <w:t>’</w:t>
      </w:r>
      <w:r w:rsidRPr="00B45DC9">
        <w:rPr>
          <w:i/>
          <w:iCs/>
        </w:rPr>
        <w:t>itération n, m</w:t>
      </w:r>
      <w:r w:rsidR="00046B3C">
        <w:rPr>
          <w:i/>
          <w:iCs/>
        </w:rPr>
        <w:t> </w:t>
      </w:r>
      <w:r w:rsidRPr="00B45DC9">
        <w:rPr>
          <w:i/>
          <w:iCs/>
        </w:rPr>
        <w:t>;</w:t>
      </w:r>
    </w:p>
    <w:p w:rsidR="00B45DC9" w:rsidRPr="00B45DC9" w:rsidRDefault="00B45DC9" w:rsidP="00B45DC9">
      <w:pPr>
        <w:pStyle w:val="SingleTxtG"/>
        <w:rPr>
          <w:i/>
          <w:iCs/>
        </w:rPr>
      </w:pPr>
      <w:r w:rsidRPr="00B45DC9">
        <w:rPr>
          <w:i/>
          <w:iCs/>
        </w:rPr>
        <w:t>LE</w:t>
      </w:r>
      <w:r w:rsidR="00D74BCF" w:rsidRPr="00B45DC9">
        <w:rPr>
          <w:i/>
          <w:iCs/>
          <w:vertAlign w:val="subscript"/>
        </w:rPr>
        <w:t>n</w:t>
      </w:r>
      <w:r w:rsidRPr="00046B3C">
        <w:rPr>
          <w:i/>
          <w:iCs/>
        </w:rPr>
        <w:t xml:space="preserve"> </w:t>
      </w:r>
      <w:r w:rsidRPr="00B45DC9">
        <w:rPr>
          <w:i/>
          <w:iCs/>
        </w:rPr>
        <w:t>est</w:t>
      </w:r>
      <w:r>
        <w:rPr>
          <w:i/>
          <w:iCs/>
        </w:rPr>
        <w:t xml:space="preserve"> </w:t>
      </w:r>
      <w:r w:rsidR="00046B3C">
        <w:rPr>
          <w:i/>
          <w:iCs/>
        </w:rPr>
        <w:t>la</w:t>
      </w:r>
      <w:r w:rsidRPr="00B45DC9">
        <w:rPr>
          <w:i/>
          <w:iCs/>
        </w:rPr>
        <w:t xml:space="preserve"> longueur extérieure calculée de la caisse du wagon, obtenue par l</w:t>
      </w:r>
      <w:r>
        <w:rPr>
          <w:i/>
          <w:iCs/>
        </w:rPr>
        <w:t>’</w:t>
      </w:r>
      <w:r w:rsidRPr="00B45DC9">
        <w:rPr>
          <w:i/>
          <w:iCs/>
        </w:rPr>
        <w:t>itération n, m</w:t>
      </w:r>
      <w:r w:rsidR="00046B3C">
        <w:rPr>
          <w:i/>
          <w:iCs/>
        </w:rPr>
        <w:t> </w:t>
      </w:r>
      <w:r w:rsidRPr="00B45DC9">
        <w:rPr>
          <w:i/>
          <w:iCs/>
        </w:rPr>
        <w:t>;</w:t>
      </w:r>
    </w:p>
    <w:p w:rsidR="00B45DC9" w:rsidRPr="00B45DC9" w:rsidRDefault="00B45DC9" w:rsidP="00B45DC9">
      <w:pPr>
        <w:pStyle w:val="SingleTxtG"/>
        <w:rPr>
          <w:i/>
          <w:iCs/>
        </w:rPr>
      </w:pPr>
      <w:r w:rsidRPr="00B45DC9">
        <w:rPr>
          <w:i/>
          <w:iCs/>
        </w:rPr>
        <w:t>WE</w:t>
      </w:r>
      <w:r w:rsidRPr="00B45DC9">
        <w:rPr>
          <w:i/>
          <w:iCs/>
          <w:vertAlign w:val="subscript"/>
        </w:rPr>
        <w:t>n</w:t>
      </w:r>
      <w:r w:rsidR="00046B3C">
        <w:rPr>
          <w:i/>
          <w:iCs/>
        </w:rPr>
        <w:t xml:space="preserve"> </w:t>
      </w:r>
      <w:r w:rsidRPr="00B45DC9">
        <w:rPr>
          <w:i/>
          <w:iCs/>
        </w:rPr>
        <w:t>- idem pour la largeur, m</w:t>
      </w:r>
      <w:r w:rsidR="00046B3C">
        <w:rPr>
          <w:i/>
          <w:iCs/>
        </w:rPr>
        <w:t> </w:t>
      </w:r>
      <w:r w:rsidRPr="00B45DC9">
        <w:rPr>
          <w:i/>
          <w:iCs/>
        </w:rPr>
        <w:t>;</w:t>
      </w:r>
    </w:p>
    <w:p w:rsidR="00B45DC9" w:rsidRPr="00B45DC9" w:rsidRDefault="00B45DC9" w:rsidP="00B45DC9">
      <w:pPr>
        <w:pStyle w:val="SingleTxtG"/>
        <w:rPr>
          <w:i/>
          <w:iCs/>
        </w:rPr>
      </w:pPr>
      <w:r w:rsidRPr="00B45DC9">
        <w:rPr>
          <w:i/>
          <w:iCs/>
        </w:rPr>
        <w:t>We</w:t>
      </w:r>
      <w:r w:rsidRPr="00B45DC9">
        <w:rPr>
          <w:i/>
          <w:iCs/>
          <w:vertAlign w:val="subscript"/>
        </w:rPr>
        <w:t>n</w:t>
      </w:r>
      <w:r w:rsidRPr="001077EE">
        <w:rPr>
          <w:i/>
          <w:iCs/>
        </w:rPr>
        <w:t xml:space="preserve"> </w:t>
      </w:r>
      <w:r w:rsidRPr="00B45DC9">
        <w:rPr>
          <w:i/>
          <w:iCs/>
        </w:rPr>
        <w:t>- idem pour la hauteur des parois latérales, m</w:t>
      </w:r>
      <w:r w:rsidR="00046B3C">
        <w:rPr>
          <w:i/>
          <w:iCs/>
        </w:rPr>
        <w:t> </w:t>
      </w:r>
      <w:r w:rsidRPr="00B45DC9">
        <w:rPr>
          <w:i/>
          <w:iCs/>
        </w:rPr>
        <w:t>;</w:t>
      </w:r>
    </w:p>
    <w:p w:rsidR="00B45DC9" w:rsidRPr="00B45DC9" w:rsidRDefault="00B45DC9" w:rsidP="00B45DC9">
      <w:pPr>
        <w:pStyle w:val="SingleTxtG"/>
        <w:rPr>
          <w:i/>
          <w:iCs/>
        </w:rPr>
      </w:pPr>
      <w:r w:rsidRPr="00B45DC9">
        <w:rPr>
          <w:i/>
          <w:iCs/>
        </w:rPr>
        <w:t>HE</w:t>
      </w:r>
      <w:r w:rsidRPr="00B45DC9">
        <w:rPr>
          <w:i/>
          <w:iCs/>
          <w:vertAlign w:val="subscript"/>
        </w:rPr>
        <w:t>n</w:t>
      </w:r>
      <w:r w:rsidRPr="001077EE">
        <w:rPr>
          <w:i/>
          <w:iCs/>
        </w:rPr>
        <w:t xml:space="preserve"> </w:t>
      </w:r>
      <w:r w:rsidRPr="00B45DC9">
        <w:rPr>
          <w:i/>
          <w:iCs/>
        </w:rPr>
        <w:t>- idem pour la hauteur sur l</w:t>
      </w:r>
      <w:r>
        <w:rPr>
          <w:i/>
          <w:iCs/>
        </w:rPr>
        <w:t>’</w:t>
      </w:r>
      <w:r w:rsidRPr="00B45DC9">
        <w:rPr>
          <w:i/>
          <w:iCs/>
        </w:rPr>
        <w:t>axe longitudinal central, m</w:t>
      </w:r>
      <w:r w:rsidR="00046B3C">
        <w:rPr>
          <w:i/>
          <w:iCs/>
        </w:rPr>
        <w:t> </w:t>
      </w:r>
      <w:r w:rsidRPr="00B45DC9">
        <w:rPr>
          <w:i/>
          <w:iCs/>
        </w:rPr>
        <w:t>;</w:t>
      </w:r>
    </w:p>
    <w:p w:rsidR="00B45DC9" w:rsidRPr="00B45DC9" w:rsidRDefault="00B45DC9" w:rsidP="00B45DC9">
      <w:pPr>
        <w:pStyle w:val="SingleTxtG"/>
        <w:rPr>
          <w:i/>
          <w:iCs/>
        </w:rPr>
      </w:pPr>
      <w:r w:rsidRPr="00B45DC9">
        <w:rPr>
          <w:i/>
          <w:iCs/>
        </w:rPr>
        <w:t>S</w:t>
      </w:r>
      <w:r w:rsidRPr="00B45DC9">
        <w:rPr>
          <w:i/>
          <w:iCs/>
          <w:vertAlign w:val="subscript"/>
        </w:rPr>
        <w:t>n</w:t>
      </w:r>
      <w:r w:rsidRPr="00046B3C">
        <w:rPr>
          <w:i/>
          <w:iCs/>
        </w:rPr>
        <w:t xml:space="preserve"> </w:t>
      </w:r>
      <w:r w:rsidRPr="00B45DC9">
        <w:rPr>
          <w:i/>
          <w:iCs/>
        </w:rPr>
        <w:t>est la</w:t>
      </w:r>
      <w:r>
        <w:rPr>
          <w:i/>
          <w:iCs/>
        </w:rPr>
        <w:t xml:space="preserve"> </w:t>
      </w:r>
      <w:r w:rsidRPr="00B45DC9">
        <w:rPr>
          <w:i/>
          <w:iCs/>
        </w:rPr>
        <w:t>surface</w:t>
      </w:r>
      <w:r>
        <w:rPr>
          <w:i/>
          <w:iCs/>
        </w:rPr>
        <w:t xml:space="preserve"> </w:t>
      </w:r>
      <w:r w:rsidRPr="00B45DC9">
        <w:rPr>
          <w:i/>
          <w:iCs/>
        </w:rPr>
        <w:t>moyenne calculée de la caisse du wagon, obtenue par l</w:t>
      </w:r>
      <w:r>
        <w:rPr>
          <w:i/>
          <w:iCs/>
        </w:rPr>
        <w:t>’</w:t>
      </w:r>
      <w:r w:rsidRPr="00B45DC9">
        <w:rPr>
          <w:i/>
          <w:iCs/>
        </w:rPr>
        <w:t>itération n, m</w:t>
      </w:r>
      <w:r w:rsidR="00046B3C">
        <w:rPr>
          <w:i/>
          <w:iCs/>
        </w:rPr>
        <w:t> </w:t>
      </w:r>
      <w:r w:rsidRPr="00B45DC9">
        <w:rPr>
          <w:i/>
          <w:iCs/>
        </w:rPr>
        <w:t>;</w:t>
      </w:r>
    </w:p>
    <w:p w:rsidR="00B45DC9" w:rsidRPr="00B45DC9" w:rsidRDefault="00B45DC9" w:rsidP="00B45DC9">
      <w:pPr>
        <w:pStyle w:val="SingleTxtG"/>
        <w:rPr>
          <w:i/>
          <w:iCs/>
        </w:rPr>
      </w:pPr>
      <w:r w:rsidRPr="00B45DC9">
        <w:rPr>
          <w:i/>
          <w:iCs/>
        </w:rPr>
        <w:t>coefK_C</w:t>
      </w:r>
      <w:r w:rsidRPr="00B45DC9">
        <w:rPr>
          <w:i/>
          <w:iCs/>
          <w:vertAlign w:val="subscript"/>
        </w:rPr>
        <w:t xml:space="preserve">n </w:t>
      </w:r>
      <w:r w:rsidRPr="00B45DC9">
        <w:rPr>
          <w:i/>
          <w:iCs/>
        </w:rPr>
        <w:t>est le</w:t>
      </w:r>
      <w:r>
        <w:rPr>
          <w:i/>
          <w:iCs/>
          <w:vertAlign w:val="subscript"/>
        </w:rPr>
        <w:t xml:space="preserve"> </w:t>
      </w:r>
      <w:r w:rsidRPr="00B45DC9">
        <w:rPr>
          <w:i/>
          <w:iCs/>
        </w:rPr>
        <w:t>coefficient K calculé, obtenu par l</w:t>
      </w:r>
      <w:r>
        <w:rPr>
          <w:i/>
          <w:iCs/>
        </w:rPr>
        <w:t>’</w:t>
      </w:r>
      <w:r w:rsidRPr="00B45DC9">
        <w:rPr>
          <w:i/>
          <w:iCs/>
        </w:rPr>
        <w:t xml:space="preserve">itération n selon la méthode C, </w:t>
      </w:r>
      <w:r w:rsidRPr="00B45DC9">
        <w:rPr>
          <w:i/>
        </w:rPr>
        <w:t>W/(m</w:t>
      </w:r>
      <w:r w:rsidRPr="00B45DC9">
        <w:rPr>
          <w:i/>
          <w:vertAlign w:val="superscript"/>
        </w:rPr>
        <w:t>2</w:t>
      </w:r>
      <w:r w:rsidRPr="00B45DC9">
        <w:rPr>
          <w:rFonts w:ascii="Cambria Math" w:hAnsi="Cambria Math" w:cs="Cambria Math"/>
          <w:i/>
        </w:rPr>
        <w:t>⋅</w:t>
      </w:r>
      <w:r w:rsidRPr="00B45DC9">
        <w:rPr>
          <w:i/>
        </w:rPr>
        <w:t>K)</w:t>
      </w:r>
      <w:r w:rsidR="00046B3C">
        <w:rPr>
          <w:i/>
        </w:rPr>
        <w:t> </w:t>
      </w:r>
      <w:r w:rsidRPr="00B45DC9">
        <w:rPr>
          <w:i/>
          <w:iCs/>
        </w:rPr>
        <w:t>;</w:t>
      </w:r>
    </w:p>
    <w:p w:rsidR="00B45DC9" w:rsidRPr="00B45DC9" w:rsidRDefault="00B45DC9" w:rsidP="00B45DC9">
      <w:pPr>
        <w:pStyle w:val="SingleTxtG"/>
        <w:rPr>
          <w:i/>
          <w:iCs/>
        </w:rPr>
      </w:pPr>
      <w:r w:rsidRPr="00B45DC9">
        <w:rPr>
          <w:i/>
          <w:iCs/>
        </w:rPr>
        <w:t>Δd est le</w:t>
      </w:r>
      <w:r>
        <w:rPr>
          <w:i/>
          <w:iCs/>
        </w:rPr>
        <w:t xml:space="preserve"> </w:t>
      </w:r>
      <w:r w:rsidRPr="00B45DC9">
        <w:rPr>
          <w:i/>
          <w:iCs/>
        </w:rPr>
        <w:t>module de changement absolu de l</w:t>
      </w:r>
      <w:r>
        <w:rPr>
          <w:i/>
          <w:iCs/>
        </w:rPr>
        <w:t>’</w:t>
      </w:r>
      <w:r w:rsidRPr="00B45DC9">
        <w:rPr>
          <w:i/>
          <w:iCs/>
        </w:rPr>
        <w:t>épaisseur moyenne calculée de l</w:t>
      </w:r>
      <w:r>
        <w:rPr>
          <w:i/>
          <w:iCs/>
        </w:rPr>
        <w:t>’</w:t>
      </w:r>
      <w:r w:rsidR="00046B3C">
        <w:rPr>
          <w:i/>
          <w:iCs/>
        </w:rPr>
        <w:t>isolant, m </w:t>
      </w:r>
      <w:r w:rsidRPr="00B45DC9">
        <w:rPr>
          <w:i/>
          <w:iCs/>
        </w:rPr>
        <w:t>(Δd&gt;prec).</w:t>
      </w:r>
    </w:p>
    <w:p w:rsidR="00B45DC9" w:rsidRPr="00B45DC9" w:rsidRDefault="00B45DC9" w:rsidP="00B45DC9">
      <w:pPr>
        <w:pStyle w:val="SingleTxtG"/>
      </w:pPr>
      <w:r w:rsidRPr="00B45DC9">
        <w:t>Résultat du choix des paramètres (</w:t>
      </w:r>
      <w:r w:rsidR="00046B3C" w:rsidRPr="00B45DC9">
        <w:t>colonnes</w:t>
      </w:r>
      <w:r w:rsidRPr="00B45DC9">
        <w:t xml:space="preserve"> d | LE | WE | We | HE | S | coefK_C) dans les itérations (lignes) :</w:t>
      </w:r>
    </w:p>
    <w:p w:rsidR="00B45DC9" w:rsidRPr="00B45DC9" w:rsidRDefault="00B45DC9" w:rsidP="00B45DC9">
      <w:pPr>
        <w:pStyle w:val="SingleTxtG"/>
      </w:pPr>
      <w:r w:rsidRPr="00B45DC9">
        <w:rPr>
          <w:noProof/>
          <w:lang w:val="en-US"/>
        </w:rPr>
        <w:drawing>
          <wp:inline distT="0" distB="0" distL="0" distR="0" wp14:anchorId="6E2FEFD7" wp14:editId="4010FFB2">
            <wp:extent cx="4905375" cy="647700"/>
            <wp:effectExtent l="1905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7" cstate="print"/>
                    <a:srcRect/>
                    <a:stretch>
                      <a:fillRect/>
                    </a:stretch>
                  </pic:blipFill>
                  <pic:spPr bwMode="auto">
                    <a:xfrm>
                      <a:off x="0" y="0"/>
                      <a:ext cx="4905375" cy="647700"/>
                    </a:xfrm>
                    <a:prstGeom prst="rect">
                      <a:avLst/>
                    </a:prstGeom>
                    <a:noFill/>
                    <a:ln w="9525">
                      <a:noFill/>
                      <a:miter lim="800000"/>
                      <a:headEnd/>
                      <a:tailEnd/>
                    </a:ln>
                  </pic:spPr>
                </pic:pic>
              </a:graphicData>
            </a:graphic>
          </wp:inline>
        </w:drawing>
      </w:r>
    </w:p>
    <w:p w:rsidR="00B45DC9" w:rsidRPr="00046B3C" w:rsidRDefault="00046B3C" w:rsidP="00046B3C">
      <w:pPr>
        <w:pStyle w:val="SingleTxtG"/>
        <w:spacing w:before="240" w:after="0"/>
        <w:jc w:val="center"/>
        <w:rPr>
          <w:u w:val="single"/>
        </w:rPr>
      </w:pPr>
      <w:r>
        <w:rPr>
          <w:u w:val="single"/>
        </w:rPr>
        <w:tab/>
      </w:r>
      <w:r>
        <w:rPr>
          <w:u w:val="single"/>
        </w:rPr>
        <w:tab/>
      </w:r>
      <w:r>
        <w:rPr>
          <w:u w:val="single"/>
        </w:rPr>
        <w:tab/>
      </w:r>
    </w:p>
    <w:sectPr w:rsidR="00B45DC9" w:rsidRPr="00046B3C" w:rsidSect="00B45DC9">
      <w:headerReference w:type="even" r:id="rId68"/>
      <w:headerReference w:type="default" r:id="rId69"/>
      <w:footerReference w:type="even" r:id="rId70"/>
      <w:footerReference w:type="default" r:id="rId71"/>
      <w:headerReference w:type="first" r:id="rId72"/>
      <w:footerReference w:type="first" r:id="rId7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C9" w:rsidRDefault="00B45DC9" w:rsidP="00F95C08">
      <w:pPr>
        <w:spacing w:line="240" w:lineRule="auto"/>
      </w:pPr>
    </w:p>
  </w:endnote>
  <w:endnote w:type="continuationSeparator" w:id="0">
    <w:p w:rsidR="00B45DC9" w:rsidRPr="00AC3823" w:rsidRDefault="00B45DC9" w:rsidP="00AC3823">
      <w:pPr>
        <w:pStyle w:val="Footer"/>
      </w:pPr>
    </w:p>
  </w:endnote>
  <w:endnote w:type="continuationNotice" w:id="1">
    <w:p w:rsidR="00B45DC9" w:rsidRDefault="00B45D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C9" w:rsidRPr="00B45DC9" w:rsidRDefault="00B45DC9" w:rsidP="00B45DC9">
    <w:pPr>
      <w:pStyle w:val="Footer"/>
      <w:tabs>
        <w:tab w:val="right" w:pos="9638"/>
      </w:tabs>
    </w:pPr>
    <w:r w:rsidRPr="00B45DC9">
      <w:rPr>
        <w:b/>
        <w:sz w:val="18"/>
      </w:rPr>
      <w:fldChar w:fldCharType="begin"/>
    </w:r>
    <w:r w:rsidRPr="00B45DC9">
      <w:rPr>
        <w:b/>
        <w:sz w:val="18"/>
      </w:rPr>
      <w:instrText xml:space="preserve"> PAGE  \* MERGEFORMAT </w:instrText>
    </w:r>
    <w:r w:rsidRPr="00B45DC9">
      <w:rPr>
        <w:b/>
        <w:sz w:val="18"/>
      </w:rPr>
      <w:fldChar w:fldCharType="separate"/>
    </w:r>
    <w:r w:rsidR="005C5144">
      <w:rPr>
        <w:b/>
        <w:noProof/>
        <w:sz w:val="18"/>
      </w:rPr>
      <w:t>2</w:t>
    </w:r>
    <w:r w:rsidRPr="00B45DC9">
      <w:rPr>
        <w:b/>
        <w:sz w:val="18"/>
      </w:rPr>
      <w:fldChar w:fldCharType="end"/>
    </w:r>
    <w:r>
      <w:rPr>
        <w:b/>
        <w:sz w:val="18"/>
      </w:rPr>
      <w:tab/>
    </w:r>
    <w:r>
      <w:t>GE.16-12446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C9" w:rsidRPr="00B45DC9" w:rsidRDefault="00B45DC9" w:rsidP="00B45DC9">
    <w:pPr>
      <w:pStyle w:val="Footer"/>
      <w:tabs>
        <w:tab w:val="right" w:pos="9638"/>
      </w:tabs>
      <w:rPr>
        <w:b/>
        <w:sz w:val="18"/>
      </w:rPr>
    </w:pPr>
    <w:r>
      <w:t>GE.16-12446</w:t>
    </w:r>
    <w:r>
      <w:tab/>
    </w:r>
    <w:r w:rsidRPr="00B45DC9">
      <w:rPr>
        <w:b/>
        <w:sz w:val="18"/>
      </w:rPr>
      <w:fldChar w:fldCharType="begin"/>
    </w:r>
    <w:r w:rsidRPr="00B45DC9">
      <w:rPr>
        <w:b/>
        <w:sz w:val="18"/>
      </w:rPr>
      <w:instrText xml:space="preserve"> PAGE  \* MERGEFORMAT </w:instrText>
    </w:r>
    <w:r w:rsidRPr="00B45DC9">
      <w:rPr>
        <w:b/>
        <w:sz w:val="18"/>
      </w:rPr>
      <w:fldChar w:fldCharType="separate"/>
    </w:r>
    <w:r w:rsidR="005C5144">
      <w:rPr>
        <w:b/>
        <w:noProof/>
        <w:sz w:val="18"/>
      </w:rPr>
      <w:t>3</w:t>
    </w:r>
    <w:r w:rsidRPr="00B45D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C9" w:rsidRPr="00B45DC9" w:rsidRDefault="00B45DC9" w:rsidP="00B45DC9">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3D63CB48" wp14:editId="387A5BA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16-12446  (F)</w:t>
    </w:r>
    <w:r w:rsidR="00177FDB">
      <w:rPr>
        <w:sz w:val="20"/>
      </w:rPr>
      <w:t xml:space="preserve">    150816    2</w:t>
    </w:r>
    <w:r w:rsidR="00E62DE4">
      <w:rPr>
        <w:sz w:val="20"/>
      </w:rPr>
      <w:t>2</w:t>
    </w:r>
    <w:r w:rsidR="00177FDB">
      <w:rPr>
        <w:sz w:val="20"/>
      </w:rPr>
      <w:t>0816</w:t>
    </w:r>
    <w:r>
      <w:rPr>
        <w:sz w:val="20"/>
      </w:rPr>
      <w:br/>
    </w:r>
    <w:r w:rsidRPr="00B45DC9">
      <w:rPr>
        <w:rFonts w:ascii="C39T30Lfz" w:hAnsi="C39T30Lfz"/>
        <w:sz w:val="56"/>
      </w:rPr>
      <w:t></w:t>
    </w:r>
    <w:r w:rsidRPr="00B45DC9">
      <w:rPr>
        <w:rFonts w:ascii="C39T30Lfz" w:hAnsi="C39T30Lfz"/>
        <w:sz w:val="56"/>
      </w:rPr>
      <w:t></w:t>
    </w:r>
    <w:r w:rsidRPr="00B45DC9">
      <w:rPr>
        <w:rFonts w:ascii="C39T30Lfz" w:hAnsi="C39T30Lfz"/>
        <w:sz w:val="56"/>
      </w:rPr>
      <w:t></w:t>
    </w:r>
    <w:r w:rsidRPr="00B45DC9">
      <w:rPr>
        <w:rFonts w:ascii="C39T30Lfz" w:hAnsi="C39T30Lfz"/>
        <w:sz w:val="56"/>
      </w:rPr>
      <w:t></w:t>
    </w:r>
    <w:r w:rsidRPr="00B45DC9">
      <w:rPr>
        <w:rFonts w:ascii="C39T30Lfz" w:hAnsi="C39T30Lfz"/>
        <w:sz w:val="56"/>
      </w:rPr>
      <w:t></w:t>
    </w:r>
    <w:r w:rsidRPr="00B45DC9">
      <w:rPr>
        <w:rFonts w:ascii="C39T30Lfz" w:hAnsi="C39T30Lfz"/>
        <w:sz w:val="56"/>
      </w:rPr>
      <w:t></w:t>
    </w:r>
    <w:r w:rsidRPr="00B45DC9">
      <w:rPr>
        <w:rFonts w:ascii="C39T30Lfz" w:hAnsi="C39T30Lfz"/>
        <w:sz w:val="56"/>
      </w:rPr>
      <w:t></w:t>
    </w:r>
    <w:r w:rsidRPr="00B45DC9">
      <w:rPr>
        <w:rFonts w:ascii="C39T30Lfz" w:hAnsi="C39T30Lfz"/>
        <w:sz w:val="56"/>
      </w:rPr>
      <w:t></w:t>
    </w:r>
    <w:r w:rsidRPr="00B45DC9">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C9" w:rsidRPr="00AC3823" w:rsidRDefault="00B45DC9" w:rsidP="00AC3823">
      <w:pPr>
        <w:pStyle w:val="Footer"/>
        <w:tabs>
          <w:tab w:val="right" w:pos="2155"/>
        </w:tabs>
        <w:spacing w:after="80" w:line="240" w:lineRule="atLeast"/>
        <w:ind w:left="680"/>
        <w:rPr>
          <w:u w:val="single"/>
        </w:rPr>
      </w:pPr>
      <w:r>
        <w:rPr>
          <w:u w:val="single"/>
        </w:rPr>
        <w:tab/>
      </w:r>
    </w:p>
  </w:footnote>
  <w:footnote w:type="continuationSeparator" w:id="0">
    <w:p w:rsidR="00B45DC9" w:rsidRPr="00AC3823" w:rsidRDefault="00B45DC9" w:rsidP="00AC3823">
      <w:pPr>
        <w:pStyle w:val="Footer"/>
        <w:tabs>
          <w:tab w:val="right" w:pos="2155"/>
        </w:tabs>
        <w:spacing w:after="80" w:line="240" w:lineRule="atLeast"/>
        <w:ind w:left="680"/>
        <w:rPr>
          <w:u w:val="single"/>
        </w:rPr>
      </w:pPr>
      <w:r>
        <w:rPr>
          <w:u w:val="single"/>
        </w:rPr>
        <w:tab/>
      </w:r>
    </w:p>
  </w:footnote>
  <w:footnote w:type="continuationNotice" w:id="1">
    <w:p w:rsidR="00B45DC9" w:rsidRPr="00AC3823" w:rsidRDefault="00B45DC9">
      <w:pPr>
        <w:spacing w:line="240" w:lineRule="auto"/>
        <w:rPr>
          <w:sz w:val="2"/>
          <w:szCs w:val="2"/>
        </w:rPr>
      </w:pPr>
    </w:p>
  </w:footnote>
  <w:footnote w:id="2">
    <w:p w:rsidR="00B45DC9" w:rsidRPr="0032313F" w:rsidRDefault="00B45DC9" w:rsidP="00DD4C4A">
      <w:pPr>
        <w:pStyle w:val="FootnoteText"/>
        <w:rPr>
          <w:lang w:val="ru-RU"/>
        </w:rPr>
      </w:pPr>
      <w:r>
        <w:tab/>
      </w:r>
      <w:r w:rsidRPr="00DD4C4A">
        <w:rPr>
          <w:rStyle w:val="FootnoteReference"/>
        </w:rPr>
        <w:footnoteRef/>
      </w:r>
      <w:r w:rsidRPr="0032313F">
        <w:rPr>
          <w:lang w:val="ru-RU"/>
        </w:rPr>
        <w:t xml:space="preserve"> </w:t>
      </w:r>
      <w:r w:rsidRPr="0032313F">
        <w:rPr>
          <w:lang w:val="ru-RU"/>
        </w:rPr>
        <w:tab/>
      </w:r>
      <w:r>
        <w:t>Publication d’information de la Fédération de Russie, élaborée par le bureau d</w:t>
      </w:r>
      <w:r w:rsidRPr="00917F21">
        <w:t>’</w:t>
      </w:r>
      <w:r>
        <w:t xml:space="preserve">études RJD.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C9" w:rsidRPr="00B45DC9" w:rsidRDefault="00B45DC9">
    <w:pPr>
      <w:pStyle w:val="Header"/>
    </w:pPr>
    <w:r>
      <w:t>ECE/TRANS/WP.11/2016/6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C9" w:rsidRPr="00B45DC9" w:rsidRDefault="00B45DC9" w:rsidP="00B45DC9">
    <w:pPr>
      <w:pStyle w:val="Header"/>
      <w:jc w:val="right"/>
    </w:pPr>
    <w:r>
      <w:t>ECE/TRANS/WP.11/2016/6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E4" w:rsidRDefault="00E6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8A"/>
    <w:rsid w:val="00017F94"/>
    <w:rsid w:val="00023842"/>
    <w:rsid w:val="0002637C"/>
    <w:rsid w:val="00027554"/>
    <w:rsid w:val="00031860"/>
    <w:rsid w:val="000334F9"/>
    <w:rsid w:val="00046B3C"/>
    <w:rsid w:val="0007796D"/>
    <w:rsid w:val="000A51C6"/>
    <w:rsid w:val="000B0F9B"/>
    <w:rsid w:val="000B7790"/>
    <w:rsid w:val="000D02F3"/>
    <w:rsid w:val="001077EE"/>
    <w:rsid w:val="00111F2F"/>
    <w:rsid w:val="00132CA8"/>
    <w:rsid w:val="0014365E"/>
    <w:rsid w:val="00143C66"/>
    <w:rsid w:val="00176178"/>
    <w:rsid w:val="00177FDB"/>
    <w:rsid w:val="00191790"/>
    <w:rsid w:val="00191E11"/>
    <w:rsid w:val="00197623"/>
    <w:rsid w:val="001C3535"/>
    <w:rsid w:val="001F525A"/>
    <w:rsid w:val="00223272"/>
    <w:rsid w:val="0024779E"/>
    <w:rsid w:val="00257168"/>
    <w:rsid w:val="00266B42"/>
    <w:rsid w:val="002744B8"/>
    <w:rsid w:val="002832AC"/>
    <w:rsid w:val="002D7C93"/>
    <w:rsid w:val="00305801"/>
    <w:rsid w:val="003372C9"/>
    <w:rsid w:val="003829F3"/>
    <w:rsid w:val="00382E5D"/>
    <w:rsid w:val="003916DE"/>
    <w:rsid w:val="00441C3B"/>
    <w:rsid w:val="00446FE5"/>
    <w:rsid w:val="00452396"/>
    <w:rsid w:val="004837D8"/>
    <w:rsid w:val="00491143"/>
    <w:rsid w:val="00492AB1"/>
    <w:rsid w:val="004E468C"/>
    <w:rsid w:val="00547065"/>
    <w:rsid w:val="005505B7"/>
    <w:rsid w:val="00573BE5"/>
    <w:rsid w:val="00586ED3"/>
    <w:rsid w:val="00596AA9"/>
    <w:rsid w:val="005C5144"/>
    <w:rsid w:val="00684C67"/>
    <w:rsid w:val="006F4E4C"/>
    <w:rsid w:val="0071601D"/>
    <w:rsid w:val="007A62E6"/>
    <w:rsid w:val="007F20FA"/>
    <w:rsid w:val="0080684C"/>
    <w:rsid w:val="00871C75"/>
    <w:rsid w:val="008776DC"/>
    <w:rsid w:val="00892907"/>
    <w:rsid w:val="008B238A"/>
    <w:rsid w:val="00960115"/>
    <w:rsid w:val="009705C8"/>
    <w:rsid w:val="009C1CF4"/>
    <w:rsid w:val="009F6B74"/>
    <w:rsid w:val="00A30353"/>
    <w:rsid w:val="00A30F25"/>
    <w:rsid w:val="00A91D73"/>
    <w:rsid w:val="00AB19D2"/>
    <w:rsid w:val="00AC3823"/>
    <w:rsid w:val="00AE323C"/>
    <w:rsid w:val="00AF0CB5"/>
    <w:rsid w:val="00B00181"/>
    <w:rsid w:val="00B00B0D"/>
    <w:rsid w:val="00B2352F"/>
    <w:rsid w:val="00B45DC9"/>
    <w:rsid w:val="00B56552"/>
    <w:rsid w:val="00B74479"/>
    <w:rsid w:val="00B765F7"/>
    <w:rsid w:val="00BA0CA9"/>
    <w:rsid w:val="00C02897"/>
    <w:rsid w:val="00C843FB"/>
    <w:rsid w:val="00D33E08"/>
    <w:rsid w:val="00D3439C"/>
    <w:rsid w:val="00D61D56"/>
    <w:rsid w:val="00D74BCF"/>
    <w:rsid w:val="00DB1831"/>
    <w:rsid w:val="00DD3BFD"/>
    <w:rsid w:val="00DD4C4A"/>
    <w:rsid w:val="00DF6678"/>
    <w:rsid w:val="00DF7959"/>
    <w:rsid w:val="00E07C02"/>
    <w:rsid w:val="00E61EA4"/>
    <w:rsid w:val="00E62DE4"/>
    <w:rsid w:val="00E85C74"/>
    <w:rsid w:val="00EA6547"/>
    <w:rsid w:val="00EF2E22"/>
    <w:rsid w:val="00F35BAF"/>
    <w:rsid w:val="00F660DF"/>
    <w:rsid w:val="00F80B5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29E468-7A83-46C5-BB21-FEC23AB9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45DC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png"/><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45.wmf"/><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3.gif"/><Relationship Id="rId1"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3245</Words>
  <Characters>18498</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ECE/TRANS/WP.11/2016/6</vt:lpstr>
      <vt:lpstr>ECE/TRANS/WP.11/2016/6</vt:lpstr>
    </vt:vector>
  </TitlesOfParts>
  <Company>DCM</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ECE/TRANS/WP.11/2016/6</dc:title>
  <dc:subject/>
  <dc:creator>Vigny</dc:creator>
  <cp:keywords/>
  <dc:description/>
  <cp:lastModifiedBy>Caillot</cp:lastModifiedBy>
  <cp:revision>2</cp:revision>
  <cp:lastPrinted>2016-08-22T13:34:00Z</cp:lastPrinted>
  <dcterms:created xsi:type="dcterms:W3CDTF">2016-08-23T16:16:00Z</dcterms:created>
  <dcterms:modified xsi:type="dcterms:W3CDTF">2016-08-23T16:16:00Z</dcterms:modified>
</cp:coreProperties>
</file>