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FB3" w:rsidRDefault="00325FB3" w:rsidP="00325FB3">
      <w:pPr>
        <w:spacing w:line="240" w:lineRule="auto"/>
        <w:rPr>
          <w:sz w:val="2"/>
        </w:rPr>
        <w:sectPr w:rsidR="00325FB3" w:rsidSect="00325FB3">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325FB3" w:rsidRDefault="00325FB3" w:rsidP="00325FB3">
      <w:pPr>
        <w:pStyle w:val="H1"/>
        <w:spacing w:after="120"/>
        <w:rPr>
          <w:sz w:val="28"/>
        </w:rPr>
      </w:pPr>
      <w:r>
        <w:rPr>
          <w:sz w:val="28"/>
        </w:rPr>
        <w:lastRenderedPageBreak/>
        <w:t>Commission économique pour l’Europe</w:t>
      </w:r>
    </w:p>
    <w:p w:rsidR="00325FB3" w:rsidRDefault="00325FB3" w:rsidP="00325FB3">
      <w:pPr>
        <w:pStyle w:val="H1"/>
        <w:spacing w:after="120" w:line="300" w:lineRule="exact"/>
        <w:rPr>
          <w:b w:val="0"/>
          <w:sz w:val="28"/>
        </w:rPr>
      </w:pPr>
      <w:r>
        <w:rPr>
          <w:b w:val="0"/>
          <w:sz w:val="28"/>
        </w:rPr>
        <w:t>Comité des transports intérieurs</w:t>
      </w:r>
    </w:p>
    <w:p w:rsidR="003D2B95" w:rsidRPr="006C6BAB" w:rsidRDefault="003D2B95" w:rsidP="003D2B9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6C6BAB">
        <w:t>Forum mondial de l</w:t>
      </w:r>
      <w:r>
        <w:t>’</w:t>
      </w:r>
      <w:r w:rsidRPr="006C6BAB">
        <w:t xml:space="preserve">harmonisation des Règlements </w:t>
      </w:r>
      <w:r>
        <w:br/>
      </w:r>
      <w:r w:rsidRPr="006C6BAB">
        <w:t>concernant les véhicules</w:t>
      </w:r>
    </w:p>
    <w:p w:rsidR="003D2B95" w:rsidRPr="003D2B95" w:rsidRDefault="003D2B95" w:rsidP="003D2B9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3D2B95" w:rsidRPr="006C6BAB" w:rsidRDefault="003D2B95" w:rsidP="003D2B9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6C6BAB">
        <w:t>168</w:t>
      </w:r>
      <w:r w:rsidRPr="006C6BAB">
        <w:rPr>
          <w:vertAlign w:val="superscript"/>
        </w:rPr>
        <w:t>e</w:t>
      </w:r>
      <w:r w:rsidRPr="006C6BAB">
        <w:t xml:space="preserve"> session</w:t>
      </w:r>
    </w:p>
    <w:p w:rsidR="003D2B95" w:rsidRPr="006C6BAB" w:rsidRDefault="003D2B95" w:rsidP="003D2B9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6C6BAB">
        <w:t>Genève, 8-11 mars 2016</w:t>
      </w:r>
    </w:p>
    <w:p w:rsidR="003D2B95" w:rsidRPr="006C6BAB" w:rsidRDefault="003D2B95" w:rsidP="003D2B9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6C6BAB">
        <w:t>Point 4.7.3 de l</w:t>
      </w:r>
      <w:r>
        <w:t>’</w:t>
      </w:r>
      <w:r w:rsidRPr="006C6BAB">
        <w:t>ordre du jour provisoire</w:t>
      </w:r>
    </w:p>
    <w:p w:rsidR="003D2B95" w:rsidRPr="006C6BAB" w:rsidRDefault="003D2B95" w:rsidP="003D2B9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6C6BAB">
        <w:t>Accord de 1958 – examen de projets d</w:t>
      </w:r>
      <w:r>
        <w:t>’</w:t>
      </w:r>
      <w:r w:rsidRPr="006C6BAB">
        <w:t xml:space="preserve">amendements </w:t>
      </w:r>
      <w:r>
        <w:br/>
      </w:r>
      <w:r w:rsidRPr="006C6BAB">
        <w:t>à des</w:t>
      </w:r>
      <w:r>
        <w:t xml:space="preserve"> </w:t>
      </w:r>
      <w:r w:rsidRPr="006C6BAB">
        <w:t>Règlements existants, proposés par le GRRF</w:t>
      </w:r>
    </w:p>
    <w:p w:rsidR="00325FB3" w:rsidRPr="003D2B95" w:rsidRDefault="00325FB3" w:rsidP="003D2B95">
      <w:pPr>
        <w:pStyle w:val="H1"/>
        <w:spacing w:line="120" w:lineRule="exact"/>
        <w:rPr>
          <w:b w:val="0"/>
          <w:sz w:val="10"/>
        </w:rPr>
      </w:pPr>
    </w:p>
    <w:p w:rsidR="003D2B95" w:rsidRPr="003D2B95" w:rsidRDefault="003D2B95" w:rsidP="003D2B95">
      <w:pPr>
        <w:spacing w:line="120" w:lineRule="exact"/>
        <w:rPr>
          <w:sz w:val="10"/>
        </w:rPr>
      </w:pPr>
    </w:p>
    <w:p w:rsidR="003D2B95" w:rsidRPr="003D2B95" w:rsidRDefault="003D2B95" w:rsidP="003D2B95">
      <w:pPr>
        <w:spacing w:line="120" w:lineRule="exact"/>
        <w:rPr>
          <w:sz w:val="10"/>
        </w:rPr>
      </w:pPr>
    </w:p>
    <w:p w:rsidR="00884964" w:rsidRPr="00884964" w:rsidRDefault="00884964" w:rsidP="00884964">
      <w:pPr>
        <w:framePr w:w="10008" w:h="432" w:hSpace="180" w:wrap="around" w:vAnchor="page" w:hAnchor="page" w:x="936"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sz w:val="17"/>
        </w:rPr>
      </w:pPr>
      <w:r>
        <w:rPr>
          <w:spacing w:val="5"/>
          <w:sz w:val="17"/>
          <w:szCs w:val="20"/>
        </w:rPr>
        <w:tab/>
        <w:t>*</w:t>
      </w:r>
      <w:r>
        <w:rPr>
          <w:spacing w:val="5"/>
          <w:sz w:val="17"/>
          <w:szCs w:val="20"/>
        </w:rPr>
        <w:tab/>
      </w:r>
      <w:r w:rsidRPr="00884964">
        <w:rPr>
          <w:spacing w:val="5"/>
          <w:sz w:val="17"/>
          <w:szCs w:val="20"/>
        </w:rPr>
        <w:t>Conformément au programme de travail du Comité des transports intérieurs pour la période 2014</w:t>
      </w:r>
      <w:r>
        <w:rPr>
          <w:spacing w:val="5"/>
          <w:sz w:val="17"/>
          <w:szCs w:val="20"/>
        </w:rPr>
        <w:t>-</w:t>
      </w:r>
      <w:r w:rsidRPr="00884964">
        <w:rPr>
          <w:spacing w:val="5"/>
          <w:sz w:val="17"/>
          <w:szCs w:val="20"/>
        </w:rPr>
        <w:t>2018 (ECE/TRANS/240, par. 105 et ECE/TRANS/2014/26, activité 02.4), le Forum mondial a pour mission d'élaborer, d'harmoniser et de mettre à jour les Règlements en vue d’améliorer les caractéristiques fonctionnelles des véhicules. Le présent document est soumis en vertu de ce mandat</w:t>
      </w:r>
      <w:r w:rsidRPr="00884964">
        <w:rPr>
          <w:spacing w:val="5"/>
          <w:sz w:val="17"/>
          <w:szCs w:val="20"/>
          <w:lang w:val="en-US"/>
        </w:rPr>
        <w:t>.</w:t>
      </w:r>
      <w:r w:rsidRPr="00884964">
        <w:rPr>
          <w:noProof/>
          <w:w w:val="100"/>
          <w:sz w:val="17"/>
          <w:lang w:val="en-GB" w:eastAsia="en-GB"/>
        </w:rPr>
        <mc:AlternateContent>
          <mc:Choice Requires="wps">
            <w:drawing>
              <wp:anchor distT="0" distB="0" distL="114300" distR="114300" simplePos="0" relativeHeight="251659264" behindDoc="0" locked="0" layoutInCell="1" allowOverlap="1" wp14:anchorId="12EF8445" wp14:editId="09B205F7">
                <wp:simplePos x="0" y="0"/>
                <wp:positionH relativeFrom="page">
                  <wp:posOffset>1087755</wp:posOffset>
                </wp:positionH>
                <wp:positionV relativeFrom="paragraph">
                  <wp:posOffset>-12700</wp:posOffset>
                </wp:positionV>
                <wp:extent cx="958291" cy="0"/>
                <wp:effectExtent l="0" t="0" r="13335" b="19050"/>
                <wp:wrapNone/>
                <wp:docPr id="4" name="Straight Connector 4"/>
                <wp:cNvGraphicFramePr/>
                <a:graphic xmlns:a="http://schemas.openxmlformats.org/drawingml/2006/main">
                  <a:graphicData uri="http://schemas.microsoft.com/office/word/2010/wordprocessingShape">
                    <wps:wsp>
                      <wps:cNvCnPr/>
                      <wps:spPr>
                        <a:xfrm>
                          <a:off x="0" y="0"/>
                          <a:ext cx="958291"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85.65pt,-1pt" to="161.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" strokecolor="#010000" strokeweight=".25pt">
                <w10:wrap anchorx="page"/>
              </v:line>
            </w:pict>
          </mc:Fallback>
        </mc:AlternateContent>
      </w:r>
    </w:p>
    <w:p w:rsidR="003D2B95" w:rsidRDefault="00884964" w:rsidP="0088496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CH"/>
        </w:rPr>
      </w:pPr>
      <w:r>
        <w:rPr>
          <w:lang w:val="fr-CH"/>
        </w:rPr>
        <w:tab/>
      </w:r>
      <w:r>
        <w:rPr>
          <w:lang w:val="fr-CH"/>
        </w:rPr>
        <w:tab/>
      </w:r>
      <w:r w:rsidR="003D2B95" w:rsidRPr="003D2B95">
        <w:rPr>
          <w:lang w:val="fr-CH"/>
        </w:rPr>
        <w:t>Proposition de complément</w:t>
      </w:r>
      <w:r w:rsidR="003D2B95" w:rsidRPr="003D2B95">
        <w:rPr>
          <w:bCs/>
          <w:lang w:val="fr-CH"/>
        </w:rPr>
        <w:t xml:space="preserve"> 2 à la série 01 d’amendements au</w:t>
      </w:r>
      <w:r>
        <w:rPr>
          <w:bCs/>
          <w:lang w:val="fr-CH"/>
        </w:rPr>
        <w:t> </w:t>
      </w:r>
      <w:r w:rsidR="003D2B95" w:rsidRPr="003D2B95">
        <w:rPr>
          <w:bCs/>
          <w:lang w:val="fr-CH"/>
        </w:rPr>
        <w:t xml:space="preserve">Règlement </w:t>
      </w:r>
      <w:r>
        <w:rPr>
          <w:bCs/>
          <w:lang w:val="fr-CH"/>
        </w:rPr>
        <w:t>n</w:t>
      </w:r>
      <w:r w:rsidR="003D2B95" w:rsidRPr="003D2B95">
        <w:rPr>
          <w:bCs/>
          <w:vertAlign w:val="superscript"/>
          <w:lang w:val="fr-CH"/>
        </w:rPr>
        <w:t>o </w:t>
      </w:r>
      <w:r w:rsidR="003D2B95" w:rsidRPr="003D2B95">
        <w:rPr>
          <w:bCs/>
          <w:lang w:val="fr-CH"/>
        </w:rPr>
        <w:t>131 (</w:t>
      </w:r>
      <w:r w:rsidR="003D2B95" w:rsidRPr="003D2B95">
        <w:rPr>
          <w:lang w:val="fr-CH"/>
        </w:rPr>
        <w:t>Systèmes avancés de freinage d’urgence</w:t>
      </w:r>
      <w:r>
        <w:rPr>
          <w:lang w:val="fr-CH"/>
        </w:rPr>
        <w:t> </w:t>
      </w:r>
      <w:r w:rsidR="003D2B95" w:rsidRPr="003D2B95">
        <w:rPr>
          <w:bCs/>
          <w:lang w:val="fr-CH"/>
        </w:rPr>
        <w:t>(AEBS))</w:t>
      </w:r>
    </w:p>
    <w:p w:rsidR="00884964" w:rsidRPr="00884964" w:rsidRDefault="00884964" w:rsidP="00884964">
      <w:pPr>
        <w:pStyle w:val="SingleTxt"/>
        <w:spacing w:after="0" w:line="120" w:lineRule="exact"/>
        <w:rPr>
          <w:sz w:val="10"/>
          <w:lang w:val="fr-CH"/>
        </w:rPr>
      </w:pPr>
    </w:p>
    <w:p w:rsidR="00884964" w:rsidRPr="00884964" w:rsidRDefault="00884964" w:rsidP="00884964">
      <w:pPr>
        <w:pStyle w:val="SingleTxt"/>
        <w:spacing w:after="0" w:line="120" w:lineRule="exact"/>
        <w:rPr>
          <w:sz w:val="10"/>
          <w:lang w:val="fr-CH"/>
        </w:rPr>
      </w:pPr>
    </w:p>
    <w:p w:rsidR="003D2B95" w:rsidRPr="00884964" w:rsidRDefault="00884964" w:rsidP="008849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3D2B95" w:rsidRPr="003D2B95">
        <w:rPr>
          <w:lang w:val="fr-CH"/>
        </w:rPr>
        <w:t xml:space="preserve">Communication du Groupe de travail en matière de roulement </w:t>
      </w:r>
      <w:r>
        <w:rPr>
          <w:lang w:val="fr-CH"/>
        </w:rPr>
        <w:br/>
      </w:r>
      <w:r w:rsidR="003D2B95" w:rsidRPr="003D2B95">
        <w:rPr>
          <w:lang w:val="fr-CH"/>
        </w:rPr>
        <w:t>et de freinage</w:t>
      </w:r>
      <w:r w:rsidR="00D8699C" w:rsidRPr="00884964">
        <w:rPr>
          <w:b w:val="0"/>
          <w:bCs/>
          <w:sz w:val="20"/>
          <w:szCs w:val="20"/>
          <w:lang w:val="fr-CH"/>
        </w:rPr>
        <w:t>*</w:t>
      </w:r>
    </w:p>
    <w:p w:rsidR="00884964" w:rsidRPr="00884964" w:rsidRDefault="00884964" w:rsidP="00884964">
      <w:pPr>
        <w:pStyle w:val="SingleTxt"/>
        <w:spacing w:after="0" w:line="120" w:lineRule="exact"/>
        <w:rPr>
          <w:sz w:val="10"/>
          <w:lang w:val="fr-CH"/>
        </w:rPr>
      </w:pPr>
    </w:p>
    <w:p w:rsidR="00884964" w:rsidRPr="00884964" w:rsidRDefault="00884964" w:rsidP="00884964">
      <w:pPr>
        <w:pStyle w:val="SingleTxt"/>
        <w:spacing w:after="0" w:line="120" w:lineRule="exact"/>
        <w:rPr>
          <w:sz w:val="10"/>
          <w:lang w:val="fr-CH"/>
        </w:rPr>
      </w:pPr>
    </w:p>
    <w:p w:rsidR="00884964" w:rsidRPr="00884964" w:rsidRDefault="00884964" w:rsidP="003D2B95">
      <w:pPr>
        <w:pStyle w:val="SingleTxt"/>
        <w:rPr>
          <w:w w:val="100"/>
          <w:lang w:val="fr-CH"/>
        </w:rPr>
      </w:pPr>
      <w:r>
        <w:rPr>
          <w:lang w:val="fr-CH"/>
        </w:rPr>
        <w:tab/>
      </w:r>
      <w:r w:rsidR="003D2B95" w:rsidRPr="00884964">
        <w:rPr>
          <w:w w:val="100"/>
          <w:lang w:val="fr-CH"/>
        </w:rPr>
        <w:t>Le texte reproduit ci-après, adopté par le Groupe de travail en matière de roulement et de freinage (GRRF) à sa quatre-vingtième session (ECE/TRANS/WP.29/GRRF/80, par. 7</w:t>
      </w:r>
      <w:r w:rsidR="009969E6">
        <w:rPr>
          <w:w w:val="100"/>
          <w:lang w:val="fr-CH"/>
        </w:rPr>
        <w:t>)</w:t>
      </w:r>
      <w:r w:rsidR="003D2B95" w:rsidRPr="00884964">
        <w:rPr>
          <w:w w:val="100"/>
          <w:lang w:val="fr-CH"/>
        </w:rPr>
        <w:t>, est fondé sur le document ECE/TRANS/WP.29/GRRF/2015/18</w:t>
      </w:r>
      <w:r w:rsidR="009969E6">
        <w:rPr>
          <w:w w:val="100"/>
          <w:lang w:val="fr-CH"/>
        </w:rPr>
        <w:t>, tel que</w:t>
      </w:r>
      <w:r w:rsidR="003D2B95" w:rsidRPr="00884964">
        <w:rPr>
          <w:w w:val="100"/>
          <w:lang w:val="fr-CH"/>
        </w:rPr>
        <w:t xml:space="preserve"> modifié par l’annexe II </w:t>
      </w:r>
      <w:r w:rsidR="009969E6">
        <w:rPr>
          <w:w w:val="100"/>
          <w:lang w:val="fr-CH"/>
        </w:rPr>
        <w:t>d</w:t>
      </w:r>
      <w:r w:rsidR="003D2B95" w:rsidRPr="00884964">
        <w:rPr>
          <w:w w:val="100"/>
          <w:lang w:val="fr-CH"/>
        </w:rPr>
        <w:t>u rapport sur ladite session et sur le document ECE/TRANS/WP.29/GRRF/2013/13. Il est soumis au Forum mondial de l’harmonisation des Règlements concernant les véhicules (WP.29) et au Comité d’administration (AC.1) pour examen à leurs sessions de mars 2016.</w:t>
      </w:r>
    </w:p>
    <w:p w:rsidR="003D2B95" w:rsidRPr="003D2B95" w:rsidRDefault="003D2B95" w:rsidP="003D2B95">
      <w:pPr>
        <w:pStyle w:val="SingleTxt"/>
        <w:rPr>
          <w:lang w:val="fr-CH"/>
        </w:rPr>
      </w:pPr>
      <w:r w:rsidRPr="003D2B95">
        <w:rPr>
          <w:lang w:val="fr-CH"/>
        </w:rPr>
        <w:br w:type="page"/>
      </w:r>
    </w:p>
    <w:p w:rsidR="003D2B95" w:rsidRPr="003D2B95" w:rsidRDefault="003D2B95" w:rsidP="003D2B95">
      <w:pPr>
        <w:pStyle w:val="SingleTxt"/>
        <w:rPr>
          <w:lang w:val="fr-CH"/>
        </w:rPr>
      </w:pPr>
      <w:r w:rsidRPr="003D2B95">
        <w:rPr>
          <w:i/>
          <w:lang w:val="fr-CH"/>
        </w:rPr>
        <w:lastRenderedPageBreak/>
        <w:t>Introduction du Règlement</w:t>
      </w:r>
      <w:r w:rsidRPr="003D2B95">
        <w:rPr>
          <w:lang w:val="fr-CH"/>
        </w:rPr>
        <w:t xml:space="preserve">, </w:t>
      </w:r>
      <w:proofErr w:type="gramStart"/>
      <w:r w:rsidRPr="003D2B95">
        <w:rPr>
          <w:lang w:val="fr-CH"/>
        </w:rPr>
        <w:t>modifier</w:t>
      </w:r>
      <w:proofErr w:type="gramEnd"/>
      <w:r w:rsidRPr="003D2B95">
        <w:rPr>
          <w:lang w:val="fr-CH"/>
        </w:rPr>
        <w:t xml:space="preserve"> comme suit (y compris l’ajout de nouveaux renvois à la note de bas de page 1 existante)</w:t>
      </w:r>
      <w:r w:rsidR="00D8699C">
        <w:rPr>
          <w:lang w:val="fr-CH"/>
        </w:rPr>
        <w:t> </w:t>
      </w:r>
      <w:r w:rsidRPr="003D2B95">
        <w:rPr>
          <w:lang w:val="fr-CH"/>
        </w:rPr>
        <w:t>:</w:t>
      </w:r>
    </w:p>
    <w:p w:rsidR="00D8699C" w:rsidRPr="00D8699C" w:rsidRDefault="00D8699C" w:rsidP="00D8699C">
      <w:pPr>
        <w:pStyle w:val="SingleTxt"/>
        <w:spacing w:after="0" w:line="120" w:lineRule="exact"/>
        <w:rPr>
          <w:b/>
          <w:sz w:val="10"/>
          <w:lang w:val="fr-CH"/>
        </w:rPr>
      </w:pPr>
    </w:p>
    <w:p w:rsidR="00D8699C" w:rsidRPr="00D8699C" w:rsidRDefault="00D8699C" w:rsidP="00D8699C">
      <w:pPr>
        <w:pStyle w:val="SingleTxt"/>
        <w:spacing w:after="0" w:line="120" w:lineRule="exact"/>
        <w:rPr>
          <w:b/>
          <w:sz w:val="10"/>
          <w:lang w:val="fr-CH"/>
        </w:rPr>
      </w:pPr>
    </w:p>
    <w:p w:rsidR="003D2B95" w:rsidRDefault="003D2B95" w:rsidP="00D8699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D2B95">
        <w:rPr>
          <w:lang w:val="fr-CH"/>
        </w:rPr>
        <w:tab/>
      </w:r>
      <w:r w:rsidRPr="003D2B95">
        <w:rPr>
          <w:lang w:val="fr-CH"/>
        </w:rPr>
        <w:tab/>
      </w:r>
      <w:r w:rsidR="00D8699C" w:rsidRPr="00D8699C">
        <w:rPr>
          <w:b w:val="0"/>
          <w:sz w:val="20"/>
          <w:szCs w:val="20"/>
          <w:lang w:val="fr-CH"/>
        </w:rPr>
        <w:t>« </w:t>
      </w:r>
      <w:r w:rsidRPr="003D2B95">
        <w:rPr>
          <w:lang w:val="fr-CH"/>
        </w:rPr>
        <w:t>Introduction</w:t>
      </w:r>
    </w:p>
    <w:p w:rsidR="00D8699C" w:rsidRPr="00D8699C" w:rsidRDefault="00D8699C" w:rsidP="00D8699C">
      <w:pPr>
        <w:pStyle w:val="SingleTxt"/>
        <w:spacing w:after="0" w:line="120" w:lineRule="exact"/>
        <w:rPr>
          <w:sz w:val="10"/>
          <w:lang w:val="fr-CH"/>
        </w:rPr>
      </w:pPr>
    </w:p>
    <w:p w:rsidR="00D8699C" w:rsidRPr="00D8699C" w:rsidRDefault="00D8699C" w:rsidP="00D8699C">
      <w:pPr>
        <w:pStyle w:val="SingleTxt"/>
        <w:spacing w:after="0" w:line="120" w:lineRule="exact"/>
        <w:rPr>
          <w:sz w:val="10"/>
          <w:lang w:val="fr-CH"/>
        </w:rPr>
      </w:pPr>
    </w:p>
    <w:p w:rsidR="003D2B95" w:rsidRPr="003D2B95" w:rsidRDefault="00D8699C" w:rsidP="003D2B95">
      <w:pPr>
        <w:pStyle w:val="SingleTxt"/>
        <w:rPr>
          <w:lang w:val="fr-CH"/>
        </w:rPr>
      </w:pPr>
      <w:r>
        <w:rPr>
          <w:lang w:val="fr-CH"/>
        </w:rPr>
        <w:tab/>
      </w:r>
      <w:r w:rsidR="003D2B95" w:rsidRPr="003D2B95">
        <w:rPr>
          <w:lang w:val="fr-CH"/>
        </w:rPr>
        <w:t>Le présent Règlement vise à établir des prescriptions uniformes pour les systèmes actifs de freinage d’urgence (AEBS) installés sur les véhicules automobiles des catégories M</w:t>
      </w:r>
      <w:r w:rsidR="003D2B95" w:rsidRPr="003D2B95">
        <w:rPr>
          <w:vertAlign w:val="subscript"/>
          <w:lang w:val="fr-CH"/>
        </w:rPr>
        <w:t>2</w:t>
      </w:r>
      <w:r w:rsidR="003D2B95" w:rsidRPr="003D2B95">
        <w:rPr>
          <w:lang w:val="fr-CH"/>
        </w:rPr>
        <w:t>, M</w:t>
      </w:r>
      <w:r w:rsidR="003D2B95" w:rsidRPr="003D2B95">
        <w:rPr>
          <w:vertAlign w:val="subscript"/>
          <w:lang w:val="fr-CH"/>
        </w:rPr>
        <w:t>3</w:t>
      </w:r>
      <w:r w:rsidR="003D2B95" w:rsidRPr="003D2B95">
        <w:rPr>
          <w:lang w:val="fr-CH"/>
        </w:rPr>
        <w:t>, N</w:t>
      </w:r>
      <w:r w:rsidR="003D2B95" w:rsidRPr="003D2B95">
        <w:rPr>
          <w:vertAlign w:val="subscript"/>
          <w:lang w:val="fr-CH"/>
        </w:rPr>
        <w:t>2</w:t>
      </w:r>
      <w:r w:rsidR="003D2B95" w:rsidRPr="003D2B95">
        <w:rPr>
          <w:lang w:val="fr-CH"/>
        </w:rPr>
        <w:t xml:space="preserve"> et N</w:t>
      </w:r>
      <w:r w:rsidR="003D2B95" w:rsidRPr="003D2B95">
        <w:rPr>
          <w:vertAlign w:val="subscript"/>
          <w:lang w:val="fr-CH"/>
        </w:rPr>
        <w:t>3</w:t>
      </w:r>
      <w:r w:rsidR="003D2B95" w:rsidRPr="003D2B95">
        <w:rPr>
          <w:vertAlign w:val="superscript"/>
          <w:lang w:val="fr-CH"/>
        </w:rPr>
        <w:t>1</w:t>
      </w:r>
      <w:r w:rsidR="003D2B95" w:rsidRPr="003D2B95">
        <w:rPr>
          <w:lang w:val="fr-CH"/>
        </w:rPr>
        <w:t>, principalement utilisés dans des conditions de conduite monotones sur autoroute.</w:t>
      </w:r>
    </w:p>
    <w:p w:rsidR="003D2B95" w:rsidRPr="003D2B95" w:rsidRDefault="00D8699C" w:rsidP="003D2B95">
      <w:pPr>
        <w:pStyle w:val="SingleTxt"/>
        <w:rPr>
          <w:lang w:val="fr-CH"/>
        </w:rPr>
      </w:pPr>
      <w:r>
        <w:rPr>
          <w:lang w:val="fr-CH"/>
        </w:rPr>
        <w:tab/>
      </w:r>
      <w:r w:rsidR="003D2B95" w:rsidRPr="003D2B95">
        <w:rPr>
          <w:lang w:val="fr-CH"/>
        </w:rPr>
        <w:t>S’il est vrai</w:t>
      </w:r>
      <w:r w:rsidR="00567AC4">
        <w:rPr>
          <w:lang w:val="fr-CH"/>
        </w:rPr>
        <w:t xml:space="preserve"> que les catégories de véhicule</w:t>
      </w:r>
      <w:r w:rsidR="003D2B95" w:rsidRPr="003D2B95">
        <w:rPr>
          <w:lang w:val="fr-CH"/>
        </w:rPr>
        <w:t xml:space="preserve"> susmentionnées bénéficieront généralement de l’installation d’un AEBS, l’intérêt d’un tel système est douteux pour certaines sous-catégories du fait qu’elles sont principalement utilisées en dehors des autoroutes (comme par exemple les autobus transportant des passagers debout, c’est-à-dire les véhicules des classes I, II et A</w:t>
      </w:r>
      <w:r w:rsidR="003D2B95" w:rsidRPr="003D2B95">
        <w:rPr>
          <w:vertAlign w:val="superscript"/>
          <w:lang w:val="fr-CH"/>
        </w:rPr>
        <w:t>1</w:t>
      </w:r>
      <w:r w:rsidR="003D2B95" w:rsidRPr="003D2B95">
        <w:rPr>
          <w:lang w:val="fr-CH"/>
        </w:rPr>
        <w:t>, les véhicules de la classe G</w:t>
      </w:r>
      <w:r w:rsidR="003D2B95" w:rsidRPr="003D2B95">
        <w:rPr>
          <w:vertAlign w:val="superscript"/>
          <w:lang w:val="fr-CH"/>
        </w:rPr>
        <w:t>1</w:t>
      </w:r>
      <w:r w:rsidR="003D2B95" w:rsidRPr="003D2B95">
        <w:rPr>
          <w:lang w:val="fr-CH"/>
        </w:rPr>
        <w:t xml:space="preserve"> et les véhicules de chantier). Indépendamment de son intérêt, l’installation d’un tel système sur les véhicules d’autres sous-catégories présenterait des difficultés ou serait irréalisable d’un point de vue technique (par exemple le positionnement du détecteur sur les véhicules de la catégorie G</w:t>
      </w:r>
      <w:r w:rsidR="003D2B95" w:rsidRPr="003D2B95">
        <w:rPr>
          <w:vertAlign w:val="superscript"/>
          <w:lang w:val="fr-CH"/>
        </w:rPr>
        <w:t>1</w:t>
      </w:r>
      <w:r w:rsidR="003D2B95" w:rsidRPr="003D2B95">
        <w:rPr>
          <w:lang w:val="fr-CH"/>
        </w:rPr>
        <w:t xml:space="preserve">, les véhicules de chantier utilisés essentiellement en dehors des routes et sur des chemins caillouteux, les véhicules spéciaux et les véhicules à équipement frontal). </w:t>
      </w:r>
      <w:r w:rsidR="003D2B95" w:rsidRPr="003D2B95">
        <w:rPr>
          <w:bCs/>
          <w:lang w:val="fr-CH"/>
        </w:rPr>
        <w:t>Il peut y avoir dans certains cas un risque de freinage d’urgence intempestif en raison de contraintes liées à la conception du véhicule</w:t>
      </w:r>
      <w:r w:rsidR="003D2B95" w:rsidRPr="003D2B95">
        <w:rPr>
          <w:lang w:val="fr-CH"/>
        </w:rPr>
        <w:t>.</w:t>
      </w:r>
    </w:p>
    <w:p w:rsidR="003D2B95" w:rsidRPr="003D2B95" w:rsidRDefault="00D8699C" w:rsidP="003D2B95">
      <w:pPr>
        <w:pStyle w:val="SingleTxt"/>
        <w:rPr>
          <w:lang w:val="fr-CH"/>
        </w:rPr>
      </w:pPr>
      <w:r>
        <w:rPr>
          <w:bCs/>
          <w:lang w:val="fr-CH"/>
        </w:rPr>
        <w:tab/>
      </w:r>
      <w:r w:rsidR="003D2B95" w:rsidRPr="003D2B95">
        <w:rPr>
          <w:bCs/>
          <w:lang w:val="fr-CH"/>
        </w:rPr>
        <w:t>En outre, les systèmes destinés aux véhicules qui ne sont pas équipés d’une suspension pneumatique sur l’essieu arrière nécessitent l’emploi de systèmes de capteurs de technologie évoluée pour prendre en compte les variations de l’angle de tangage du véhicule.</w:t>
      </w:r>
    </w:p>
    <w:p w:rsidR="003D2B95" w:rsidRPr="003D2B95" w:rsidRDefault="00D8699C" w:rsidP="003D2B95">
      <w:pPr>
        <w:pStyle w:val="SingleTxt"/>
        <w:rPr>
          <w:lang w:val="fr-CH"/>
        </w:rPr>
      </w:pPr>
      <w:r>
        <w:rPr>
          <w:lang w:val="fr-CH"/>
        </w:rPr>
        <w:tab/>
      </w:r>
      <w:r w:rsidR="003D2B95" w:rsidRPr="003D2B95">
        <w:rPr>
          <w:lang w:val="fr-CH"/>
        </w:rPr>
        <w:t>Le système doit automatiquement détecter un risque de collision à l’avant du véhicule, le signaler au conducteur et, dans le cas où celui-ci ne réagirait pas au signal, activer le système de freinage du véhicule de façon à freiner ce dernier en vue d’éviter la collision ou d’en atténuer les conséquences.</w:t>
      </w:r>
    </w:p>
    <w:p w:rsidR="003D2B95" w:rsidRPr="003D2B95" w:rsidRDefault="00D8699C" w:rsidP="003D2B95">
      <w:pPr>
        <w:pStyle w:val="SingleTxt"/>
        <w:rPr>
          <w:lang w:val="fr-CH"/>
        </w:rPr>
      </w:pPr>
      <w:r>
        <w:rPr>
          <w:lang w:val="fr-CH"/>
        </w:rPr>
        <w:tab/>
      </w:r>
      <w:r w:rsidR="003D2B95" w:rsidRPr="003D2B95">
        <w:rPr>
          <w:lang w:val="fr-CH"/>
        </w:rPr>
        <w:t>Le système ne doit fonctionner que dans les situations où le freinage permet d’éviter un accident ou d’en atténuer les conséquences. Il ne doit fonctionner dans aucune autre situation.</w:t>
      </w:r>
    </w:p>
    <w:p w:rsidR="003D2B95" w:rsidRPr="003D2B95" w:rsidRDefault="00D8699C" w:rsidP="003D2B95">
      <w:pPr>
        <w:pStyle w:val="SingleTxt"/>
        <w:rPr>
          <w:lang w:val="fr-CH"/>
        </w:rPr>
      </w:pPr>
      <w:r>
        <w:rPr>
          <w:lang w:val="fr-CH"/>
        </w:rPr>
        <w:tab/>
      </w:r>
      <w:r w:rsidR="003D2B95" w:rsidRPr="003D2B95">
        <w:rPr>
          <w:lang w:val="fr-CH"/>
        </w:rPr>
        <w:t>En cas de défaillance du système, la sûreté du fonctionnement du véhicule ne doit pas être compromise.</w:t>
      </w:r>
    </w:p>
    <w:p w:rsidR="003D2B95" w:rsidRPr="003D2B95" w:rsidRDefault="00D8699C" w:rsidP="003D2B95">
      <w:pPr>
        <w:pStyle w:val="SingleTxt"/>
        <w:rPr>
          <w:lang w:val="fr-CH"/>
        </w:rPr>
      </w:pPr>
      <w:r>
        <w:rPr>
          <w:lang w:val="fr-CH"/>
        </w:rPr>
        <w:tab/>
      </w:r>
      <w:r w:rsidR="003D2B95" w:rsidRPr="003D2B95">
        <w:rPr>
          <w:lang w:val="fr-CH"/>
        </w:rPr>
        <w:t xml:space="preserve">Le système doit produire au minimum un signal acoustique ou </w:t>
      </w:r>
      <w:proofErr w:type="spellStart"/>
      <w:r w:rsidR="003D2B95" w:rsidRPr="003D2B95">
        <w:rPr>
          <w:lang w:val="fr-CH"/>
        </w:rPr>
        <w:t>haptique</w:t>
      </w:r>
      <w:proofErr w:type="spellEnd"/>
      <w:r w:rsidR="003D2B95" w:rsidRPr="003D2B95">
        <w:rPr>
          <w:lang w:val="fr-CH"/>
        </w:rPr>
        <w:t>, qui peut consister en une forte décélération, de sorte qu’un conducteur inattentif soit prévenu de l’urgence de la situation.</w:t>
      </w:r>
    </w:p>
    <w:p w:rsidR="003D2B95" w:rsidRPr="003D2B95" w:rsidRDefault="00D8699C" w:rsidP="003D2B95">
      <w:pPr>
        <w:pStyle w:val="SingleTxt"/>
        <w:rPr>
          <w:lang w:val="fr-CH"/>
        </w:rPr>
      </w:pPr>
      <w:r>
        <w:rPr>
          <w:lang w:val="fr-CH"/>
        </w:rPr>
        <w:tab/>
      </w:r>
      <w:r w:rsidR="003D2B95" w:rsidRPr="003D2B95">
        <w:rPr>
          <w:lang w:val="fr-CH"/>
        </w:rPr>
        <w:t>Pendant le fonctionnement du système (phases d’avertissement et de freinage d’urgence), le conducteur doit pouvoir prendre le contrôle du véhicule à tout moment à la place du système par une action consciente, notamment en changeant de trajectoire ou en rétrogradant.</w:t>
      </w:r>
    </w:p>
    <w:p w:rsidR="003D2B95" w:rsidRPr="003D2B95" w:rsidRDefault="00D8699C" w:rsidP="003D2B95">
      <w:pPr>
        <w:pStyle w:val="SingleTxt"/>
        <w:rPr>
          <w:lang w:val="fr-CH"/>
        </w:rPr>
      </w:pPr>
      <w:r>
        <w:rPr>
          <w:lang w:val="fr-CH"/>
        </w:rPr>
        <w:tab/>
      </w:r>
      <w:r w:rsidR="003D2B95" w:rsidRPr="003D2B95">
        <w:rPr>
          <w:lang w:val="fr-CH"/>
        </w:rPr>
        <w:t>Les conditions de circulation et les particularités des infrastructures ne peuvent pas toutes être prises en compte pour l’agrément de type dans le cadre du présent Règlement. Les circonstances et les particularités effectives ne doivent pas donner lieu à des avertissements ou des freinages intempestifs qui incitent le conducteur à désactiver le système. ».</w:t>
      </w:r>
    </w:p>
    <w:p w:rsidR="003D2B95" w:rsidRPr="003D2B95" w:rsidRDefault="003D2B95" w:rsidP="003D2B95">
      <w:pPr>
        <w:pStyle w:val="SingleTxt"/>
        <w:rPr>
          <w:iCs/>
          <w:lang w:val="fr-CH"/>
        </w:rPr>
      </w:pPr>
      <w:r w:rsidRPr="003D2B95">
        <w:rPr>
          <w:i/>
          <w:iCs/>
          <w:lang w:val="fr-CH"/>
        </w:rPr>
        <w:t>Paragraphe 5.1.2</w:t>
      </w:r>
      <w:r w:rsidRPr="003D2B95">
        <w:rPr>
          <w:iCs/>
          <w:lang w:val="fr-CH"/>
        </w:rPr>
        <w:t xml:space="preserve">, </w:t>
      </w:r>
      <w:proofErr w:type="gramStart"/>
      <w:r w:rsidRPr="003D2B95">
        <w:rPr>
          <w:iCs/>
          <w:lang w:val="fr-CH"/>
        </w:rPr>
        <w:t>modifier</w:t>
      </w:r>
      <w:proofErr w:type="gramEnd"/>
      <w:r w:rsidRPr="003D2B95">
        <w:rPr>
          <w:iCs/>
          <w:lang w:val="fr-CH"/>
        </w:rPr>
        <w:t xml:space="preserve"> comme suit</w:t>
      </w:r>
      <w:r w:rsidR="00D8699C">
        <w:rPr>
          <w:iCs/>
          <w:lang w:val="fr-CH"/>
        </w:rPr>
        <w:t> :</w:t>
      </w:r>
    </w:p>
    <w:p w:rsidR="003D2B95" w:rsidRPr="003D2B95" w:rsidRDefault="00D8699C" w:rsidP="00D8699C">
      <w:pPr>
        <w:pStyle w:val="SingleTxt"/>
        <w:ind w:left="2218" w:hanging="951"/>
        <w:rPr>
          <w:lang w:val="fr-CH"/>
        </w:rPr>
      </w:pPr>
      <w:r>
        <w:rPr>
          <w:lang w:val="fr-CH"/>
        </w:rPr>
        <w:t>« </w:t>
      </w:r>
      <w:r w:rsidR="003D2B95" w:rsidRPr="003D2B95">
        <w:rPr>
          <w:lang w:val="fr-CH"/>
        </w:rPr>
        <w:t>5.1.2</w:t>
      </w:r>
      <w:r w:rsidR="003D2B95" w:rsidRPr="003D2B95">
        <w:rPr>
          <w:b/>
          <w:lang w:val="fr-CH"/>
        </w:rPr>
        <w:tab/>
      </w:r>
      <w:r w:rsidR="003D2B95" w:rsidRPr="003D2B95">
        <w:rPr>
          <w:lang w:val="fr-CH"/>
        </w:rPr>
        <w:t xml:space="preserve">L’efficacité du système AEBS ne doit pas être altérée par des champs magnétiques ou électriques. Cette condition est remplie s’il est satisfait aux </w:t>
      </w:r>
      <w:r w:rsidR="003D2B95" w:rsidRPr="003D2B95">
        <w:rPr>
          <w:lang w:val="fr-CH"/>
        </w:rPr>
        <w:lastRenderedPageBreak/>
        <w:t xml:space="preserve">prescriptions techniques et aux dispositions transitoires du Règlement </w:t>
      </w:r>
      <w:r>
        <w:rPr>
          <w:lang w:val="fr-CH"/>
        </w:rPr>
        <w:t>n</w:t>
      </w:r>
      <w:r w:rsidR="003D2B95" w:rsidRPr="003D2B95">
        <w:rPr>
          <w:vertAlign w:val="superscript"/>
          <w:lang w:val="fr-CH"/>
        </w:rPr>
        <w:t>o </w:t>
      </w:r>
      <w:r w:rsidR="003D2B95" w:rsidRPr="003D2B95">
        <w:rPr>
          <w:lang w:val="fr-CH"/>
        </w:rPr>
        <w:t>10 en appliquant</w:t>
      </w:r>
      <w:r>
        <w:rPr>
          <w:lang w:val="fr-CH"/>
        </w:rPr>
        <w:t> :</w:t>
      </w:r>
    </w:p>
    <w:p w:rsidR="003D2B95" w:rsidRPr="003D2B95" w:rsidRDefault="00D8699C" w:rsidP="00D8699C">
      <w:pPr>
        <w:pStyle w:val="SingleTxt"/>
        <w:ind w:left="2693" w:hanging="1426"/>
        <w:rPr>
          <w:lang w:val="fr-CH"/>
        </w:rPr>
      </w:pPr>
      <w:r>
        <w:rPr>
          <w:lang w:val="fr-CH"/>
        </w:rPr>
        <w:tab/>
      </w:r>
      <w:r>
        <w:rPr>
          <w:lang w:val="fr-CH"/>
        </w:rPr>
        <w:tab/>
      </w:r>
      <w:r w:rsidR="003D2B95" w:rsidRPr="003D2B95">
        <w:rPr>
          <w:lang w:val="fr-CH"/>
        </w:rPr>
        <w:t>a)</w:t>
      </w:r>
      <w:r w:rsidR="003D2B95" w:rsidRPr="003D2B95">
        <w:rPr>
          <w:lang w:val="fr-CH"/>
        </w:rPr>
        <w:tab/>
        <w:t>La série 03 d’amendements aux véhicules dépourvus de système de raccordement de la recharge du système rechargeable de stockage de l’énergie (batteries de traction);</w:t>
      </w:r>
      <w:r w:rsidR="0042612D">
        <w:rPr>
          <w:lang w:val="fr-CH"/>
        </w:rPr>
        <w:t xml:space="preserve"> </w:t>
      </w:r>
    </w:p>
    <w:p w:rsidR="003D2B95" w:rsidRPr="003D2B95" w:rsidRDefault="00D8699C" w:rsidP="00D8699C">
      <w:pPr>
        <w:pStyle w:val="SingleTxt"/>
        <w:ind w:left="2693" w:hanging="1426"/>
        <w:rPr>
          <w:lang w:val="fr-CH"/>
        </w:rPr>
      </w:pPr>
      <w:r>
        <w:rPr>
          <w:lang w:val="fr-CH"/>
        </w:rPr>
        <w:tab/>
      </w:r>
      <w:r>
        <w:rPr>
          <w:lang w:val="fr-CH"/>
        </w:rPr>
        <w:tab/>
      </w:r>
      <w:r w:rsidR="003D2B95" w:rsidRPr="003D2B95">
        <w:rPr>
          <w:lang w:val="fr-CH"/>
        </w:rPr>
        <w:t>b)</w:t>
      </w:r>
      <w:r w:rsidR="003D2B95" w:rsidRPr="003D2B95">
        <w:rPr>
          <w:lang w:val="fr-CH"/>
        </w:rPr>
        <w:tab/>
        <w:t>La série 04 d’amendements aux véhicules équipés d’un système de raccordement de la recharge du système rechargeable de stockage de l’énergie (batteries de traction). ».</w:t>
      </w:r>
    </w:p>
    <w:p w:rsidR="00325FB3" w:rsidRPr="00D8699C" w:rsidRDefault="00D8699C" w:rsidP="00D8699C">
      <w:pPr>
        <w:pStyle w:val="SingleTxt"/>
        <w:spacing w:after="0" w:line="240" w:lineRule="auto"/>
      </w:pPr>
      <w:r>
        <w:rPr>
          <w:noProof/>
          <w:w w:val="100"/>
          <w:lang w:val="en-GB" w:eastAsia="en-GB"/>
        </w:rPr>
        <mc:AlternateContent>
          <mc:Choice Requires="wps">
            <w:drawing>
              <wp:anchor distT="0" distB="0" distL="114300" distR="114300" simplePos="0" relativeHeight="251660288"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325FB3" w:rsidRPr="00D8699C" w:rsidSect="00325FB3">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3E4" w:rsidRDefault="005833E4" w:rsidP="00F3330B">
      <w:pPr>
        <w:spacing w:line="240" w:lineRule="auto"/>
      </w:pPr>
      <w:r>
        <w:separator/>
      </w:r>
    </w:p>
  </w:endnote>
  <w:endnote w:type="continuationSeparator" w:id="0">
    <w:p w:rsidR="005833E4" w:rsidRDefault="005833E4"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25FB3" w:rsidTr="00325FB3">
      <w:trPr>
        <w:jc w:val="center"/>
      </w:trPr>
      <w:tc>
        <w:tcPr>
          <w:tcW w:w="5126" w:type="dxa"/>
          <w:shd w:val="clear" w:color="auto" w:fill="auto"/>
        </w:tcPr>
        <w:p w:rsidR="00325FB3" w:rsidRPr="00325FB3" w:rsidRDefault="00325FB3" w:rsidP="00325FB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352F1">
            <w:rPr>
              <w:b w:val="0"/>
              <w:w w:val="103"/>
              <w:sz w:val="14"/>
            </w:rPr>
            <w:t>GE.15-22719</w:t>
          </w:r>
          <w:r>
            <w:rPr>
              <w:b w:val="0"/>
              <w:w w:val="103"/>
              <w:sz w:val="14"/>
            </w:rPr>
            <w:fldChar w:fldCharType="end"/>
          </w:r>
        </w:p>
      </w:tc>
      <w:tc>
        <w:tcPr>
          <w:tcW w:w="5127" w:type="dxa"/>
          <w:shd w:val="clear" w:color="auto" w:fill="auto"/>
        </w:tcPr>
        <w:p w:rsidR="00325FB3" w:rsidRPr="00325FB3" w:rsidRDefault="00325FB3" w:rsidP="00325FB3">
          <w:pPr>
            <w:pStyle w:val="Footer"/>
            <w:rPr>
              <w:w w:val="103"/>
            </w:rPr>
          </w:pPr>
          <w:r>
            <w:rPr>
              <w:w w:val="103"/>
            </w:rPr>
            <w:fldChar w:fldCharType="begin"/>
          </w:r>
          <w:r>
            <w:rPr>
              <w:w w:val="103"/>
            </w:rPr>
            <w:instrText xml:space="preserve"> PAGE  \* Arabic  \* MERGEFORMAT </w:instrText>
          </w:r>
          <w:r>
            <w:rPr>
              <w:w w:val="103"/>
            </w:rPr>
            <w:fldChar w:fldCharType="separate"/>
          </w:r>
          <w:r w:rsidR="000605D2">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605D2">
            <w:rPr>
              <w:noProof/>
              <w:w w:val="103"/>
            </w:rPr>
            <w:t>2</w:t>
          </w:r>
          <w:r>
            <w:rPr>
              <w:w w:val="103"/>
            </w:rPr>
            <w:fldChar w:fldCharType="end"/>
          </w:r>
        </w:p>
      </w:tc>
    </w:tr>
  </w:tbl>
  <w:p w:rsidR="00325FB3" w:rsidRPr="00325FB3" w:rsidRDefault="00325FB3" w:rsidP="00325F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25FB3" w:rsidTr="00325FB3">
      <w:trPr>
        <w:jc w:val="center"/>
      </w:trPr>
      <w:tc>
        <w:tcPr>
          <w:tcW w:w="5126" w:type="dxa"/>
          <w:shd w:val="clear" w:color="auto" w:fill="auto"/>
        </w:tcPr>
        <w:p w:rsidR="00325FB3" w:rsidRPr="00325FB3" w:rsidRDefault="00325FB3" w:rsidP="00325FB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605D2">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605D2">
            <w:rPr>
              <w:noProof/>
              <w:w w:val="103"/>
            </w:rPr>
            <w:t>3</w:t>
          </w:r>
          <w:r>
            <w:rPr>
              <w:w w:val="103"/>
            </w:rPr>
            <w:fldChar w:fldCharType="end"/>
          </w:r>
        </w:p>
      </w:tc>
      <w:tc>
        <w:tcPr>
          <w:tcW w:w="5127" w:type="dxa"/>
          <w:shd w:val="clear" w:color="auto" w:fill="auto"/>
        </w:tcPr>
        <w:p w:rsidR="00325FB3" w:rsidRPr="00325FB3" w:rsidRDefault="00325FB3" w:rsidP="00325FB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352F1">
            <w:rPr>
              <w:b w:val="0"/>
              <w:w w:val="103"/>
              <w:sz w:val="14"/>
            </w:rPr>
            <w:t>GE.15-22719</w:t>
          </w:r>
          <w:r>
            <w:rPr>
              <w:b w:val="0"/>
              <w:w w:val="103"/>
              <w:sz w:val="14"/>
            </w:rPr>
            <w:fldChar w:fldCharType="end"/>
          </w:r>
        </w:p>
      </w:tc>
    </w:tr>
  </w:tbl>
  <w:p w:rsidR="00325FB3" w:rsidRPr="00325FB3" w:rsidRDefault="00325FB3" w:rsidP="00325F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B3" w:rsidRDefault="00325FB3">
    <w:pPr>
      <w:pStyle w:val="Footer"/>
    </w:pPr>
    <w:r>
      <w:rPr>
        <w:noProof/>
        <w:lang w:val="en-GB" w:eastAsia="en-GB"/>
      </w:rPr>
      <w:drawing>
        <wp:anchor distT="0" distB="0" distL="114300" distR="114300" simplePos="0" relativeHeight="251658240" behindDoc="0" locked="0" layoutInCell="1" allowOverlap="1" wp14:anchorId="28A46D95" wp14:editId="470CB3C9">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2016/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2016/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325FB3" w:rsidTr="00325FB3">
      <w:tc>
        <w:tcPr>
          <w:tcW w:w="3859" w:type="dxa"/>
        </w:tcPr>
        <w:p w:rsidR="00325FB3" w:rsidRDefault="00325FB3" w:rsidP="00325FB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352F1">
            <w:rPr>
              <w:b w:val="0"/>
              <w:sz w:val="20"/>
            </w:rPr>
            <w:t>GE.15-22719 (F)</w:t>
          </w:r>
          <w:r>
            <w:rPr>
              <w:b w:val="0"/>
              <w:sz w:val="20"/>
            </w:rPr>
            <w:fldChar w:fldCharType="end"/>
          </w:r>
          <w:r>
            <w:rPr>
              <w:b w:val="0"/>
              <w:sz w:val="20"/>
            </w:rPr>
            <w:t xml:space="preserve">    </w:t>
          </w:r>
          <w:r w:rsidR="004D6148">
            <w:rPr>
              <w:b w:val="0"/>
              <w:sz w:val="20"/>
            </w:rPr>
            <w:t>03</w:t>
          </w:r>
          <w:r>
            <w:rPr>
              <w:b w:val="0"/>
              <w:sz w:val="20"/>
            </w:rPr>
            <w:t>0216    100216</w:t>
          </w:r>
        </w:p>
        <w:p w:rsidR="00325FB3" w:rsidRPr="00325FB3" w:rsidRDefault="00325FB3" w:rsidP="00325FB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9352F1">
            <w:rPr>
              <w:rFonts w:ascii="Barcode 3 of 9 by request" w:hAnsi="Barcode 3 of 9 by request"/>
              <w:b w:val="0"/>
              <w:spacing w:val="0"/>
              <w:w w:val="100"/>
              <w:sz w:val="24"/>
            </w:rPr>
            <w:t>*1522719*</w:t>
          </w:r>
          <w:r>
            <w:rPr>
              <w:rFonts w:ascii="Barcode 3 of 9 by request" w:hAnsi="Barcode 3 of 9 by request"/>
              <w:b w:val="0"/>
              <w:spacing w:val="0"/>
              <w:w w:val="100"/>
              <w:sz w:val="24"/>
            </w:rPr>
            <w:fldChar w:fldCharType="end"/>
          </w:r>
        </w:p>
      </w:tc>
      <w:tc>
        <w:tcPr>
          <w:tcW w:w="5127" w:type="dxa"/>
        </w:tcPr>
        <w:p w:rsidR="00325FB3" w:rsidRDefault="00325FB3" w:rsidP="00325FB3">
          <w:pPr>
            <w:pStyle w:val="Footer"/>
            <w:spacing w:line="240" w:lineRule="atLeast"/>
            <w:jc w:val="right"/>
            <w:rPr>
              <w:b w:val="0"/>
              <w:sz w:val="20"/>
            </w:rPr>
          </w:pPr>
          <w:r>
            <w:rPr>
              <w:b w:val="0"/>
              <w:noProof/>
              <w:sz w:val="20"/>
              <w:lang w:val="en-GB" w:eastAsia="en-GB"/>
            </w:rPr>
            <w:drawing>
              <wp:inline distT="0" distB="0" distL="0" distR="0" wp14:anchorId="4D5A0ADF" wp14:editId="125FF99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325FB3" w:rsidRPr="00325FB3" w:rsidRDefault="00325FB3" w:rsidP="00325FB3">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3E4" w:rsidRPr="003E47D8" w:rsidRDefault="005833E4" w:rsidP="003E47D8">
      <w:pPr>
        <w:pStyle w:val="Footer"/>
        <w:spacing w:after="80"/>
        <w:rPr>
          <w:sz w:val="16"/>
        </w:rPr>
      </w:pPr>
      <w:r w:rsidRPr="003E47D8">
        <w:rPr>
          <w:sz w:val="16"/>
        </w:rPr>
        <w:t>__________________</w:t>
      </w:r>
    </w:p>
  </w:footnote>
  <w:footnote w:type="continuationSeparator" w:id="0">
    <w:p w:rsidR="005833E4" w:rsidRPr="003E47D8" w:rsidRDefault="005833E4"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325FB3" w:rsidTr="00325FB3">
      <w:trPr>
        <w:trHeight w:hRule="exact" w:val="864"/>
        <w:jc w:val="center"/>
      </w:trPr>
      <w:tc>
        <w:tcPr>
          <w:tcW w:w="4882" w:type="dxa"/>
          <w:shd w:val="clear" w:color="auto" w:fill="auto"/>
          <w:vAlign w:val="bottom"/>
        </w:tcPr>
        <w:p w:rsidR="00325FB3" w:rsidRPr="00325FB3" w:rsidRDefault="00325FB3" w:rsidP="00325FB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352F1">
            <w:rPr>
              <w:b/>
              <w:color w:val="000000"/>
            </w:rPr>
            <w:t>ECE/TRANS/WP.29/2016/7</w:t>
          </w:r>
          <w:r>
            <w:rPr>
              <w:b/>
              <w:color w:val="000000"/>
            </w:rPr>
            <w:fldChar w:fldCharType="end"/>
          </w:r>
        </w:p>
      </w:tc>
      <w:tc>
        <w:tcPr>
          <w:tcW w:w="5127" w:type="dxa"/>
          <w:shd w:val="clear" w:color="auto" w:fill="auto"/>
          <w:vAlign w:val="bottom"/>
        </w:tcPr>
        <w:p w:rsidR="00325FB3" w:rsidRDefault="00325FB3" w:rsidP="00325FB3">
          <w:pPr>
            <w:pStyle w:val="Header"/>
          </w:pPr>
        </w:p>
      </w:tc>
    </w:tr>
  </w:tbl>
  <w:p w:rsidR="00325FB3" w:rsidRPr="00325FB3" w:rsidRDefault="00325FB3" w:rsidP="00325FB3">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325FB3" w:rsidTr="00325FB3">
      <w:trPr>
        <w:trHeight w:hRule="exact" w:val="864"/>
        <w:jc w:val="center"/>
      </w:trPr>
      <w:tc>
        <w:tcPr>
          <w:tcW w:w="4882" w:type="dxa"/>
          <w:shd w:val="clear" w:color="auto" w:fill="auto"/>
          <w:vAlign w:val="bottom"/>
        </w:tcPr>
        <w:p w:rsidR="00325FB3" w:rsidRDefault="00325FB3" w:rsidP="00325FB3">
          <w:pPr>
            <w:pStyle w:val="Header"/>
          </w:pPr>
        </w:p>
      </w:tc>
      <w:tc>
        <w:tcPr>
          <w:tcW w:w="5127" w:type="dxa"/>
          <w:shd w:val="clear" w:color="auto" w:fill="auto"/>
          <w:vAlign w:val="bottom"/>
        </w:tcPr>
        <w:p w:rsidR="00325FB3" w:rsidRPr="00325FB3" w:rsidRDefault="00325FB3" w:rsidP="00325FB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352F1">
            <w:rPr>
              <w:b/>
              <w:color w:val="000000"/>
            </w:rPr>
            <w:t>ECE/TRANS/WP.29/2016/7</w:t>
          </w:r>
          <w:r>
            <w:rPr>
              <w:b/>
              <w:color w:val="000000"/>
            </w:rPr>
            <w:fldChar w:fldCharType="end"/>
          </w:r>
        </w:p>
      </w:tc>
    </w:tr>
  </w:tbl>
  <w:p w:rsidR="00325FB3" w:rsidRPr="00325FB3" w:rsidRDefault="00325FB3" w:rsidP="00325FB3">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325FB3" w:rsidTr="00325FB3">
      <w:trPr>
        <w:trHeight w:hRule="exact" w:val="864"/>
      </w:trPr>
      <w:tc>
        <w:tcPr>
          <w:tcW w:w="1267" w:type="dxa"/>
          <w:tcBorders>
            <w:bottom w:val="single" w:sz="4" w:space="0" w:color="auto"/>
          </w:tcBorders>
          <w:shd w:val="clear" w:color="auto" w:fill="auto"/>
          <w:vAlign w:val="bottom"/>
        </w:tcPr>
        <w:p w:rsidR="00325FB3" w:rsidRDefault="00325FB3" w:rsidP="00325FB3">
          <w:pPr>
            <w:pStyle w:val="Header"/>
            <w:spacing w:after="120"/>
          </w:pPr>
        </w:p>
      </w:tc>
      <w:tc>
        <w:tcPr>
          <w:tcW w:w="2059" w:type="dxa"/>
          <w:tcBorders>
            <w:bottom w:val="single" w:sz="4" w:space="0" w:color="auto"/>
          </w:tcBorders>
          <w:shd w:val="clear" w:color="auto" w:fill="auto"/>
          <w:vAlign w:val="bottom"/>
        </w:tcPr>
        <w:p w:rsidR="00325FB3" w:rsidRPr="00325FB3" w:rsidRDefault="00325FB3" w:rsidP="00325FB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325FB3" w:rsidRDefault="00325FB3" w:rsidP="00325FB3">
          <w:pPr>
            <w:pStyle w:val="Header"/>
            <w:spacing w:after="120"/>
          </w:pPr>
        </w:p>
      </w:tc>
      <w:tc>
        <w:tcPr>
          <w:tcW w:w="6653" w:type="dxa"/>
          <w:gridSpan w:val="4"/>
          <w:tcBorders>
            <w:bottom w:val="single" w:sz="4" w:space="0" w:color="auto"/>
          </w:tcBorders>
          <w:shd w:val="clear" w:color="auto" w:fill="auto"/>
          <w:vAlign w:val="bottom"/>
        </w:tcPr>
        <w:p w:rsidR="00325FB3" w:rsidRPr="00325FB3" w:rsidRDefault="00325FB3" w:rsidP="00325FB3">
          <w:pPr>
            <w:spacing w:after="80" w:line="240" w:lineRule="auto"/>
            <w:jc w:val="right"/>
            <w:rPr>
              <w:position w:val="-4"/>
            </w:rPr>
          </w:pPr>
          <w:r>
            <w:rPr>
              <w:position w:val="-4"/>
              <w:sz w:val="40"/>
            </w:rPr>
            <w:t>ECE</w:t>
          </w:r>
          <w:r>
            <w:rPr>
              <w:position w:val="-4"/>
            </w:rPr>
            <w:t>/TRANS/WP.29/2016/7</w:t>
          </w:r>
        </w:p>
      </w:tc>
    </w:tr>
    <w:tr w:rsidR="00325FB3" w:rsidRPr="00325FB3" w:rsidTr="00325FB3">
      <w:trPr>
        <w:gridAfter w:val="1"/>
        <w:wAfter w:w="18" w:type="dxa"/>
        <w:trHeight w:hRule="exact" w:val="2880"/>
      </w:trPr>
      <w:tc>
        <w:tcPr>
          <w:tcW w:w="1267" w:type="dxa"/>
          <w:tcBorders>
            <w:top w:val="single" w:sz="4" w:space="0" w:color="auto"/>
            <w:bottom w:val="single" w:sz="12" w:space="0" w:color="auto"/>
          </w:tcBorders>
          <w:shd w:val="clear" w:color="auto" w:fill="auto"/>
        </w:tcPr>
        <w:p w:rsidR="00325FB3" w:rsidRPr="00325FB3" w:rsidRDefault="00325FB3" w:rsidP="00325FB3">
          <w:pPr>
            <w:pStyle w:val="Header"/>
            <w:spacing w:before="120" w:line="240" w:lineRule="auto"/>
            <w:ind w:left="-72"/>
            <w:jc w:val="center"/>
          </w:pPr>
          <w:r>
            <w:t xml:space="preserve">  </w:t>
          </w:r>
          <w:r>
            <w:rPr>
              <w:noProof/>
              <w:lang w:val="en-GB" w:eastAsia="en-GB"/>
            </w:rPr>
            <w:drawing>
              <wp:inline distT="0" distB="0" distL="0" distR="0" wp14:anchorId="2D8341E7" wp14:editId="1F84119D">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25FB3" w:rsidRPr="00325FB3" w:rsidRDefault="00325FB3" w:rsidP="00325FB3">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325FB3" w:rsidRPr="00325FB3" w:rsidRDefault="00325FB3" w:rsidP="00325FB3">
          <w:pPr>
            <w:pStyle w:val="Header"/>
            <w:spacing w:before="109"/>
          </w:pPr>
        </w:p>
      </w:tc>
      <w:tc>
        <w:tcPr>
          <w:tcW w:w="3280" w:type="dxa"/>
          <w:tcBorders>
            <w:top w:val="single" w:sz="4" w:space="0" w:color="auto"/>
            <w:bottom w:val="single" w:sz="12" w:space="0" w:color="auto"/>
          </w:tcBorders>
          <w:shd w:val="clear" w:color="auto" w:fill="auto"/>
        </w:tcPr>
        <w:p w:rsidR="00325FB3" w:rsidRDefault="00325FB3" w:rsidP="00325FB3">
          <w:pPr>
            <w:pStyle w:val="Distribution"/>
            <w:rPr>
              <w:color w:val="000000"/>
            </w:rPr>
          </w:pPr>
          <w:r>
            <w:rPr>
              <w:color w:val="000000"/>
            </w:rPr>
            <w:t xml:space="preserve">Distr. </w:t>
          </w:r>
          <w:proofErr w:type="spellStart"/>
          <w:r>
            <w:rPr>
              <w:color w:val="000000"/>
            </w:rPr>
            <w:t>générale</w:t>
          </w:r>
          <w:proofErr w:type="spellEnd"/>
        </w:p>
        <w:p w:rsidR="00325FB3" w:rsidRDefault="00325FB3" w:rsidP="00325FB3">
          <w:pPr>
            <w:pStyle w:val="Publication"/>
            <w:rPr>
              <w:color w:val="000000"/>
            </w:rPr>
          </w:pPr>
          <w:r>
            <w:rPr>
              <w:color w:val="000000"/>
            </w:rPr>
            <w:t xml:space="preserve">23 </w:t>
          </w:r>
          <w:proofErr w:type="spellStart"/>
          <w:r>
            <w:rPr>
              <w:color w:val="000000"/>
            </w:rPr>
            <w:t>décembre</w:t>
          </w:r>
          <w:proofErr w:type="spellEnd"/>
          <w:r>
            <w:rPr>
              <w:color w:val="000000"/>
            </w:rPr>
            <w:t xml:space="preserve"> 2015</w:t>
          </w:r>
        </w:p>
        <w:p w:rsidR="00325FB3" w:rsidRDefault="00325FB3" w:rsidP="00325FB3">
          <w:pPr>
            <w:rPr>
              <w:lang w:val="en-US"/>
            </w:rPr>
          </w:pPr>
          <w:proofErr w:type="spellStart"/>
          <w:r>
            <w:rPr>
              <w:lang w:val="en-US"/>
            </w:rPr>
            <w:t>Français</w:t>
          </w:r>
          <w:proofErr w:type="spellEnd"/>
        </w:p>
        <w:p w:rsidR="00325FB3" w:rsidRPr="00325FB3" w:rsidRDefault="00325FB3" w:rsidP="00325FB3">
          <w:pPr>
            <w:pStyle w:val="Original"/>
            <w:rPr>
              <w:color w:val="000000"/>
            </w:rPr>
          </w:pPr>
          <w:r>
            <w:rPr>
              <w:color w:val="000000"/>
            </w:rPr>
            <w:t xml:space="preserve">Original : </w:t>
          </w:r>
          <w:proofErr w:type="spellStart"/>
          <w:r>
            <w:rPr>
              <w:color w:val="000000"/>
            </w:rPr>
            <w:t>anglais</w:t>
          </w:r>
          <w:proofErr w:type="spellEnd"/>
        </w:p>
      </w:tc>
    </w:tr>
  </w:tbl>
  <w:p w:rsidR="00325FB3" w:rsidRPr="00325FB3" w:rsidRDefault="00325FB3" w:rsidP="00325FB3">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SortMethod w:val="0003"/>
  <w:defaultTabStop w:val="475"/>
  <w:doNotHyphenateCaps/>
  <w:evenAndOddHeaders/>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719*"/>
    <w:docVar w:name="CreationDt" w:val="2/10/2016 2:28: PM"/>
    <w:docVar w:name="DocCategory" w:val="Doc"/>
    <w:docVar w:name="DocType" w:val="Final"/>
    <w:docVar w:name="DutyStation" w:val="Geneva"/>
    <w:docVar w:name="FooterJN" w:val="GE.15-22719"/>
    <w:docVar w:name="jobn" w:val="GE.15-22719 (F)"/>
    <w:docVar w:name="jobnDT" w:val="GE.15-22719 (F)   100216"/>
    <w:docVar w:name="jobnDTDT" w:val="GE.15-22719 (F)   100216   100216"/>
    <w:docVar w:name="JobNo" w:val="GE.1522719F"/>
    <w:docVar w:name="JobNo2" w:val="GE.1529099F"/>
    <w:docVar w:name="LocalDrive" w:val="0"/>
    <w:docVar w:name="OandT" w:val="tvu"/>
    <w:docVar w:name="PaperSize" w:val="A4"/>
    <w:docVar w:name="sss1" w:val="ECE/TRANS/WP.29/2016/7"/>
    <w:docVar w:name="sss2" w:val="-"/>
    <w:docVar w:name="Symbol1" w:val="ECE/TRANS/WP.29/2016/7"/>
    <w:docVar w:name="Symbol2" w:val="-"/>
  </w:docVars>
  <w:rsids>
    <w:rsidRoot w:val="005833E4"/>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05D2"/>
    <w:rsid w:val="000616D7"/>
    <w:rsid w:val="000636D2"/>
    <w:rsid w:val="00063B2D"/>
    <w:rsid w:val="000643C1"/>
    <w:rsid w:val="000658A4"/>
    <w:rsid w:val="00065BD4"/>
    <w:rsid w:val="000675CF"/>
    <w:rsid w:val="00071173"/>
    <w:rsid w:val="0007246F"/>
    <w:rsid w:val="000746A5"/>
    <w:rsid w:val="00074EA0"/>
    <w:rsid w:val="000776CA"/>
    <w:rsid w:val="00077CC4"/>
    <w:rsid w:val="0008246A"/>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5FB3"/>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2B95"/>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612D"/>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4248"/>
    <w:rsid w:val="004A698E"/>
    <w:rsid w:val="004A7606"/>
    <w:rsid w:val="004B1DBB"/>
    <w:rsid w:val="004B56C6"/>
    <w:rsid w:val="004B7E99"/>
    <w:rsid w:val="004C1A6A"/>
    <w:rsid w:val="004C304C"/>
    <w:rsid w:val="004C38FF"/>
    <w:rsid w:val="004C5C41"/>
    <w:rsid w:val="004D13C8"/>
    <w:rsid w:val="004D4F44"/>
    <w:rsid w:val="004D5D20"/>
    <w:rsid w:val="004D6148"/>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67AC4"/>
    <w:rsid w:val="00575199"/>
    <w:rsid w:val="005770F6"/>
    <w:rsid w:val="00577899"/>
    <w:rsid w:val="00577BDD"/>
    <w:rsid w:val="005811A3"/>
    <w:rsid w:val="005833E4"/>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2EDE"/>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4964"/>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52F1"/>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969E6"/>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785"/>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8699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1652"/>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08CB"/>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325FB3"/>
    <w:rPr>
      <w:sz w:val="16"/>
      <w:szCs w:val="16"/>
    </w:rPr>
  </w:style>
  <w:style w:type="paragraph" w:styleId="CommentText">
    <w:name w:val="annotation text"/>
    <w:basedOn w:val="Normal"/>
    <w:link w:val="CommentTextChar"/>
    <w:uiPriority w:val="99"/>
    <w:semiHidden/>
    <w:unhideWhenUsed/>
    <w:rsid w:val="00325FB3"/>
    <w:pPr>
      <w:spacing w:line="240" w:lineRule="auto"/>
    </w:pPr>
    <w:rPr>
      <w:szCs w:val="20"/>
    </w:rPr>
  </w:style>
  <w:style w:type="character" w:customStyle="1" w:styleId="CommentTextChar">
    <w:name w:val="Comment Text Char"/>
    <w:basedOn w:val="DefaultParagraphFont"/>
    <w:link w:val="CommentText"/>
    <w:uiPriority w:val="99"/>
    <w:semiHidden/>
    <w:rsid w:val="00325FB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325FB3"/>
    <w:rPr>
      <w:b/>
      <w:bCs/>
    </w:rPr>
  </w:style>
  <w:style w:type="character" w:customStyle="1" w:styleId="CommentSubjectChar">
    <w:name w:val="Comment Subject Char"/>
    <w:basedOn w:val="CommentTextChar"/>
    <w:link w:val="CommentSubject"/>
    <w:uiPriority w:val="99"/>
    <w:semiHidden/>
    <w:rsid w:val="00325FB3"/>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325FB3"/>
    <w:rPr>
      <w:sz w:val="16"/>
      <w:szCs w:val="16"/>
    </w:rPr>
  </w:style>
  <w:style w:type="paragraph" w:styleId="CommentText">
    <w:name w:val="annotation text"/>
    <w:basedOn w:val="Normal"/>
    <w:link w:val="CommentTextChar"/>
    <w:uiPriority w:val="99"/>
    <w:semiHidden/>
    <w:unhideWhenUsed/>
    <w:rsid w:val="00325FB3"/>
    <w:pPr>
      <w:spacing w:line="240" w:lineRule="auto"/>
    </w:pPr>
    <w:rPr>
      <w:szCs w:val="20"/>
    </w:rPr>
  </w:style>
  <w:style w:type="character" w:customStyle="1" w:styleId="CommentTextChar">
    <w:name w:val="Comment Text Char"/>
    <w:basedOn w:val="DefaultParagraphFont"/>
    <w:link w:val="CommentText"/>
    <w:uiPriority w:val="99"/>
    <w:semiHidden/>
    <w:rsid w:val="00325FB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325FB3"/>
    <w:rPr>
      <w:b/>
      <w:bCs/>
    </w:rPr>
  </w:style>
  <w:style w:type="character" w:customStyle="1" w:styleId="CommentSubjectChar">
    <w:name w:val="Comment Subject Char"/>
    <w:basedOn w:val="CommentTextChar"/>
    <w:link w:val="CommentSubject"/>
    <w:uiPriority w:val="99"/>
    <w:semiHidden/>
    <w:rsid w:val="00325FB3"/>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ACA1E-74C0-41AB-919C-11AE4E6B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Vu Thi Kim Thao</dc:creator>
  <cp:lastModifiedBy>Caillot</cp:lastModifiedBy>
  <cp:revision>2</cp:revision>
  <cp:lastPrinted>2016-02-10T13:47:00Z</cp:lastPrinted>
  <dcterms:created xsi:type="dcterms:W3CDTF">2016-02-10T17:20:00Z</dcterms:created>
  <dcterms:modified xsi:type="dcterms:W3CDTF">2016-02-10T17:20:00Z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1522719F</vt:lpwstr>
  </property>
  <property fmtid="{D5CDD505-2E9C-101B-9397-08002B2CF9AE}" pid="3" name="ODSRefJobNo">
    <vt:lpwstr>1529099F</vt:lpwstr>
  </property>
  <property fmtid="{D5CDD505-2E9C-101B-9397-08002B2CF9AE}" pid="4" name="Symbol1">
    <vt:lpwstr>ECE/TRANS/WP.29/2016/7</vt:lpwstr>
  </property>
  <property fmtid="{D5CDD505-2E9C-101B-9397-08002B2CF9AE}" pid="5" name="Symbol2">
    <vt:lpwstr/>
  </property>
  <property fmtid="{D5CDD505-2E9C-101B-9397-08002B2CF9AE}" pid="6" name="Translator">
    <vt:lpwstr/>
  </property>
  <property fmtid="{D5CDD505-2E9C-101B-9397-08002B2CF9AE}" pid="7" name="Operator">
    <vt:lpwstr>tvu</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23 décembre 2015</vt:lpwstr>
  </property>
  <property fmtid="{D5CDD505-2E9C-101B-9397-08002B2CF9AE}" pid="12" name="Original">
    <vt:lpwstr>anglais</vt:lpwstr>
  </property>
  <property fmtid="{D5CDD505-2E9C-101B-9397-08002B2CF9AE}" pid="13" name="Release Date">
    <vt:lpwstr>100216</vt:lpwstr>
  </property>
</Properties>
</file>