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6229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4679B3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6229D" w:rsidP="00A6229D">
            <w:pPr>
              <w:jc w:val="right"/>
            </w:pPr>
            <w:r w:rsidRPr="00A6229D">
              <w:rPr>
                <w:sz w:val="40"/>
              </w:rPr>
              <w:t>ECE</w:t>
            </w:r>
            <w:r>
              <w:t>/TRANS/WP.29/2016/56</w:t>
            </w:r>
          </w:p>
        </w:tc>
      </w:tr>
      <w:tr w:rsidR="00F35BAF" w:rsidRPr="00DB58B5" w:rsidTr="004679B3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4679B3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4679B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6229D" w:rsidP="004679B3">
            <w:pPr>
              <w:spacing w:before="240"/>
            </w:pPr>
            <w:r>
              <w:t>Distr. générale</w:t>
            </w:r>
          </w:p>
          <w:p w:rsidR="00A6229D" w:rsidRDefault="00A6229D" w:rsidP="00A6229D">
            <w:pPr>
              <w:spacing w:line="240" w:lineRule="exact"/>
            </w:pPr>
            <w:r>
              <w:t>6 avril 2016</w:t>
            </w:r>
          </w:p>
          <w:p w:rsidR="00A6229D" w:rsidRDefault="00A6229D" w:rsidP="00A6229D">
            <w:pPr>
              <w:spacing w:line="240" w:lineRule="exact"/>
            </w:pPr>
            <w:r>
              <w:t>Français</w:t>
            </w:r>
          </w:p>
          <w:p w:rsidR="00A6229D" w:rsidRPr="00DB58B5" w:rsidRDefault="00A6229D" w:rsidP="00A6229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79B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6229D" w:rsidRDefault="00A6229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679B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1B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6229D" w:rsidRDefault="00A6229D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A6229D">
        <w:rPr>
          <w:b/>
          <w:vertAlign w:val="superscript"/>
        </w:rPr>
        <w:t>e</w:t>
      </w:r>
      <w:r>
        <w:rPr>
          <w:b/>
        </w:rPr>
        <w:t> session</w:t>
      </w:r>
    </w:p>
    <w:p w:rsidR="00A6229D" w:rsidRDefault="00A6229D" w:rsidP="00AF0CB5">
      <w:pPr>
        <w:spacing w:line="240" w:lineRule="exact"/>
      </w:pPr>
      <w:r>
        <w:t>Genève, 21-24 juin 2016</w:t>
      </w:r>
    </w:p>
    <w:p w:rsidR="00A6229D" w:rsidRDefault="00A6229D" w:rsidP="00AF0CB5">
      <w:pPr>
        <w:spacing w:line="240" w:lineRule="exact"/>
      </w:pPr>
      <w:r>
        <w:t>Point 4.9.8 de l</w:t>
      </w:r>
      <w:r w:rsidR="004679B3">
        <w:t>’</w:t>
      </w:r>
      <w:r>
        <w:t>ordre du jour provisoire</w:t>
      </w:r>
    </w:p>
    <w:p w:rsidR="00A6229D" w:rsidRPr="00FA4569" w:rsidRDefault="00A6229D" w:rsidP="00A6229D">
      <w:pPr>
        <w:rPr>
          <w:b/>
        </w:rPr>
      </w:pPr>
      <w:r w:rsidRPr="00FA4569">
        <w:rPr>
          <w:b/>
        </w:rPr>
        <w:t xml:space="preserve">Accord de 1958 </w:t>
      </w:r>
      <w:r w:rsidR="001B27E4">
        <w:rPr>
          <w:b/>
        </w:rPr>
        <w:t>−</w:t>
      </w:r>
      <w:r w:rsidRPr="00FA4569">
        <w:rPr>
          <w:b/>
        </w:rPr>
        <w:t xml:space="preserve"> Examen de projets d</w:t>
      </w:r>
      <w:r w:rsidR="004679B3">
        <w:rPr>
          <w:b/>
        </w:rPr>
        <w:t>’</w:t>
      </w:r>
      <w:r w:rsidRPr="00FA4569">
        <w:rPr>
          <w:b/>
        </w:rPr>
        <w:t xml:space="preserve">amendements </w:t>
      </w:r>
      <w:r>
        <w:rPr>
          <w:b/>
        </w:rPr>
        <w:br/>
      </w:r>
      <w:r w:rsidRPr="00FA4569">
        <w:rPr>
          <w:b/>
        </w:rPr>
        <w:t xml:space="preserve">à des Règlements existants, proposés par le GRRF </w:t>
      </w:r>
    </w:p>
    <w:p w:rsidR="00A6229D" w:rsidRPr="00FA4569" w:rsidRDefault="00A6229D" w:rsidP="00A6229D">
      <w:pPr>
        <w:pStyle w:val="HChG"/>
      </w:pPr>
      <w:r>
        <w:tab/>
      </w:r>
      <w:r>
        <w:tab/>
      </w:r>
      <w:r w:rsidRPr="00FA4569">
        <w:t>Proposition de complément 3 à la série</w:t>
      </w:r>
      <w:r w:rsidR="001B27E4">
        <w:t xml:space="preserve"> </w:t>
      </w:r>
      <w:r w:rsidRPr="00FA4569">
        <w:t>03 d</w:t>
      </w:r>
      <w:r w:rsidR="004679B3">
        <w:t>’</w:t>
      </w:r>
      <w:r w:rsidRPr="00FA4569">
        <w:t xml:space="preserve">amendements </w:t>
      </w:r>
      <w:r>
        <w:br/>
      </w:r>
      <w:r w:rsidRPr="00FA4569">
        <w:t>au Règlement n</w:t>
      </w:r>
      <w:r w:rsidRPr="00FA4569">
        <w:rPr>
          <w:vertAlign w:val="superscript"/>
        </w:rPr>
        <w:t>o</w:t>
      </w:r>
      <w:r w:rsidRPr="00FA4569">
        <w:t xml:space="preserve"> 78 (Système de freinage des véhicules </w:t>
      </w:r>
      <w:r>
        <w:br/>
      </w:r>
      <w:r w:rsidRPr="00FA4569">
        <w:t>de la catégorie L)</w:t>
      </w:r>
    </w:p>
    <w:p w:rsidR="00A6229D" w:rsidRPr="00FA4569" w:rsidRDefault="00A6229D" w:rsidP="00A6229D">
      <w:pPr>
        <w:pStyle w:val="H1G"/>
      </w:pPr>
      <w:r>
        <w:tab/>
      </w:r>
      <w:r>
        <w:tab/>
      </w:r>
      <w:r w:rsidRPr="00FA4569">
        <w:t xml:space="preserve">Communication du Groupe de travail en matière de roulement </w:t>
      </w:r>
      <w:r>
        <w:br/>
      </w:r>
      <w:r w:rsidRPr="00FA4569">
        <w:t>et de freinage</w:t>
      </w:r>
      <w:r w:rsidR="005339A0" w:rsidRPr="005339A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A6229D" w:rsidRDefault="00A6229D" w:rsidP="00A6229D">
      <w:pPr>
        <w:pStyle w:val="SingleTxtG"/>
        <w:ind w:firstLine="567"/>
      </w:pPr>
      <w:r>
        <w:t xml:space="preserve">Le texte reproduit ci-dessous </w:t>
      </w:r>
      <w:r w:rsidRPr="00FA4569">
        <w:t xml:space="preserve">a été adopté par le Groupe de travail en matière de roulement et de freinage (GRRF) à sa quatre-vingtième session (ECE/TRANS/WP.29/GRRF/80, </w:t>
      </w:r>
      <w:r w:rsidR="001B27E4">
        <w:t>par. </w:t>
      </w:r>
      <w:r>
        <w:t xml:space="preserve">21) et à sa </w:t>
      </w:r>
      <w:r w:rsidRPr="00FA4569">
        <w:t>quatre-</w:t>
      </w:r>
      <w:r w:rsidR="005339A0">
        <w:t>vingt</w:t>
      </w:r>
      <w:r>
        <w:t xml:space="preserve">-unième </w:t>
      </w:r>
      <w:r w:rsidRPr="00FA4569">
        <w:t>session</w:t>
      </w:r>
      <w:r>
        <w:t xml:space="preserve"> </w:t>
      </w:r>
      <w:r w:rsidRPr="00FA4569">
        <w:t>(ECE/TRANS/WP.29/GRRF/8</w:t>
      </w:r>
      <w:r>
        <w:t>1</w:t>
      </w:r>
      <w:r w:rsidRPr="00FA4569">
        <w:t xml:space="preserve">, </w:t>
      </w:r>
      <w:r w:rsidR="001B27E4">
        <w:t>par. </w:t>
      </w:r>
      <w:r>
        <w:t>21</w:t>
      </w:r>
      <w:r w:rsidRPr="00FA4569">
        <w:t xml:space="preserve"> </w:t>
      </w:r>
      <w:r>
        <w:t xml:space="preserve">à 23). Il </w:t>
      </w:r>
      <w:r w:rsidRPr="00FA4569">
        <w:t>est fondé sur l</w:t>
      </w:r>
      <w:r w:rsidR="004679B3">
        <w:t>’</w:t>
      </w:r>
      <w:r w:rsidRPr="00FA4569">
        <w:t>annexe</w:t>
      </w:r>
      <w:r w:rsidR="001B27E4">
        <w:t xml:space="preserve"> </w:t>
      </w:r>
      <w:r w:rsidRPr="00FA4569">
        <w:t>I</w:t>
      </w:r>
      <w:r>
        <w:t>V</w:t>
      </w:r>
      <w:r w:rsidRPr="00FA4569">
        <w:t xml:space="preserve"> du rapport de la</w:t>
      </w:r>
      <w:r>
        <w:t xml:space="preserve"> </w:t>
      </w:r>
      <w:r w:rsidRPr="00FA4569">
        <w:t xml:space="preserve">quatre-vingtième session </w:t>
      </w:r>
      <w:r>
        <w:t>et sur l</w:t>
      </w:r>
      <w:r w:rsidR="004679B3">
        <w:t>’</w:t>
      </w:r>
      <w:r>
        <w:t xml:space="preserve">annexe III du rapport de la </w:t>
      </w:r>
      <w:r w:rsidR="005339A0" w:rsidRPr="00FA4569">
        <w:t>quatre-ving</w:t>
      </w:r>
      <w:r w:rsidR="005339A0">
        <w:t>t-unième</w:t>
      </w:r>
      <w:r>
        <w:t xml:space="preserve"> session,</w:t>
      </w:r>
      <w:r w:rsidRPr="00FA4569">
        <w:t xml:space="preserve"> ECE/TRANS/WP.29/GRRF/</w:t>
      </w:r>
      <w:r>
        <w:t xml:space="preserve">2015/42 et </w:t>
      </w:r>
      <w:r w:rsidRPr="00FA4569">
        <w:t>ECE/TRANS/WP.29/GRRF/</w:t>
      </w:r>
      <w:r>
        <w:t xml:space="preserve">2016/23 tel que modifié par le paragraphe 23. </w:t>
      </w:r>
      <w:r w:rsidRPr="00F175E8">
        <w:t>Il est présenté au Forum mondial de l</w:t>
      </w:r>
      <w:r w:rsidR="004679B3">
        <w:t>’</w:t>
      </w:r>
      <w:r w:rsidRPr="00F175E8">
        <w:t>harmonisation des Règlements concernant les véhicules (WP.29) et au Comité d</w:t>
      </w:r>
      <w:r w:rsidR="004679B3">
        <w:t>’</w:t>
      </w:r>
      <w:r w:rsidRPr="00F175E8">
        <w:t xml:space="preserve">administration (AC.1) pour examen à leurs sessions de </w:t>
      </w:r>
      <w:r>
        <w:t>juin</w:t>
      </w:r>
      <w:r w:rsidRPr="00F175E8">
        <w:t xml:space="preserve"> 2016.</w:t>
      </w:r>
      <w:r>
        <w:t xml:space="preserve"> </w:t>
      </w:r>
    </w:p>
    <w:p w:rsidR="00A6229D" w:rsidRPr="00D03F93" w:rsidRDefault="00A6229D" w:rsidP="004D5B18">
      <w:pPr>
        <w:pStyle w:val="HChG"/>
        <w:rPr>
          <w:lang w:val="fr-FR"/>
        </w:rPr>
      </w:pPr>
      <w:r>
        <w:br w:type="page"/>
      </w:r>
      <w:r w:rsidR="004D5B18">
        <w:lastRenderedPageBreak/>
        <w:tab/>
      </w:r>
      <w:r w:rsidR="004D5B18">
        <w:tab/>
      </w:r>
      <w:r w:rsidR="004D5B18" w:rsidRPr="00D03F93">
        <w:rPr>
          <w:lang w:val="fr-FR"/>
        </w:rPr>
        <w:t xml:space="preserve">Complément </w:t>
      </w:r>
      <w:r w:rsidRPr="00D03F93">
        <w:rPr>
          <w:lang w:val="fr-FR"/>
        </w:rPr>
        <w:t>3 à la série 03 d</w:t>
      </w:r>
      <w:r w:rsidR="004679B3">
        <w:rPr>
          <w:lang w:val="fr-FR"/>
        </w:rPr>
        <w:t>’</w:t>
      </w:r>
      <w:r w:rsidRPr="00D03F93">
        <w:rPr>
          <w:lang w:val="fr-FR"/>
        </w:rPr>
        <w:t xml:space="preserve">amendements </w:t>
      </w:r>
      <w:r w:rsidR="004D5B18">
        <w:rPr>
          <w:lang w:val="fr-FR"/>
        </w:rPr>
        <w:br/>
      </w:r>
      <w:r w:rsidRPr="00D03F93">
        <w:rPr>
          <w:lang w:val="fr-FR"/>
        </w:rPr>
        <w:t>au Règlement n</w:t>
      </w:r>
      <w:r w:rsidRPr="00D03F93">
        <w:rPr>
          <w:vertAlign w:val="superscript"/>
          <w:lang w:val="fr-FR"/>
        </w:rPr>
        <w:t>o</w:t>
      </w:r>
      <w:r w:rsidRPr="00D03F93">
        <w:rPr>
          <w:lang w:val="fr-FR"/>
        </w:rPr>
        <w:t xml:space="preserve"> 78 </w:t>
      </w:r>
      <w:r>
        <w:rPr>
          <w:lang w:val="fr-FR"/>
        </w:rPr>
        <w:t>(</w:t>
      </w:r>
      <w:r w:rsidRPr="00B10088">
        <w:rPr>
          <w:bCs/>
        </w:rPr>
        <w:t xml:space="preserve">Système de freinage </w:t>
      </w:r>
      <w:r w:rsidR="004D5B18">
        <w:rPr>
          <w:bCs/>
        </w:rPr>
        <w:br/>
      </w:r>
      <w:r w:rsidRPr="00B10088">
        <w:rPr>
          <w:bCs/>
        </w:rPr>
        <w:t xml:space="preserve">des </w:t>
      </w:r>
      <w:r w:rsidRPr="00D03F93">
        <w:rPr>
          <w:lang w:val="fr-FR"/>
        </w:rPr>
        <w:t>véhicule</w:t>
      </w:r>
      <w:r>
        <w:rPr>
          <w:lang w:val="fr-FR"/>
        </w:rPr>
        <w:t>s de la catégorie L)</w:t>
      </w:r>
    </w:p>
    <w:p w:rsidR="00A6229D" w:rsidRPr="00D03F93" w:rsidRDefault="00A6229D" w:rsidP="00B25C46">
      <w:pPr>
        <w:pStyle w:val="SingleTxtG"/>
        <w:spacing w:after="100"/>
      </w:pPr>
      <w:r w:rsidRPr="00D03F93">
        <w:rPr>
          <w:i/>
        </w:rPr>
        <w:t>Paragraphe 1</w:t>
      </w:r>
      <w:r w:rsidRPr="00D03F93">
        <w:t>, modifier comme suit :</w:t>
      </w:r>
    </w:p>
    <w:p w:rsidR="00A6229D" w:rsidRPr="00D03F93" w:rsidRDefault="00A6229D" w:rsidP="00B25C46">
      <w:pPr>
        <w:pStyle w:val="SingleTxtG"/>
        <w:spacing w:after="100"/>
        <w:ind w:left="2268" w:hanging="1134"/>
      </w:pPr>
      <w:r w:rsidRPr="00D03F93">
        <w:t>« 1.</w:t>
      </w:r>
      <w:r w:rsidRPr="00D03F93">
        <w:tab/>
      </w:r>
      <w:r w:rsidRPr="00D03F93">
        <w:tab/>
        <w:t>…</w:t>
      </w:r>
    </w:p>
    <w:p w:rsidR="00A6229D" w:rsidRPr="00D03F93" w:rsidRDefault="00A6229D" w:rsidP="00B25C46">
      <w:pPr>
        <w:pStyle w:val="SingleTxtG"/>
        <w:spacing w:after="100"/>
        <w:ind w:left="2268"/>
        <w:rPr>
          <w:vertAlign w:val="superscript"/>
          <w:lang w:val="fr-FR"/>
        </w:rPr>
      </w:pPr>
      <w:r w:rsidRPr="00D03F93">
        <w:tab/>
      </w:r>
      <w:r w:rsidRPr="00D03F93">
        <w:rPr>
          <w:lang w:val="fr-FR"/>
        </w:rPr>
        <w:t>Le présent Règlement s</w:t>
      </w:r>
      <w:r w:rsidR="004679B3">
        <w:rPr>
          <w:lang w:val="fr-FR"/>
        </w:rPr>
        <w:t>’</w:t>
      </w:r>
      <w:r w:rsidRPr="00D03F93">
        <w:rPr>
          <w:lang w:val="fr-FR"/>
        </w:rPr>
        <w:t xml:space="preserve">applique aux véhicules </w:t>
      </w:r>
      <w:r w:rsidRPr="005339A0">
        <w:rPr>
          <w:lang w:val="fr-FR"/>
        </w:rPr>
        <w:t>de la catégorie L</w:t>
      </w:r>
      <w:r w:rsidRPr="00D03F93">
        <w:rPr>
          <w:vertAlign w:val="superscript"/>
          <w:lang w:val="fr-FR"/>
        </w:rPr>
        <w:t>1</w:t>
      </w:r>
      <w:r w:rsidRPr="00D03F93">
        <w:rPr>
          <w:lang w:val="fr-FR"/>
        </w:rPr>
        <w:t>.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… ».</w:t>
      </w:r>
    </w:p>
    <w:p w:rsidR="00A6229D" w:rsidRPr="00D03F93" w:rsidRDefault="00A6229D" w:rsidP="00B25C46">
      <w:pPr>
        <w:pStyle w:val="SingleTxtG"/>
        <w:spacing w:after="100"/>
      </w:pPr>
      <w:r w:rsidRPr="00D03F93">
        <w:rPr>
          <w:i/>
          <w:lang w:val="fr-FR"/>
        </w:rPr>
        <w:t xml:space="preserve">Paragraphe </w:t>
      </w:r>
      <w:r w:rsidRPr="00D03F93">
        <w:rPr>
          <w:i/>
        </w:rPr>
        <w:t>2.6</w:t>
      </w:r>
      <w:r w:rsidRPr="00D03F93">
        <w:t>, modifier comme suit :</w:t>
      </w:r>
    </w:p>
    <w:p w:rsidR="00A6229D" w:rsidRPr="00D03F93" w:rsidRDefault="00A6229D" w:rsidP="00B25C46">
      <w:pPr>
        <w:pStyle w:val="SingleTxtG"/>
        <w:spacing w:after="100"/>
        <w:ind w:left="2268" w:hanging="1134"/>
      </w:pPr>
      <w:r w:rsidRPr="00D03F93">
        <w:t>« 2.6</w:t>
      </w:r>
      <w:r w:rsidRPr="00D03F93">
        <w:tab/>
      </w:r>
      <w:r w:rsidRPr="00D03F93">
        <w:tab/>
      </w:r>
      <w:r w:rsidRPr="00D03F93">
        <w:rPr>
          <w:lang w:val="fr-FR"/>
        </w:rPr>
        <w:t>Par “</w:t>
      </w:r>
      <w:r w:rsidRPr="005339A0">
        <w:rPr>
          <w:lang w:val="fr-FR"/>
        </w:rPr>
        <w:t>système de freinage intégral</w:t>
      </w:r>
      <w:r w:rsidRPr="00D03F93">
        <w:rPr>
          <w:lang w:val="fr-FR"/>
        </w:rPr>
        <w:t>” :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Pour les véhicules des catégories L</w:t>
      </w:r>
      <w:r w:rsidRPr="00D03F93">
        <w:rPr>
          <w:vertAlign w:val="subscript"/>
          <w:lang w:val="fr-FR"/>
        </w:rPr>
        <w:t>1</w:t>
      </w:r>
      <w:r w:rsidRPr="00D03F93">
        <w:rPr>
          <w:lang w:val="fr-FR"/>
        </w:rPr>
        <w:t xml:space="preserve"> et L</w:t>
      </w:r>
      <w:r w:rsidRPr="00D03F93">
        <w:rPr>
          <w:vertAlign w:val="subscript"/>
          <w:lang w:val="fr-FR"/>
        </w:rPr>
        <w:t>3</w:t>
      </w:r>
      <w:r w:rsidRPr="00D03F93">
        <w:rPr>
          <w:lang w:val="fr-FR"/>
        </w:rPr>
        <w:t>, un système de frein de service dans lequel au</w:t>
      </w:r>
      <w:r w:rsidR="001B27E4">
        <w:rPr>
          <w:lang w:val="fr-FR"/>
        </w:rPr>
        <w:t xml:space="preserve"> </w:t>
      </w:r>
      <w:r w:rsidRPr="00D03F93">
        <w:rPr>
          <w:lang w:val="fr-FR"/>
        </w:rPr>
        <w:t>moins deux freins agissant sur des roues différentes sont actionnés par la</w:t>
      </w:r>
      <w:r w:rsidR="001B27E4">
        <w:rPr>
          <w:lang w:val="fr-FR"/>
        </w:rPr>
        <w:t xml:space="preserve"> </w:t>
      </w:r>
      <w:r w:rsidRPr="00D03F93">
        <w:rPr>
          <w:lang w:val="fr-FR"/>
        </w:rPr>
        <w:t>manœuvre d</w:t>
      </w:r>
      <w:r w:rsidR="004679B3">
        <w:rPr>
          <w:lang w:val="fr-FR"/>
        </w:rPr>
        <w:t>’</w:t>
      </w:r>
      <w:r w:rsidRPr="00D03F93">
        <w:rPr>
          <w:lang w:val="fr-FR"/>
        </w:rPr>
        <w:t>une</w:t>
      </w:r>
      <w:r w:rsidR="001B27E4">
        <w:rPr>
          <w:lang w:val="fr-FR"/>
        </w:rPr>
        <w:t xml:space="preserve"> </w:t>
      </w:r>
      <w:r w:rsidRPr="00D03F93">
        <w:rPr>
          <w:lang w:val="fr-FR"/>
        </w:rPr>
        <w:t>seule commande.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 xml:space="preserve">Pour les véhicules des 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2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5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6</w:t>
      </w:r>
      <w:r w:rsidRPr="005339A0">
        <w:rPr>
          <w:lang w:val="fr-FR"/>
        </w:rPr>
        <w:t xml:space="preserve"> et L</w:t>
      </w:r>
      <w:r w:rsidRPr="005339A0">
        <w:rPr>
          <w:vertAlign w:val="subscript"/>
          <w:lang w:val="fr-FR"/>
        </w:rPr>
        <w:t>7</w:t>
      </w:r>
      <w:r w:rsidRPr="00D03F93">
        <w:rPr>
          <w:lang w:val="fr-FR"/>
        </w:rPr>
        <w:t>, un système de frein de service dans lequel les freins agissant sur toutes les roues sont actionnés par la manœuvre d</w:t>
      </w:r>
      <w:r w:rsidR="004679B3">
        <w:rPr>
          <w:lang w:val="fr-FR"/>
        </w:rPr>
        <w:t>’</w:t>
      </w:r>
      <w:r w:rsidRPr="00D03F93">
        <w:rPr>
          <w:lang w:val="fr-FR"/>
        </w:rPr>
        <w:t>une seule commande.</w:t>
      </w:r>
    </w:p>
    <w:p w:rsidR="00A6229D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… ».</w:t>
      </w:r>
    </w:p>
    <w:p w:rsidR="00A6229D" w:rsidRDefault="00A6229D" w:rsidP="00B25C46">
      <w:pPr>
        <w:pStyle w:val="SingleTxtG"/>
        <w:spacing w:after="100"/>
        <w:rPr>
          <w:sz w:val="24"/>
        </w:rPr>
      </w:pPr>
      <w:r w:rsidRPr="00045A14">
        <w:rPr>
          <w:i/>
          <w:lang w:val="fr-FR"/>
        </w:rPr>
        <w:t>Ajouter un nouveau paragraphe 2.30</w:t>
      </w:r>
      <w:r>
        <w:rPr>
          <w:lang w:val="fr-FR"/>
        </w:rPr>
        <w:t>, ainsi conçu :</w:t>
      </w:r>
    </w:p>
    <w:p w:rsidR="00A6229D" w:rsidRPr="00E277CC" w:rsidRDefault="00A6229D" w:rsidP="00B25C46">
      <w:pPr>
        <w:pStyle w:val="SingleTxtG"/>
        <w:spacing w:after="100"/>
        <w:ind w:left="2268" w:hanging="1134"/>
      </w:pPr>
      <w:r w:rsidRPr="00E277CC">
        <w:rPr>
          <w:lang w:val="fr-FR"/>
        </w:rPr>
        <w:t>« 2.30</w:t>
      </w:r>
      <w:r w:rsidRPr="00E277CC">
        <w:rPr>
          <w:lang w:val="fr-FR"/>
        </w:rPr>
        <w:tab/>
        <w:t>Par “</w:t>
      </w:r>
      <w:r>
        <w:rPr>
          <w:lang w:val="fr-FR"/>
        </w:rPr>
        <w:t>s</w:t>
      </w:r>
      <w:r w:rsidRPr="00E277CC">
        <w:rPr>
          <w:lang w:val="fr-FR"/>
        </w:rPr>
        <w:t>ignal de freinage d</w:t>
      </w:r>
      <w:r w:rsidR="004679B3">
        <w:rPr>
          <w:lang w:val="fr-FR"/>
        </w:rPr>
        <w:t>’</w:t>
      </w:r>
      <w:r w:rsidRPr="00E277CC">
        <w:rPr>
          <w:lang w:val="fr-FR"/>
        </w:rPr>
        <w:t>urgenceˮ, un signal logique indiquant l</w:t>
      </w:r>
      <w:r w:rsidR="004679B3">
        <w:rPr>
          <w:lang w:val="fr-FR"/>
        </w:rPr>
        <w:t>’</w:t>
      </w:r>
      <w:r w:rsidRPr="00E277CC">
        <w:rPr>
          <w:lang w:val="fr-FR"/>
        </w:rPr>
        <w:t>actionnement du freinage d</w:t>
      </w:r>
      <w:r w:rsidR="004679B3">
        <w:rPr>
          <w:lang w:val="fr-FR"/>
        </w:rPr>
        <w:t>’</w:t>
      </w:r>
      <w:r w:rsidRPr="00E277CC">
        <w:rPr>
          <w:lang w:val="fr-FR"/>
        </w:rPr>
        <w:t>urgence comme indiqué aux paragraphes 5.1.15 à 5.1.15.2 du présent Règlement. ».</w:t>
      </w:r>
    </w:p>
    <w:p w:rsidR="00A6229D" w:rsidRPr="00D03F93" w:rsidRDefault="00A6229D" w:rsidP="00B25C46">
      <w:pPr>
        <w:pStyle w:val="SingleTxtG"/>
        <w:spacing w:after="100"/>
        <w:rPr>
          <w:lang w:val="fr-FR"/>
        </w:rPr>
      </w:pPr>
      <w:r w:rsidRPr="00E277CC">
        <w:rPr>
          <w:i/>
          <w:lang w:val="fr-FR"/>
        </w:rPr>
        <w:t>Paragraphe 5.1.4</w:t>
      </w:r>
      <w:r w:rsidRPr="00D03F93">
        <w:rPr>
          <w:lang w:val="fr-FR"/>
        </w:rPr>
        <w:t>, modifier comme suit :</w:t>
      </w:r>
    </w:p>
    <w:p w:rsidR="00A6229D" w:rsidRPr="00D03F93" w:rsidRDefault="00A6229D" w:rsidP="00B25C46">
      <w:pPr>
        <w:pStyle w:val="SingleTxtG"/>
        <w:spacing w:after="100"/>
        <w:ind w:left="2268" w:hanging="1134"/>
        <w:rPr>
          <w:lang w:val="fr-FR"/>
        </w:rPr>
      </w:pPr>
      <w:r w:rsidRPr="00D03F93">
        <w:rPr>
          <w:lang w:val="fr-FR"/>
        </w:rPr>
        <w:t>« 5.1.4</w:t>
      </w:r>
      <w:r w:rsidRPr="00D03F93">
        <w:rPr>
          <w:lang w:val="fr-FR"/>
        </w:rPr>
        <w:tab/>
        <w:t>Système de frein de stationnement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Si le véhicule est équipé d</w:t>
      </w:r>
      <w:r w:rsidR="004679B3">
        <w:rPr>
          <w:lang w:val="fr-FR"/>
        </w:rPr>
        <w:t>’</w:t>
      </w:r>
      <w:r w:rsidRPr="00D03F93">
        <w:rPr>
          <w:lang w:val="fr-FR"/>
        </w:rPr>
        <w:t xml:space="preserve">un système de frein de stationnement, ce </w:t>
      </w:r>
      <w:r>
        <w:rPr>
          <w:lang w:val="fr-FR"/>
        </w:rPr>
        <w:t xml:space="preserve">système </w:t>
      </w:r>
      <w:r w:rsidRPr="00D03F93">
        <w:rPr>
          <w:lang w:val="fr-FR"/>
        </w:rPr>
        <w:t>doit le maintenir immobilisé sur la pente prescrite au paragraphe 1.1.4 de l</w:t>
      </w:r>
      <w:r w:rsidR="004679B3">
        <w:rPr>
          <w:lang w:val="fr-FR"/>
        </w:rPr>
        <w:t>’</w:t>
      </w:r>
      <w:r w:rsidRPr="00D03F93">
        <w:rPr>
          <w:lang w:val="fr-FR"/>
        </w:rPr>
        <w:t>annexe 3.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 xml:space="preserve">Le </w:t>
      </w:r>
      <w:r>
        <w:rPr>
          <w:lang w:val="fr-FR"/>
        </w:rPr>
        <w:t xml:space="preserve">système de </w:t>
      </w:r>
      <w:r w:rsidRPr="00D03F93">
        <w:rPr>
          <w:lang w:val="fr-FR"/>
        </w:rPr>
        <w:t xml:space="preserve">frein de stationnement </w:t>
      </w:r>
      <w:r>
        <w:rPr>
          <w:lang w:val="fr-FR"/>
        </w:rPr>
        <w:t>doit</w:t>
      </w:r>
      <w:r w:rsidR="001B27E4">
        <w:rPr>
          <w:lang w:val="fr-FR"/>
        </w:rPr>
        <w:t> </w:t>
      </w:r>
      <w:r w:rsidRPr="00D03F93">
        <w:rPr>
          <w:lang w:val="fr-FR"/>
        </w:rPr>
        <w:t>:</w:t>
      </w:r>
    </w:p>
    <w:p w:rsidR="00A6229D" w:rsidRPr="00D03F93" w:rsidRDefault="00A6229D" w:rsidP="00B25C46">
      <w:pPr>
        <w:pStyle w:val="SingleTxtG"/>
        <w:spacing w:after="100"/>
        <w:ind w:left="2835" w:hanging="567"/>
        <w:rPr>
          <w:lang w:val="fr-FR"/>
        </w:rPr>
      </w:pPr>
      <w:r w:rsidRPr="00D03F93">
        <w:rPr>
          <w:lang w:val="fr-FR"/>
        </w:rPr>
        <w:t>a)</w:t>
      </w:r>
      <w:r w:rsidRPr="00D03F93">
        <w:rPr>
          <w:lang w:val="fr-FR"/>
        </w:rPr>
        <w:tab/>
      </w:r>
      <w:r>
        <w:rPr>
          <w:lang w:val="fr-FR"/>
        </w:rPr>
        <w:t>A</w:t>
      </w:r>
      <w:r w:rsidRPr="00D03F93">
        <w:rPr>
          <w:lang w:val="fr-FR"/>
        </w:rPr>
        <w:t>voir une commande distincte des commandes du système de frein de service</w:t>
      </w:r>
      <w:r w:rsidR="001B27E4">
        <w:rPr>
          <w:lang w:val="fr-FR"/>
        </w:rPr>
        <w:t> ;</w:t>
      </w:r>
      <w:r w:rsidRPr="00D03F93">
        <w:rPr>
          <w:lang w:val="fr-FR"/>
        </w:rPr>
        <w:t xml:space="preserve"> et</w:t>
      </w:r>
    </w:p>
    <w:p w:rsidR="00A6229D" w:rsidRPr="00D03F93" w:rsidRDefault="00A6229D" w:rsidP="00B25C46">
      <w:pPr>
        <w:pStyle w:val="SingleTxtG"/>
        <w:spacing w:after="100"/>
        <w:ind w:left="2835" w:hanging="567"/>
        <w:rPr>
          <w:lang w:val="fr-FR"/>
        </w:rPr>
      </w:pPr>
      <w:r w:rsidRPr="00D03F93">
        <w:rPr>
          <w:lang w:val="fr-FR"/>
        </w:rPr>
        <w:t>b)</w:t>
      </w:r>
      <w:r w:rsidRPr="00D03F93">
        <w:rPr>
          <w:lang w:val="fr-FR"/>
        </w:rPr>
        <w:tab/>
      </w:r>
      <w:r>
        <w:rPr>
          <w:lang w:val="fr-FR"/>
        </w:rPr>
        <w:t>Ê</w:t>
      </w:r>
      <w:r w:rsidRPr="00D03F93">
        <w:rPr>
          <w:lang w:val="fr-FR"/>
        </w:rPr>
        <w:t>tre maintenu en position bloquée par des moyens exclusivement mécaniques.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La configuration du véhicule doit être telle que le conducteur puisse actionner le système de frein de stationnement tout en étant assis en position de conduite normale.</w:t>
      </w:r>
    </w:p>
    <w:p w:rsidR="00A6229D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ab/>
        <w:t>Dans le cas des véhicules des catégories L</w:t>
      </w:r>
      <w:r w:rsidRPr="00E277CC">
        <w:rPr>
          <w:vertAlign w:val="subscript"/>
          <w:lang w:val="fr-FR"/>
        </w:rPr>
        <w:t>2</w:t>
      </w:r>
      <w:r w:rsidRPr="00D03F93">
        <w:rPr>
          <w:lang w:val="fr-FR"/>
        </w:rPr>
        <w:t>, L</w:t>
      </w:r>
      <w:r w:rsidRPr="00E277CC">
        <w:rPr>
          <w:vertAlign w:val="subscript"/>
          <w:lang w:val="fr-FR"/>
        </w:rPr>
        <w:t>4</w:t>
      </w:r>
      <w:r w:rsidRPr="00D03F93">
        <w:rPr>
          <w:lang w:val="fr-FR"/>
        </w:rPr>
        <w:t>, L</w:t>
      </w:r>
      <w:r w:rsidRPr="007D075A">
        <w:rPr>
          <w:vertAlign w:val="subscript"/>
          <w:lang w:val="fr-FR"/>
        </w:rPr>
        <w:t>5</w:t>
      </w:r>
      <w:r w:rsidRPr="00D03F93">
        <w:rPr>
          <w:lang w:val="fr-FR"/>
        </w:rPr>
        <w:t>, L</w:t>
      </w:r>
      <w:r w:rsidRPr="007D075A">
        <w:rPr>
          <w:vertAlign w:val="subscript"/>
          <w:lang w:val="fr-FR"/>
        </w:rPr>
        <w:t>6</w:t>
      </w:r>
      <w:r w:rsidRPr="00D03F93">
        <w:rPr>
          <w:lang w:val="fr-FR"/>
        </w:rPr>
        <w:t xml:space="preserve"> et L</w:t>
      </w:r>
      <w:r w:rsidRPr="007D075A">
        <w:rPr>
          <w:vertAlign w:val="subscript"/>
          <w:lang w:val="fr-FR"/>
        </w:rPr>
        <w:t>7</w:t>
      </w:r>
      <w:r w:rsidRPr="00D03F93">
        <w:rPr>
          <w:lang w:val="fr-FR"/>
        </w:rPr>
        <w:t>, le système de frein de stationnement doit être soumis aux essais prescrits au paragraphe 8 de l</w:t>
      </w:r>
      <w:r w:rsidR="004679B3">
        <w:rPr>
          <w:lang w:val="fr-FR"/>
        </w:rPr>
        <w:t>’</w:t>
      </w:r>
      <w:r w:rsidRPr="00D03F93">
        <w:rPr>
          <w:lang w:val="fr-FR"/>
        </w:rPr>
        <w:t>annexe 3. ».</w:t>
      </w:r>
    </w:p>
    <w:p w:rsidR="00A6229D" w:rsidRPr="00D03F93" w:rsidRDefault="00A6229D" w:rsidP="00B25C46">
      <w:pPr>
        <w:pStyle w:val="SingleTxtG"/>
        <w:spacing w:after="100"/>
        <w:rPr>
          <w:lang w:val="fr-FR"/>
        </w:rPr>
      </w:pPr>
      <w:r w:rsidRPr="007D075A">
        <w:rPr>
          <w:i/>
          <w:lang w:val="fr-FR"/>
        </w:rPr>
        <w:t>Paragraphe 5.1.7</w:t>
      </w:r>
      <w:r w:rsidRPr="00D03F93">
        <w:rPr>
          <w:lang w:val="fr-FR"/>
        </w:rPr>
        <w:t>, modifier comme suit :</w:t>
      </w:r>
    </w:p>
    <w:p w:rsidR="00A6229D" w:rsidRPr="00D03F93" w:rsidRDefault="00A6229D" w:rsidP="00B25C46">
      <w:pPr>
        <w:pStyle w:val="SingleTxtG"/>
        <w:spacing w:after="100"/>
        <w:ind w:left="2268" w:hanging="1134"/>
        <w:rPr>
          <w:lang w:val="fr-FR"/>
        </w:rPr>
      </w:pPr>
      <w:r w:rsidRPr="00D03F93">
        <w:rPr>
          <w:lang w:val="fr-FR"/>
        </w:rPr>
        <w:t>« 5.1.7</w:t>
      </w:r>
      <w:r w:rsidRPr="00D03F93">
        <w:rPr>
          <w:lang w:val="fr-FR"/>
        </w:rPr>
        <w:tab/>
        <w:t>Les véhicules à trois roues de la catégorie L</w:t>
      </w:r>
      <w:r w:rsidRPr="007D075A">
        <w:rPr>
          <w:vertAlign w:val="subscript"/>
          <w:lang w:val="fr-FR"/>
        </w:rPr>
        <w:t>2</w:t>
      </w:r>
      <w:r w:rsidRPr="00D03F93">
        <w:rPr>
          <w:lang w:val="fr-FR"/>
        </w:rPr>
        <w:t xml:space="preserve"> et les véhicules à quatre roues de la catégorie L</w:t>
      </w:r>
      <w:r w:rsidRPr="007D075A">
        <w:rPr>
          <w:vertAlign w:val="subscript"/>
          <w:lang w:val="fr-FR"/>
        </w:rPr>
        <w:t>6</w:t>
      </w:r>
      <w:r w:rsidRPr="00D03F93">
        <w:rPr>
          <w:lang w:val="fr-FR"/>
        </w:rPr>
        <w:t xml:space="preserve"> doivent être équipés d</w:t>
      </w:r>
      <w:r w:rsidR="004679B3">
        <w:rPr>
          <w:lang w:val="fr-FR"/>
        </w:rPr>
        <w:t>’</w:t>
      </w:r>
      <w:r w:rsidRPr="00D03F93">
        <w:rPr>
          <w:lang w:val="fr-FR"/>
        </w:rPr>
        <w:t>un système de frein de stationnement, plus un des systèmes de frein de service suivants :</w:t>
      </w:r>
    </w:p>
    <w:p w:rsidR="00A6229D" w:rsidRPr="00D03F93" w:rsidRDefault="00A6229D" w:rsidP="00B25C46">
      <w:pPr>
        <w:pStyle w:val="SingleTxtG"/>
        <w:spacing w:after="100"/>
        <w:ind w:left="2268"/>
        <w:rPr>
          <w:lang w:val="fr-FR"/>
        </w:rPr>
      </w:pPr>
      <w:r w:rsidRPr="00D03F93">
        <w:rPr>
          <w:lang w:val="fr-FR"/>
        </w:rPr>
        <w:t>… ».</w:t>
      </w:r>
    </w:p>
    <w:p w:rsidR="00A6229D" w:rsidRPr="00D03F93" w:rsidRDefault="00A6229D" w:rsidP="004D5B18">
      <w:pPr>
        <w:pStyle w:val="SingleTxtG"/>
        <w:rPr>
          <w:lang w:val="fr-FR"/>
        </w:rPr>
      </w:pPr>
      <w:r w:rsidRPr="007D075A">
        <w:rPr>
          <w:i/>
          <w:lang w:val="fr-FR"/>
        </w:rPr>
        <w:lastRenderedPageBreak/>
        <w:t>Paragraphe 5.1.8</w:t>
      </w:r>
      <w:r w:rsidRPr="00D03F93">
        <w:rPr>
          <w:lang w:val="fr-FR"/>
        </w:rPr>
        <w:t>, modifier comme suit :</w:t>
      </w:r>
    </w:p>
    <w:p w:rsidR="00A6229D" w:rsidRDefault="00A6229D" w:rsidP="0013402F">
      <w:pPr>
        <w:pStyle w:val="SingleTxtG"/>
        <w:ind w:left="2268" w:hanging="1134"/>
        <w:rPr>
          <w:lang w:val="fr-FR"/>
        </w:rPr>
      </w:pPr>
      <w:r w:rsidRPr="00D03F93">
        <w:rPr>
          <w:lang w:val="fr-FR"/>
        </w:rPr>
        <w:t>« 5.1.8</w:t>
      </w:r>
      <w:r w:rsidRPr="00D03F93">
        <w:rPr>
          <w:lang w:val="fr-FR"/>
        </w:rPr>
        <w:tab/>
        <w:t>Les véhicules de la catégorie L</w:t>
      </w:r>
      <w:r w:rsidRPr="007D075A">
        <w:rPr>
          <w:vertAlign w:val="subscript"/>
          <w:lang w:val="fr-FR"/>
        </w:rPr>
        <w:t>5</w:t>
      </w:r>
      <w:r w:rsidRPr="00D03F93">
        <w:rPr>
          <w:lang w:val="fr-FR"/>
        </w:rPr>
        <w:t xml:space="preserve"> et les véhicules de la catégorie L</w:t>
      </w:r>
      <w:r w:rsidRPr="007D075A">
        <w:rPr>
          <w:vertAlign w:val="subscript"/>
          <w:lang w:val="fr-FR"/>
        </w:rPr>
        <w:t>7</w:t>
      </w:r>
      <w:r w:rsidRPr="00D03F93">
        <w:rPr>
          <w:lang w:val="fr-FR"/>
        </w:rPr>
        <w:t xml:space="preserve"> doivent être équipés</w:t>
      </w:r>
      <w:r w:rsidR="005339A0">
        <w:rPr>
          <w:lang w:val="fr-FR"/>
        </w:rPr>
        <w:t> : </w:t>
      </w:r>
      <w:r w:rsidRPr="00D03F93">
        <w:rPr>
          <w:lang w:val="fr-FR"/>
        </w:rPr>
        <w:t>».</w:t>
      </w:r>
    </w:p>
    <w:p w:rsidR="00A6229D" w:rsidRDefault="00A6229D" w:rsidP="004D5B18">
      <w:pPr>
        <w:pStyle w:val="SingleTxtG"/>
        <w:rPr>
          <w:lang w:val="fr-FR"/>
        </w:rPr>
      </w:pPr>
      <w:r w:rsidRPr="004D5B18">
        <w:rPr>
          <w:i/>
          <w:lang w:val="fr-FR"/>
        </w:rPr>
        <w:t>Ajouter</w:t>
      </w:r>
      <w:r w:rsidRPr="00F01020">
        <w:rPr>
          <w:i/>
        </w:rPr>
        <w:t xml:space="preserve"> un nouveau paragraphe 5.1.14</w:t>
      </w:r>
      <w:r w:rsidRPr="00F01020">
        <w:t>, ainsi conçu :</w:t>
      </w:r>
    </w:p>
    <w:p w:rsidR="00A6229D" w:rsidRDefault="00A6229D" w:rsidP="004D5B18">
      <w:pPr>
        <w:pStyle w:val="SingleTxtG"/>
        <w:ind w:left="2268" w:hanging="1134"/>
      </w:pPr>
      <w:r>
        <w:rPr>
          <w:lang w:val="fr-FR"/>
        </w:rPr>
        <w:t>« 5.1.14</w:t>
      </w:r>
      <w:r>
        <w:rPr>
          <w:lang w:val="fr-FR"/>
        </w:rPr>
        <w:tab/>
      </w:r>
      <w:r w:rsidRPr="00F01020">
        <w:t>L</w:t>
      </w:r>
      <w:r w:rsidR="004679B3">
        <w:t>’</w:t>
      </w:r>
      <w:r w:rsidRPr="00F01020">
        <w:t>efficacité des systèmes de freinage, y compris</w:t>
      </w:r>
      <w:r w:rsidR="001B27E4">
        <w:t xml:space="preserve"> </w:t>
      </w:r>
      <w:r w:rsidRPr="00F01020">
        <w:t>d</w:t>
      </w:r>
      <w:r>
        <w:t>e l</w:t>
      </w:r>
      <w:r w:rsidR="004679B3">
        <w:t>’</w:t>
      </w:r>
      <w:r>
        <w:t xml:space="preserve">ABS, </w:t>
      </w:r>
      <w:r w:rsidRPr="00F01020">
        <w:t>ne doit pas être altérée par des champs magnétiques ou électriques.</w:t>
      </w:r>
      <w:r>
        <w:t xml:space="preserve"> </w:t>
      </w:r>
      <w:r w:rsidRPr="00F01020">
        <w:t>Cette condition est remplie s</w:t>
      </w:r>
      <w:r w:rsidR="004679B3">
        <w:t>’</w:t>
      </w:r>
      <w:r w:rsidRPr="00F01020">
        <w:t xml:space="preserve">il est satisfait aux prescriptions techniques et aux dispositions transitoires du Règlement </w:t>
      </w:r>
      <w:r w:rsidR="001B27E4" w:rsidRPr="002D76F4">
        <w:rPr>
          <w:rFonts w:eastAsia="MS Mincho"/>
          <w:szCs w:val="22"/>
        </w:rPr>
        <w:t>n</w:t>
      </w:r>
      <w:r w:rsidR="001B27E4" w:rsidRPr="002D76F4">
        <w:rPr>
          <w:rFonts w:eastAsia="MS Mincho"/>
          <w:szCs w:val="22"/>
          <w:vertAlign w:val="superscript"/>
        </w:rPr>
        <w:t>o</w:t>
      </w:r>
      <w:r w:rsidR="001B27E4">
        <w:t> </w:t>
      </w:r>
      <w:r w:rsidRPr="00F01020">
        <w:t>10</w:t>
      </w:r>
      <w:r>
        <w:t xml:space="preserve"> (CEM) </w:t>
      </w:r>
      <w:r w:rsidRPr="00F01020">
        <w:t>en appliquant</w:t>
      </w:r>
      <w:r w:rsidR="001B27E4">
        <w:t> </w:t>
      </w:r>
      <w:r w:rsidRPr="00F01020">
        <w:t>:</w:t>
      </w:r>
    </w:p>
    <w:p w:rsidR="00A6229D" w:rsidRDefault="00A6229D" w:rsidP="004D5B18">
      <w:pPr>
        <w:pStyle w:val="SingleTxtG"/>
        <w:ind w:left="2835" w:hanging="567"/>
      </w:pPr>
      <w:r w:rsidRPr="00F01020">
        <w:t>a)</w:t>
      </w:r>
      <w:r w:rsidR="004D5B18">
        <w:tab/>
      </w:r>
      <w:r w:rsidRPr="00F01020">
        <w:t>La série 03 d</w:t>
      </w:r>
      <w:r w:rsidR="004679B3">
        <w:t>’</w:t>
      </w:r>
      <w:r w:rsidRPr="00F01020">
        <w:t xml:space="preserve">amendements aux véhicules dépourvus de système de </w:t>
      </w:r>
      <w:r w:rsidRPr="004D5B18">
        <w:rPr>
          <w:lang w:val="fr-FR"/>
        </w:rPr>
        <w:t>raccordement</w:t>
      </w:r>
      <w:r w:rsidRPr="00F01020">
        <w:t xml:space="preserve"> de la recharge du système rechargeable de stockage de l</w:t>
      </w:r>
      <w:r w:rsidR="004679B3">
        <w:t>’</w:t>
      </w:r>
      <w:r w:rsidRPr="00F01020">
        <w:t>énergie (batteries de traction)</w:t>
      </w:r>
      <w:r w:rsidR="001B27E4">
        <w:t> ;</w:t>
      </w:r>
      <w:r w:rsidRPr="00F01020">
        <w:t xml:space="preserve"> </w:t>
      </w:r>
    </w:p>
    <w:p w:rsidR="00A6229D" w:rsidRDefault="00A6229D" w:rsidP="004D5B18">
      <w:pPr>
        <w:pStyle w:val="SingleTxtG"/>
        <w:ind w:left="2835" w:hanging="567"/>
      </w:pPr>
      <w:r w:rsidRPr="00F01020">
        <w:t>b)</w:t>
      </w:r>
      <w:r w:rsidR="004D5B18">
        <w:tab/>
      </w:r>
      <w:r w:rsidRPr="00F01020">
        <w:t>La série 04 d</w:t>
      </w:r>
      <w:r w:rsidR="004679B3">
        <w:t>’</w:t>
      </w:r>
      <w:r w:rsidRPr="00F01020">
        <w:t>amendements aux véhicules équipés d</w:t>
      </w:r>
      <w:r w:rsidR="004679B3">
        <w:t>’</w:t>
      </w:r>
      <w:r w:rsidRPr="00F01020">
        <w:t xml:space="preserve">un système de </w:t>
      </w:r>
      <w:r w:rsidRPr="004D5B18">
        <w:rPr>
          <w:lang w:val="fr-FR"/>
        </w:rPr>
        <w:t>raccordement</w:t>
      </w:r>
      <w:r w:rsidRPr="00F01020">
        <w:t xml:space="preserve"> de la recharge du système rechargeable de stockage de l</w:t>
      </w:r>
      <w:r w:rsidR="004679B3">
        <w:t>’</w:t>
      </w:r>
      <w:r w:rsidRPr="00F01020">
        <w:t xml:space="preserve">énergie (batteries de traction). ». </w:t>
      </w:r>
    </w:p>
    <w:p w:rsidR="00A6229D" w:rsidRDefault="00A6229D" w:rsidP="004D5B18">
      <w:pPr>
        <w:pStyle w:val="SingleTxtG"/>
      </w:pPr>
      <w:r w:rsidRPr="004D5B18">
        <w:rPr>
          <w:i/>
          <w:lang w:val="fr-FR"/>
        </w:rPr>
        <w:t>Ajouter</w:t>
      </w:r>
      <w:r w:rsidRPr="00F01020">
        <w:t xml:space="preserve"> </w:t>
      </w:r>
      <w:r w:rsidRPr="004D5B18">
        <w:rPr>
          <w:i/>
        </w:rPr>
        <w:t>de nouveaux paragraphes 5.1.15 à 5.1.15.2 et une note de bas de page</w:t>
      </w:r>
      <w:r w:rsidRPr="00F01020">
        <w:t xml:space="preserve">, ainsi conçus : </w:t>
      </w:r>
    </w:p>
    <w:p w:rsidR="00A6229D" w:rsidRDefault="00A6229D" w:rsidP="004D5B18">
      <w:pPr>
        <w:pStyle w:val="SingleTxtG"/>
        <w:ind w:left="2268" w:hanging="1134"/>
      </w:pPr>
      <w:r w:rsidRPr="00F01020">
        <w:t>« 5.1.15</w:t>
      </w:r>
      <w:r w:rsidR="004D5B18">
        <w:tab/>
      </w:r>
      <w:r w:rsidRPr="00F01020">
        <w:t>Lorsqu</w:t>
      </w:r>
      <w:r w:rsidR="004679B3">
        <w:t>’</w:t>
      </w:r>
      <w:r w:rsidRPr="00F01020">
        <w:t>un véhicule est équipé de dispositifs permettant d</w:t>
      </w:r>
      <w:r w:rsidR="004679B3">
        <w:t>’</w:t>
      </w:r>
      <w:r w:rsidRPr="00F01020">
        <w:t>indiquer le freinage d</w:t>
      </w:r>
      <w:r w:rsidR="004679B3">
        <w:t>’</w:t>
      </w:r>
      <w:r w:rsidRPr="00F01020">
        <w:t>urgence, le signal de freinage d</w:t>
      </w:r>
      <w:r w:rsidR="004679B3">
        <w:t>’</w:t>
      </w:r>
      <w:r w:rsidRPr="00F01020">
        <w:t>urgence ne doit être activé</w:t>
      </w:r>
      <w:r>
        <w:t xml:space="preserve"> et désactivé</w:t>
      </w:r>
      <w:r w:rsidRPr="00F01020">
        <w:t xml:space="preserve"> que par l</w:t>
      </w:r>
      <w:r w:rsidR="004679B3">
        <w:t>’</w:t>
      </w:r>
      <w:r w:rsidRPr="00F01020">
        <w:t>utilisation du système de freinage de service lorsque les conditions ci-après sont réunies* :</w:t>
      </w:r>
    </w:p>
    <w:p w:rsidR="00A6229D" w:rsidRPr="00C94BC0" w:rsidRDefault="00A6229D" w:rsidP="004D5B18">
      <w:pPr>
        <w:pStyle w:val="SingleTxtG"/>
        <w:ind w:left="2268" w:hanging="1134"/>
      </w:pPr>
      <w:r w:rsidRPr="00C94BC0">
        <w:rPr>
          <w:lang w:val="fr-FR"/>
        </w:rPr>
        <w:t>5.1.15.1</w:t>
      </w:r>
      <w:r w:rsidRPr="00C94BC0">
        <w:rPr>
          <w:lang w:val="fr-FR"/>
        </w:rPr>
        <w:tab/>
        <w:t>Le signal ne doit pas être activé lorsque la décélération du véhicule est inférieure à 6 m/s</w:t>
      </w:r>
      <w:r w:rsidRPr="00C94BC0">
        <w:rPr>
          <w:vertAlign w:val="superscript"/>
          <w:lang w:val="fr-FR"/>
        </w:rPr>
        <w:t>2</w:t>
      </w:r>
      <w:r w:rsidRPr="00C94BC0">
        <w:rPr>
          <w:lang w:val="fr-FR"/>
        </w:rPr>
        <w:t xml:space="preserve"> mais il peut être activé en cas de décélération égale ou supérieure à cette valeur, la valeur effective étant définie par le constructeur du véhicule.</w:t>
      </w:r>
    </w:p>
    <w:p w:rsidR="00A6229D" w:rsidRPr="00C94BC0" w:rsidRDefault="00A6229D" w:rsidP="004D5B18">
      <w:pPr>
        <w:pStyle w:val="SingleTxtG"/>
        <w:ind w:left="2268"/>
      </w:pPr>
      <w:r w:rsidRPr="00C94BC0">
        <w:rPr>
          <w:lang w:val="fr-FR"/>
        </w:rPr>
        <w:t>Le signal doit être désactivé au plus tard lorsque la décélération est tombée en dessous de 2,5 m/s</w:t>
      </w:r>
      <w:r w:rsidRPr="00C94BC0">
        <w:rPr>
          <w:vertAlign w:val="superscript"/>
          <w:lang w:val="fr-FR"/>
        </w:rPr>
        <w:t>2</w:t>
      </w:r>
      <w:r w:rsidRPr="00C94BC0">
        <w:rPr>
          <w:lang w:val="fr-FR"/>
        </w:rPr>
        <w:t>.</w:t>
      </w:r>
    </w:p>
    <w:p w:rsidR="00A6229D" w:rsidRPr="00C94BC0" w:rsidRDefault="00A6229D" w:rsidP="004D5B18">
      <w:pPr>
        <w:pStyle w:val="SingleTxtG"/>
        <w:ind w:left="2268" w:hanging="1134"/>
      </w:pPr>
      <w:r w:rsidRPr="00C94BC0">
        <w:rPr>
          <w:lang w:val="fr-FR"/>
        </w:rPr>
        <w:t>5.1.15.2</w:t>
      </w:r>
      <w:r w:rsidRPr="00C94BC0">
        <w:rPr>
          <w:lang w:val="fr-FR"/>
        </w:rPr>
        <w:tab/>
        <w:t>Le signal peut aussi être activé et désactivé dans les conditions suivantes :</w:t>
      </w:r>
    </w:p>
    <w:p w:rsidR="00A6229D" w:rsidRPr="00C94BC0" w:rsidRDefault="00A6229D" w:rsidP="004D5B18">
      <w:pPr>
        <w:pStyle w:val="SingleTxtG"/>
        <w:ind w:left="2835" w:hanging="567"/>
      </w:pPr>
      <w:r w:rsidRPr="00C94BC0">
        <w:rPr>
          <w:lang w:val="fr-FR"/>
        </w:rPr>
        <w:t>a)</w:t>
      </w:r>
      <w:r w:rsidRPr="00C94BC0">
        <w:rPr>
          <w:lang w:val="fr-FR"/>
        </w:rPr>
        <w:tab/>
        <w:t>Le signal peut être activé dans l</w:t>
      </w:r>
      <w:r w:rsidR="004679B3">
        <w:rPr>
          <w:lang w:val="fr-FR"/>
        </w:rPr>
        <w:t>’</w:t>
      </w:r>
      <w:r w:rsidRPr="00C94BC0">
        <w:rPr>
          <w:lang w:val="fr-FR"/>
        </w:rPr>
        <w:t xml:space="preserve">hypothèse où la décélération du véhicule </w:t>
      </w:r>
      <w:r w:rsidRPr="004D5B18">
        <w:t>résultant</w:t>
      </w:r>
      <w:r w:rsidRPr="00C94BC0">
        <w:rPr>
          <w:lang w:val="fr-FR"/>
        </w:rPr>
        <w:t xml:space="preserve"> de la demande de freinage respecte les seuils d</w:t>
      </w:r>
      <w:r w:rsidR="004679B3">
        <w:rPr>
          <w:lang w:val="fr-FR"/>
        </w:rPr>
        <w:t>’</w:t>
      </w:r>
      <w:r w:rsidRPr="00C94BC0">
        <w:rPr>
          <w:lang w:val="fr-FR"/>
        </w:rPr>
        <w:t xml:space="preserve">activation et de </w:t>
      </w:r>
      <w:r w:rsidRPr="004D5B18">
        <w:t>désactivation</w:t>
      </w:r>
      <w:r w:rsidRPr="00C94BC0">
        <w:rPr>
          <w:lang w:val="fr-FR"/>
        </w:rPr>
        <w:t xml:space="preserve"> définis au paragraphe</w:t>
      </w:r>
      <w:r w:rsidR="001B27E4">
        <w:rPr>
          <w:lang w:val="fr-FR"/>
        </w:rPr>
        <w:t xml:space="preserve"> </w:t>
      </w:r>
      <w:r w:rsidRPr="00C94BC0">
        <w:rPr>
          <w:lang w:val="fr-FR"/>
        </w:rPr>
        <w:t>5.1.15.1 ci-dessus</w:t>
      </w:r>
      <w:r w:rsidR="001B27E4">
        <w:rPr>
          <w:lang w:val="fr-FR"/>
        </w:rPr>
        <w:t> ;</w:t>
      </w:r>
    </w:p>
    <w:p w:rsidR="00A6229D" w:rsidRPr="00C94BC0" w:rsidRDefault="00A6229D" w:rsidP="004D5B18">
      <w:pPr>
        <w:pStyle w:val="SingleTxtG"/>
        <w:ind w:left="2268"/>
      </w:pPr>
      <w:r w:rsidRPr="00C94BC0">
        <w:rPr>
          <w:lang w:val="fr-FR"/>
        </w:rPr>
        <w:tab/>
      </w:r>
      <w:r>
        <w:rPr>
          <w:lang w:val="fr-FR"/>
        </w:rPr>
        <w:t>o</w:t>
      </w:r>
      <w:r w:rsidRPr="00C94BC0">
        <w:rPr>
          <w:lang w:val="fr-FR"/>
        </w:rPr>
        <w:t>u</w:t>
      </w:r>
    </w:p>
    <w:p w:rsidR="00A6229D" w:rsidRDefault="00A6229D" w:rsidP="004D5B18">
      <w:pPr>
        <w:pStyle w:val="SingleTxtG"/>
        <w:ind w:left="2835" w:hanging="567"/>
        <w:rPr>
          <w:lang w:val="fr-FR"/>
        </w:rPr>
      </w:pPr>
      <w:r w:rsidRPr="00C94BC0">
        <w:rPr>
          <w:lang w:val="fr-FR"/>
        </w:rPr>
        <w:t>b)</w:t>
      </w:r>
      <w:r w:rsidRPr="00C94BC0">
        <w:rPr>
          <w:lang w:val="fr-FR"/>
        </w:rPr>
        <w:tab/>
        <w:t>Le signal peut être activé à une vitesse supérieure à 50 km/h lorsque l</w:t>
      </w:r>
      <w:r w:rsidR="004679B3">
        <w:rPr>
          <w:lang w:val="fr-FR"/>
        </w:rPr>
        <w:t>’</w:t>
      </w:r>
      <w:r>
        <w:rPr>
          <w:lang w:val="fr-FR"/>
        </w:rPr>
        <w:t>ABS</w:t>
      </w:r>
      <w:r w:rsidRPr="00C94BC0">
        <w:rPr>
          <w:lang w:val="fr-FR"/>
        </w:rPr>
        <w:t xml:space="preserve"> </w:t>
      </w:r>
      <w:r w:rsidRPr="004D5B18">
        <w:t>exécute</w:t>
      </w:r>
      <w:r w:rsidRPr="00C94BC0">
        <w:rPr>
          <w:lang w:val="fr-FR"/>
        </w:rPr>
        <w:t xml:space="preserve"> des cycles complets (conformément à la définition figurant au paragraphe</w:t>
      </w:r>
      <w:r w:rsidR="001B27E4">
        <w:rPr>
          <w:lang w:val="fr-FR"/>
        </w:rPr>
        <w:t xml:space="preserve"> </w:t>
      </w:r>
      <w:r w:rsidRPr="00C94BC0">
        <w:rPr>
          <w:lang w:val="fr-FR"/>
        </w:rPr>
        <w:t>9.1 de l</w:t>
      </w:r>
      <w:r w:rsidR="004679B3">
        <w:rPr>
          <w:lang w:val="fr-FR"/>
        </w:rPr>
        <w:t>’</w:t>
      </w:r>
      <w:r w:rsidRPr="00C94BC0">
        <w:rPr>
          <w:lang w:val="fr-FR"/>
        </w:rPr>
        <w:t>annexe</w:t>
      </w:r>
      <w:r w:rsidR="001B27E4">
        <w:rPr>
          <w:lang w:val="fr-FR"/>
        </w:rPr>
        <w:t xml:space="preserve"> </w:t>
      </w:r>
      <w:r w:rsidRPr="00C94BC0">
        <w:rPr>
          <w:lang w:val="fr-FR"/>
        </w:rPr>
        <w:t>3) et lorsque la décélération est d</w:t>
      </w:r>
      <w:r w:rsidR="004679B3">
        <w:rPr>
          <w:lang w:val="fr-FR"/>
        </w:rPr>
        <w:t>’</w:t>
      </w:r>
      <w:r w:rsidRPr="00C94BC0">
        <w:rPr>
          <w:lang w:val="fr-FR"/>
        </w:rPr>
        <w:t>au moins 2,5 m/s</w:t>
      </w:r>
      <w:r w:rsidRPr="00C94BC0">
        <w:rPr>
          <w:vertAlign w:val="superscript"/>
          <w:lang w:val="fr-FR"/>
        </w:rPr>
        <w:t>2</w:t>
      </w:r>
      <w:r w:rsidRPr="00C94BC0">
        <w:rPr>
          <w:lang w:val="fr-FR"/>
        </w:rPr>
        <w:t>. La décélération peut être déclenchée dans les conditions décrites au point</w:t>
      </w:r>
      <w:r w:rsidR="001B27E4">
        <w:rPr>
          <w:lang w:val="fr-FR"/>
        </w:rPr>
        <w:t xml:space="preserve"> </w:t>
      </w:r>
      <w:r w:rsidRPr="00C94BC0">
        <w:rPr>
          <w:lang w:val="fr-FR"/>
        </w:rPr>
        <w:t>a). Le signal doit être désactivé lorsque l</w:t>
      </w:r>
      <w:r w:rsidR="004679B3">
        <w:rPr>
          <w:lang w:val="fr-FR"/>
        </w:rPr>
        <w:t>’</w:t>
      </w:r>
      <w:r>
        <w:rPr>
          <w:lang w:val="fr-FR"/>
        </w:rPr>
        <w:t>ABS</w:t>
      </w:r>
      <w:r w:rsidRPr="00C94BC0">
        <w:rPr>
          <w:lang w:val="fr-FR"/>
        </w:rPr>
        <w:t xml:space="preserve"> n</w:t>
      </w:r>
      <w:r w:rsidR="004679B3">
        <w:rPr>
          <w:lang w:val="fr-FR"/>
        </w:rPr>
        <w:t>’</w:t>
      </w:r>
      <w:r w:rsidRPr="00C94BC0">
        <w:rPr>
          <w:lang w:val="fr-FR"/>
        </w:rPr>
        <w:t>exécute plus des cycles complets.</w:t>
      </w:r>
    </w:p>
    <w:p w:rsidR="00BC4AA4" w:rsidRPr="00C94BC0" w:rsidRDefault="00BC4AA4" w:rsidP="00BC4AA4">
      <w:pPr>
        <w:pStyle w:val="SingleTxtG"/>
        <w:tabs>
          <w:tab w:val="left" w:pos="2608"/>
        </w:tabs>
        <w:spacing w:after="80"/>
        <w:ind w:right="0"/>
      </w:pPr>
      <w:r w:rsidRPr="00BC4AA4">
        <w:rPr>
          <w:u w:val="single"/>
        </w:rPr>
        <w:tab/>
      </w:r>
    </w:p>
    <w:p w:rsidR="00A6229D" w:rsidRPr="00BC4AA4" w:rsidRDefault="0013402F" w:rsidP="0013402F">
      <w:pPr>
        <w:pStyle w:val="Notedebasdepage"/>
        <w:tabs>
          <w:tab w:val="clear" w:pos="1021"/>
          <w:tab w:val="left" w:pos="1446"/>
          <w:tab w:val="left" w:pos="1644"/>
        </w:tabs>
        <w:ind w:left="1644" w:hanging="510"/>
        <w:rPr>
          <w:rFonts w:eastAsiaTheme="minorHAnsi"/>
        </w:rPr>
      </w:pPr>
      <w:r>
        <w:rPr>
          <w:szCs w:val="18"/>
          <w:lang w:val="fr-FR"/>
        </w:rPr>
        <w:tab/>
      </w:r>
      <w:r w:rsidR="00A6229D" w:rsidRPr="00BC4AA4">
        <w:rPr>
          <w:szCs w:val="18"/>
          <w:lang w:val="fr-FR"/>
        </w:rPr>
        <w:t>*</w:t>
      </w:r>
      <w:r>
        <w:rPr>
          <w:szCs w:val="18"/>
          <w:lang w:val="fr-FR"/>
        </w:rPr>
        <w:tab/>
      </w:r>
      <w:r w:rsidR="00A6229D" w:rsidRPr="00BC4AA4">
        <w:rPr>
          <w:rFonts w:eastAsiaTheme="minorHAnsi"/>
        </w:rPr>
        <w:t>Au moment de l</w:t>
      </w:r>
      <w:r w:rsidR="004679B3">
        <w:rPr>
          <w:rFonts w:eastAsiaTheme="minorHAnsi"/>
        </w:rPr>
        <w:t>’</w:t>
      </w:r>
      <w:r w:rsidR="00A6229D" w:rsidRPr="00BC4AA4">
        <w:rPr>
          <w:rFonts w:eastAsiaTheme="minorHAnsi"/>
        </w:rPr>
        <w:t>homologation de type, le constructeur du véhicule doit confirmer la conformité avec ces dispositions. ».</w:t>
      </w:r>
    </w:p>
    <w:p w:rsidR="00A6229D" w:rsidRDefault="00A6229D" w:rsidP="00AB0FAE">
      <w:pPr>
        <w:pStyle w:val="SingleTxtG"/>
        <w:keepNext/>
        <w:keepLines/>
        <w:spacing w:before="120" w:after="100"/>
      </w:pPr>
      <w:r w:rsidRPr="00E87696">
        <w:rPr>
          <w:i/>
        </w:rPr>
        <w:lastRenderedPageBreak/>
        <w:t>Ajouter un nouveau paragraphe</w:t>
      </w:r>
      <w:r w:rsidR="001B27E4">
        <w:rPr>
          <w:i/>
        </w:rPr>
        <w:t xml:space="preserve"> </w:t>
      </w:r>
      <w:r w:rsidRPr="0013402F">
        <w:rPr>
          <w:i/>
        </w:rPr>
        <w:t>5.1.16</w:t>
      </w:r>
      <w:r w:rsidRPr="00E87696">
        <w:t>, ainsi conçu :</w:t>
      </w:r>
    </w:p>
    <w:p w:rsidR="00A6229D" w:rsidRDefault="00A6229D" w:rsidP="00AB0FAE">
      <w:pPr>
        <w:pStyle w:val="SingleTxtG"/>
        <w:keepNext/>
        <w:keepLines/>
        <w:spacing w:after="100"/>
        <w:ind w:left="2268" w:hanging="1134"/>
      </w:pPr>
      <w:r>
        <w:t>« 5.1.16</w:t>
      </w:r>
      <w:r>
        <w:tab/>
      </w:r>
      <w:r w:rsidRPr="00E87696">
        <w:t>Aucun dispositif permettant de désactiver</w:t>
      </w:r>
      <w:r>
        <w:t xml:space="preserve"> l</w:t>
      </w:r>
      <w:r w:rsidR="004679B3">
        <w:t>’</w:t>
      </w:r>
      <w:r>
        <w:t>ABS n</w:t>
      </w:r>
      <w:r w:rsidR="004679B3">
        <w:t>’</w:t>
      </w:r>
      <w:r>
        <w:t>est autorisé.</w:t>
      </w:r>
    </w:p>
    <w:p w:rsidR="00A6229D" w:rsidRDefault="00A6229D" w:rsidP="00AB0FAE">
      <w:pPr>
        <w:pStyle w:val="SingleTxtG"/>
        <w:keepNext/>
        <w:keepLines/>
        <w:spacing w:after="100"/>
        <w:ind w:left="2268"/>
      </w:pPr>
      <w:r w:rsidRPr="004D5B18">
        <w:rPr>
          <w:lang w:val="fr-FR"/>
        </w:rPr>
        <w:t>Par</w:t>
      </w:r>
      <w:r>
        <w:t xml:space="preserve"> dérogation, les véhicules qui sont adaptés à la conduite en tout terrain et qui sont équipés d</w:t>
      </w:r>
      <w:r w:rsidR="004679B3">
        <w:t>’</w:t>
      </w:r>
      <w:r>
        <w:t xml:space="preserve">un sélecteur de mode de conduite permettant de passer dans ce mode </w:t>
      </w:r>
      <w:r w:rsidRPr="00C94BC0">
        <w:t xml:space="preserve">peuvent être </w:t>
      </w:r>
      <w:r>
        <w:t>dotés</w:t>
      </w:r>
      <w:r w:rsidRPr="00C94BC0">
        <w:t xml:space="preserve"> d</w:t>
      </w:r>
      <w:r w:rsidR="004679B3">
        <w:t>’</w:t>
      </w:r>
      <w:r w:rsidRPr="00C94BC0">
        <w:t xml:space="preserve">un </w:t>
      </w:r>
      <w:r>
        <w:t>dispositif</w:t>
      </w:r>
      <w:r w:rsidR="001B27E4">
        <w:t xml:space="preserve"> </w:t>
      </w:r>
      <w:r w:rsidRPr="00C94BC0">
        <w:t>(interrupteur, levier, bouton ou option de menu, par exemple) de désactiv</w:t>
      </w:r>
      <w:r>
        <w:t>ation de l</w:t>
      </w:r>
      <w:r w:rsidR="004679B3">
        <w:t>’</w:t>
      </w:r>
      <w:r>
        <w:t>ABS</w:t>
      </w:r>
      <w:r w:rsidRPr="00C94BC0">
        <w:t>, uniquement dans les conditions suivantes :</w:t>
      </w:r>
    </w:p>
    <w:p w:rsidR="00A6229D" w:rsidRDefault="00A6229D" w:rsidP="00B25C46">
      <w:pPr>
        <w:pStyle w:val="SingleTxtG"/>
        <w:spacing w:after="100"/>
        <w:ind w:left="2835" w:hanging="567"/>
      </w:pPr>
      <w:r w:rsidRPr="00A25775">
        <w:t>a)</w:t>
      </w:r>
      <w:r w:rsidR="004B20E4">
        <w:tab/>
      </w:r>
      <w:r w:rsidRPr="00A25775">
        <w:t xml:space="preserve">Le </w:t>
      </w:r>
      <w:r w:rsidRPr="004B20E4">
        <w:rPr>
          <w:lang w:val="fr-FR"/>
        </w:rPr>
        <w:t>véhicule</w:t>
      </w:r>
      <w:r w:rsidRPr="00A25775">
        <w:t xml:space="preserve"> est à l</w:t>
      </w:r>
      <w:r w:rsidR="004679B3">
        <w:t>’</w:t>
      </w:r>
      <w:r w:rsidRPr="00A25775">
        <w:t>arrêt</w:t>
      </w:r>
      <w:r w:rsidR="001B27E4">
        <w:t> ;</w:t>
      </w:r>
      <w:r w:rsidRPr="00A25775">
        <w:t xml:space="preserve"> et</w:t>
      </w:r>
    </w:p>
    <w:p w:rsidR="00A6229D" w:rsidRDefault="00A6229D" w:rsidP="00B25C46">
      <w:pPr>
        <w:pStyle w:val="SingleTxtG"/>
        <w:spacing w:after="100"/>
        <w:ind w:left="2835" w:hanging="567"/>
      </w:pPr>
      <w:r w:rsidRPr="00A25775">
        <w:t>b)</w:t>
      </w:r>
      <w:r w:rsidR="004B20E4">
        <w:tab/>
      </w:r>
      <w:r w:rsidRPr="00A25775">
        <w:t>La désactivation d</w:t>
      </w:r>
      <w:r>
        <w:t>e l</w:t>
      </w:r>
      <w:r w:rsidR="004679B3">
        <w:t>’</w:t>
      </w:r>
      <w:r>
        <w:t xml:space="preserve">ABS </w:t>
      </w:r>
      <w:r w:rsidRPr="00A25775">
        <w:t>résulte d</w:t>
      </w:r>
      <w:r w:rsidR="004679B3">
        <w:t>’</w:t>
      </w:r>
      <w:r w:rsidRPr="00A25775">
        <w:t xml:space="preserve">une action délibérée effectuée par le </w:t>
      </w:r>
      <w:r w:rsidRPr="004B20E4">
        <w:rPr>
          <w:lang w:val="fr-FR"/>
        </w:rPr>
        <w:t>conducteur</w:t>
      </w:r>
      <w:r w:rsidRPr="00A25775">
        <w:t xml:space="preserve"> suivant l</w:t>
      </w:r>
      <w:r w:rsidR="004679B3">
        <w:t>’</w:t>
      </w:r>
      <w:r w:rsidRPr="00A25775">
        <w:t>une des méthodes ci-après</w:t>
      </w:r>
      <w:r>
        <w:t> :</w:t>
      </w:r>
    </w:p>
    <w:p w:rsidR="00A6229D" w:rsidRDefault="00A6229D" w:rsidP="00B25C46">
      <w:pPr>
        <w:pStyle w:val="SingleTxtG"/>
        <w:spacing w:after="100"/>
        <w:ind w:left="3402" w:hanging="567"/>
      </w:pPr>
      <w:r w:rsidRPr="00A25775">
        <w:t>i)</w:t>
      </w:r>
      <w:r w:rsidR="004B20E4">
        <w:tab/>
      </w:r>
      <w:r w:rsidRPr="00A25775">
        <w:t>En actionnant simultanément l</w:t>
      </w:r>
      <w:r w:rsidR="004679B3">
        <w:t>’</w:t>
      </w:r>
      <w:r w:rsidRPr="00A25775">
        <w:t>interrupteur marche/arrêt d</w:t>
      </w:r>
      <w:r>
        <w:t>e l</w:t>
      </w:r>
      <w:r w:rsidR="004679B3">
        <w:t>’</w:t>
      </w:r>
      <w:r>
        <w:t>ABS</w:t>
      </w:r>
      <w:r w:rsidRPr="00A25775">
        <w:t xml:space="preserve"> et la commande du système de freinage avant, arrière ou intégral (levier ou pédale de frein)</w:t>
      </w:r>
      <w:r w:rsidR="001B27E4">
        <w:t> ;</w:t>
      </w:r>
      <w:r w:rsidRPr="00A25775">
        <w:t xml:space="preserve"> ou</w:t>
      </w:r>
    </w:p>
    <w:p w:rsidR="00A6229D" w:rsidRDefault="00A6229D" w:rsidP="00B25C46">
      <w:pPr>
        <w:pStyle w:val="SingleTxtG"/>
        <w:spacing w:after="100"/>
        <w:ind w:left="3402" w:hanging="567"/>
      </w:pPr>
      <w:r w:rsidRPr="00A25775">
        <w:t>ii)</w:t>
      </w:r>
      <w:r w:rsidR="004B20E4">
        <w:tab/>
      </w:r>
      <w:r w:rsidRPr="00A25775">
        <w:t>En actionnant l</w:t>
      </w:r>
      <w:r w:rsidR="004679B3">
        <w:t>’</w:t>
      </w:r>
      <w:r w:rsidRPr="00A25775">
        <w:t>interrupteur marche/arrêt d</w:t>
      </w:r>
      <w:r>
        <w:t>e l</w:t>
      </w:r>
      <w:r w:rsidR="004679B3">
        <w:t>’</w:t>
      </w:r>
      <w:r>
        <w:t xml:space="preserve">ABS </w:t>
      </w:r>
      <w:r w:rsidRPr="00A25775">
        <w:t>pendant au moins 2 secondes</w:t>
      </w:r>
      <w:r w:rsidR="001B27E4">
        <w:t> ;</w:t>
      </w:r>
      <w:r w:rsidRPr="00A25775">
        <w:t xml:space="preserve"> ou</w:t>
      </w:r>
    </w:p>
    <w:p w:rsidR="00A6229D" w:rsidRDefault="00A6229D" w:rsidP="00B25C46">
      <w:pPr>
        <w:pStyle w:val="SingleTxtG"/>
        <w:spacing w:after="100"/>
        <w:ind w:left="3402" w:hanging="567"/>
      </w:pPr>
      <w:r>
        <w:t>iii)</w:t>
      </w:r>
      <w:r w:rsidR="004B20E4">
        <w:tab/>
      </w:r>
      <w:r w:rsidRPr="00A25775">
        <w:t xml:space="preserve">En exécutant successivement au moins </w:t>
      </w:r>
      <w:r w:rsidR="0013402F">
        <w:t>deux</w:t>
      </w:r>
      <w:r w:rsidRPr="00A25775">
        <w:t xml:space="preserve"> actions ou en passant par au moins </w:t>
      </w:r>
      <w:r w:rsidR="0013402F">
        <w:t>deux</w:t>
      </w:r>
      <w:r w:rsidRPr="00A25775">
        <w:t xml:space="preserve"> niveaux d</w:t>
      </w:r>
      <w:r w:rsidR="004679B3">
        <w:t>’</w:t>
      </w:r>
      <w:r w:rsidRPr="00A25775">
        <w:t>activation successifs à l</w:t>
      </w:r>
      <w:r w:rsidR="004679B3">
        <w:t>’</w:t>
      </w:r>
      <w:r w:rsidRPr="00A25775">
        <w:t>aide d</w:t>
      </w:r>
      <w:r w:rsidR="004679B3">
        <w:t>’</w:t>
      </w:r>
      <w:r w:rsidRPr="00A25775">
        <w:t>un bouton tournant, d</w:t>
      </w:r>
      <w:r w:rsidR="004679B3">
        <w:t>’</w:t>
      </w:r>
      <w:r w:rsidRPr="00A25775">
        <w:t>une commande tactile ou d</w:t>
      </w:r>
      <w:r w:rsidR="004679B3">
        <w:t>’</w:t>
      </w:r>
      <w:r w:rsidRPr="00A25775">
        <w:t>un sélecteur d</w:t>
      </w:r>
      <w:r w:rsidR="004679B3">
        <w:t>’</w:t>
      </w:r>
      <w:r w:rsidRPr="00A25775">
        <w:t>options de menu</w:t>
      </w:r>
      <w:r>
        <w:t> ;</w:t>
      </w:r>
    </w:p>
    <w:p w:rsidR="004B20E4" w:rsidRDefault="00A6229D" w:rsidP="00B25C46">
      <w:pPr>
        <w:pStyle w:val="SingleTxtG"/>
        <w:spacing w:after="100"/>
        <w:ind w:left="2835" w:hanging="567"/>
      </w:pPr>
      <w:r>
        <w:t>c)</w:t>
      </w:r>
      <w:r>
        <w:tab/>
        <w:t>L</w:t>
      </w:r>
      <w:r w:rsidRPr="00F738C1">
        <w:t>a désactivation d</w:t>
      </w:r>
      <w:r>
        <w:t>e l</w:t>
      </w:r>
      <w:r w:rsidR="004679B3">
        <w:t>’</w:t>
      </w:r>
      <w:r>
        <w:t xml:space="preserve">ABS </w:t>
      </w:r>
      <w:r w:rsidRPr="00F738C1">
        <w:t>est uniquement autorisée</w:t>
      </w:r>
      <w:r>
        <w:t xml:space="preserve"> lorsque le sélecteur </w:t>
      </w:r>
      <w:r w:rsidRPr="004B20E4">
        <w:rPr>
          <w:lang w:val="fr-FR"/>
        </w:rPr>
        <w:t>de</w:t>
      </w:r>
      <w:r>
        <w:t xml:space="preserve"> mode de conduite est en mode tout terrain ;</w:t>
      </w:r>
      <w:r w:rsidR="0013402F">
        <w:t xml:space="preserve"> et</w:t>
      </w:r>
    </w:p>
    <w:p w:rsidR="004B20E4" w:rsidRDefault="00A6229D" w:rsidP="00B25C46">
      <w:pPr>
        <w:pStyle w:val="SingleTxtG"/>
        <w:spacing w:after="100"/>
        <w:ind w:left="2835" w:hanging="567"/>
      </w:pPr>
      <w:r w:rsidRPr="00A25775">
        <w:t>d)</w:t>
      </w:r>
      <w:r w:rsidR="004B20E4">
        <w:tab/>
      </w:r>
      <w:r w:rsidRPr="00A25775">
        <w:t>L</w:t>
      </w:r>
      <w:r w:rsidR="004679B3">
        <w:t>’</w:t>
      </w:r>
      <w:r>
        <w:t xml:space="preserve">ABS </w:t>
      </w:r>
      <w:r w:rsidRPr="004B20E4">
        <w:rPr>
          <w:lang w:val="fr-FR"/>
        </w:rPr>
        <w:t>doit</w:t>
      </w:r>
      <w:r w:rsidRPr="00A25775">
        <w:t xml:space="preserve"> </w:t>
      </w:r>
      <w:r w:rsidRPr="00B10088">
        <w:t>être activé</w:t>
      </w:r>
      <w:r w:rsidRPr="00A25775">
        <w:t xml:space="preserve"> automatiquement à chaque démarrage du véhicule, à l</w:t>
      </w:r>
      <w:r w:rsidR="004679B3">
        <w:t>’</w:t>
      </w:r>
      <w:r w:rsidRPr="00A25775">
        <w:t>exception des redémarrages consécutifs à un calage involontaire du moteur</w:t>
      </w:r>
      <w:r w:rsidR="001B27E4">
        <w:t> ;</w:t>
      </w:r>
      <w:r w:rsidRPr="00A25775">
        <w:t xml:space="preserve"> et</w:t>
      </w:r>
    </w:p>
    <w:p w:rsidR="004B20E4" w:rsidRDefault="00A6229D" w:rsidP="00B25C46">
      <w:pPr>
        <w:pStyle w:val="SingleTxtG"/>
        <w:spacing w:after="100"/>
        <w:ind w:left="2835" w:hanging="567"/>
      </w:pPr>
      <w:r>
        <w:t>e)</w:t>
      </w:r>
      <w:r>
        <w:tab/>
        <w:t>L</w:t>
      </w:r>
      <w:r w:rsidRPr="00A25775">
        <w:t>a désactivation d</w:t>
      </w:r>
      <w:r>
        <w:t>e l</w:t>
      </w:r>
      <w:r w:rsidR="004679B3">
        <w:t>’</w:t>
      </w:r>
      <w:r>
        <w:t>ABS</w:t>
      </w:r>
      <w:r w:rsidRPr="00A25775">
        <w:t xml:space="preserve"> doit être signalée par le symbole B.18, comme cela est spécifié dans la norme ISO 2575:2010/Amd1:2011 (ISO 7000-2623), ou toute autre indication équivalente signalant explicitement que l</w:t>
      </w:r>
      <w:r w:rsidR="004679B3">
        <w:t>’</w:t>
      </w:r>
      <w:r>
        <w:t>ABS</w:t>
      </w:r>
      <w:r w:rsidRPr="00A25775">
        <w:t xml:space="preserve"> est désactivé.</w:t>
      </w:r>
      <w:r>
        <w:t xml:space="preserve"> </w:t>
      </w:r>
      <w:r w:rsidRPr="00A25775">
        <w:t>À défaut, la lampe d</w:t>
      </w:r>
      <w:r w:rsidR="004679B3">
        <w:t>’</w:t>
      </w:r>
      <w:r w:rsidRPr="00A25775">
        <w:t>avertissement mentionnée au paragraphe 3.1.13 doit être activée en permanence (allumée ou clignotante)</w:t>
      </w:r>
      <w:r w:rsidR="001B27E4">
        <w:t> ;</w:t>
      </w:r>
      <w:r w:rsidRPr="00A25775">
        <w:t xml:space="preserve"> et</w:t>
      </w:r>
    </w:p>
    <w:p w:rsidR="004B20E4" w:rsidRDefault="00A6229D" w:rsidP="00B25C46">
      <w:pPr>
        <w:pStyle w:val="SingleTxtG"/>
        <w:spacing w:after="100"/>
        <w:ind w:left="2835" w:hanging="567"/>
      </w:pPr>
      <w:r>
        <w:t>f)</w:t>
      </w:r>
      <w:r>
        <w:tab/>
      </w:r>
      <w:r w:rsidRPr="00A25775">
        <w:t xml:space="preserve">Tout dispositif de manipulation logiciel et/ou matériel permettant de contrer </w:t>
      </w:r>
      <w:r w:rsidRPr="004B20E4">
        <w:rPr>
          <w:lang w:val="fr-FR"/>
        </w:rPr>
        <w:t>ou</w:t>
      </w:r>
      <w:r w:rsidRPr="00A25775">
        <w:t xml:space="preserve"> de contourner une ou plusieurs des prescriptions énoncées aux points a) à f) doit être interdit</w:t>
      </w:r>
      <w:r w:rsidR="001B27E4">
        <w:t> ;</w:t>
      </w:r>
      <w:r w:rsidRPr="00A25775">
        <w:t xml:space="preserve"> et</w:t>
      </w:r>
    </w:p>
    <w:p w:rsidR="004B20E4" w:rsidRDefault="00A6229D" w:rsidP="00B25C46">
      <w:pPr>
        <w:pStyle w:val="SingleTxtG"/>
        <w:spacing w:after="100"/>
        <w:ind w:left="2835" w:hanging="567"/>
      </w:pPr>
      <w:r>
        <w:t>g)</w:t>
      </w:r>
      <w:r>
        <w:tab/>
        <w:t xml:space="preserve">La réactivation </w:t>
      </w:r>
      <w:r w:rsidRPr="00E87696">
        <w:t>instantanée d</w:t>
      </w:r>
      <w:r>
        <w:t>e l</w:t>
      </w:r>
      <w:r w:rsidR="004679B3">
        <w:t>’</w:t>
      </w:r>
      <w:r>
        <w:t xml:space="preserve">ABS </w:t>
      </w:r>
      <w:r w:rsidRPr="00A25775">
        <w:t>(par exemple, par simple pression d</w:t>
      </w:r>
      <w:r w:rsidR="004679B3">
        <w:t>’</w:t>
      </w:r>
      <w:r w:rsidRPr="00A25775">
        <w:t>un bouton)</w:t>
      </w:r>
      <w:r>
        <w:t>,</w:t>
      </w:r>
      <w:r w:rsidRPr="00A25775">
        <w:t xml:space="preserve"> </w:t>
      </w:r>
      <w:r>
        <w:t xml:space="preserve">dans tous les modes de fonctionnement et conformément </w:t>
      </w:r>
      <w:r w:rsidRPr="00E87696">
        <w:t>aux prescriptions d</w:t>
      </w:r>
      <w:r w:rsidR="004679B3">
        <w:t>’</w:t>
      </w:r>
      <w:r w:rsidRPr="00E87696">
        <w:t>homologation du système</w:t>
      </w:r>
      <w:r>
        <w:t xml:space="preserve"> pertinentes, </w:t>
      </w:r>
      <w:r w:rsidRPr="00A25775">
        <w:t>doit être garantie et démontrée à la satisfaction de l</w:t>
      </w:r>
      <w:r w:rsidR="004679B3">
        <w:t>’</w:t>
      </w:r>
      <w:r w:rsidRPr="00A25775">
        <w:t>autorité d</w:t>
      </w:r>
      <w:r w:rsidR="004679B3">
        <w:t>’</w:t>
      </w:r>
      <w:r w:rsidRPr="00A25775">
        <w:t>homologation.</w:t>
      </w:r>
      <w:r w:rsidR="0013402F">
        <w:t> ».</w:t>
      </w:r>
    </w:p>
    <w:p w:rsidR="004B20E4" w:rsidRDefault="00A6229D" w:rsidP="00B25C46">
      <w:pPr>
        <w:pStyle w:val="SingleTxtG"/>
        <w:spacing w:after="100"/>
      </w:pPr>
      <w:r w:rsidRPr="0085724A">
        <w:rPr>
          <w:i/>
        </w:rPr>
        <w:t>Modifier le paragraphe 9</w:t>
      </w:r>
      <w:r>
        <w:t xml:space="preserve"> comme suit :</w:t>
      </w:r>
    </w:p>
    <w:p w:rsidR="004B20E4" w:rsidRDefault="004B20E4" w:rsidP="0013402F">
      <w:pPr>
        <w:pStyle w:val="H1G"/>
        <w:tabs>
          <w:tab w:val="right" w:pos="2268"/>
        </w:tabs>
      </w:pPr>
      <w:r w:rsidRPr="005339A0">
        <w:rPr>
          <w:b w:val="0"/>
        </w:rPr>
        <w:tab/>
      </w:r>
      <w:r w:rsidRPr="005339A0">
        <w:rPr>
          <w:b w:val="0"/>
        </w:rPr>
        <w:tab/>
      </w:r>
      <w:r w:rsidR="00A6229D" w:rsidRPr="004B20E4">
        <w:rPr>
          <w:b w:val="0"/>
          <w:sz w:val="20"/>
        </w:rPr>
        <w:t>«</w:t>
      </w:r>
      <w:r w:rsidR="00A6229D">
        <w:t> 9.</w:t>
      </w:r>
      <w:r w:rsidR="0013402F">
        <w:tab/>
      </w:r>
      <w:r w:rsidR="0013402F">
        <w:tab/>
      </w:r>
      <w:r w:rsidR="00A6229D">
        <w:t>Dispositions transitoires</w:t>
      </w:r>
    </w:p>
    <w:p w:rsidR="004B20E4" w:rsidRDefault="00A6229D" w:rsidP="00922BD7">
      <w:pPr>
        <w:pStyle w:val="SingleTxtG"/>
        <w:ind w:left="2268" w:hanging="1134"/>
      </w:pPr>
      <w:r>
        <w:t>9.1</w:t>
      </w:r>
      <w:r>
        <w:tab/>
      </w:r>
      <w:r w:rsidRPr="0016525F">
        <w:t>À compter de la date officielle d</w:t>
      </w:r>
      <w:r w:rsidR="004679B3">
        <w:t>’</w:t>
      </w:r>
      <w:r w:rsidRPr="0016525F">
        <w:t>entrée en vigueur de la série 0</w:t>
      </w:r>
      <w:r>
        <w:t>4</w:t>
      </w:r>
      <w:r w:rsidRPr="0016525F">
        <w:t xml:space="preserve"> d</w:t>
      </w:r>
      <w:r w:rsidR="004679B3">
        <w:t>’</w:t>
      </w:r>
      <w:r w:rsidRPr="0016525F">
        <w:t>amendements, aucune Partie contractante appliquant le présent Règlement ne devra refuser d</w:t>
      </w:r>
      <w:r w:rsidR="004679B3">
        <w:t>’</w:t>
      </w:r>
      <w:r w:rsidRPr="0016525F">
        <w:t xml:space="preserve">accorder ou de reconnaître une homologation de type </w:t>
      </w:r>
      <w:r w:rsidRPr="0095604E">
        <w:t>ONU</w:t>
      </w:r>
      <w:r w:rsidRPr="0016525F">
        <w:t xml:space="preserve"> en application du</w:t>
      </w:r>
      <w:r>
        <w:t>dit</w:t>
      </w:r>
      <w:r w:rsidRPr="0016525F">
        <w:t xml:space="preserve"> Règlement </w:t>
      </w:r>
      <w:r>
        <w:t xml:space="preserve">tel que modifié </w:t>
      </w:r>
      <w:r w:rsidRPr="0016525F">
        <w:t>par la série 04 d</w:t>
      </w:r>
      <w:r w:rsidR="004679B3">
        <w:t>’</w:t>
      </w:r>
      <w:r w:rsidRPr="0016525F">
        <w:t>amendements.</w:t>
      </w:r>
    </w:p>
    <w:p w:rsidR="004B20E4" w:rsidRDefault="00A6229D" w:rsidP="004D5B18">
      <w:pPr>
        <w:pStyle w:val="SingleTxtG"/>
        <w:ind w:left="2268" w:hanging="1134"/>
      </w:pPr>
      <w:r>
        <w:lastRenderedPageBreak/>
        <w:t>9.2</w:t>
      </w:r>
      <w:r>
        <w:tab/>
      </w:r>
      <w:r w:rsidRPr="0016525F">
        <w:t>À compter du 1</w:t>
      </w:r>
      <w:r w:rsidRPr="00B10088">
        <w:rPr>
          <w:vertAlign w:val="superscript"/>
        </w:rPr>
        <w:t>er</w:t>
      </w:r>
      <w:r w:rsidR="001B27E4">
        <w:t> </w:t>
      </w:r>
      <w:r w:rsidRPr="0016525F">
        <w:t>septembre 20</w:t>
      </w:r>
      <w:r>
        <w:t>18</w:t>
      </w:r>
      <w:r w:rsidRPr="0016525F">
        <w:t>, les Parties contractantes appliquant le présent Règlement ne doivent accorder des homologations que si le type de véhicule à homologuer satisfait aux prescriptions du</w:t>
      </w:r>
      <w:r>
        <w:t>dit</w:t>
      </w:r>
      <w:r w:rsidRPr="0016525F">
        <w:t xml:space="preserve"> Règlement</w:t>
      </w:r>
      <w:r>
        <w:t xml:space="preserve"> </w:t>
      </w:r>
      <w:r w:rsidRPr="0016525F">
        <w:t>tel qu</w:t>
      </w:r>
      <w:r>
        <w:t>e</w:t>
      </w:r>
      <w:r w:rsidRPr="0016525F">
        <w:t xml:space="preserve"> </w:t>
      </w:r>
      <w:r>
        <w:t xml:space="preserve">modifié </w:t>
      </w:r>
      <w:r w:rsidRPr="0016525F">
        <w:t>par la série 0</w:t>
      </w:r>
      <w:r>
        <w:t>4</w:t>
      </w:r>
      <w:r w:rsidRPr="0016525F">
        <w:t xml:space="preserve"> d</w:t>
      </w:r>
      <w:r w:rsidR="004679B3">
        <w:t>’</w:t>
      </w:r>
      <w:r w:rsidRPr="0016525F">
        <w:t>amendements.</w:t>
      </w:r>
    </w:p>
    <w:p w:rsidR="00A6229D" w:rsidRDefault="00A6229D" w:rsidP="004D5B18">
      <w:pPr>
        <w:pStyle w:val="SingleTxtG"/>
        <w:ind w:left="2268" w:hanging="1134"/>
      </w:pPr>
      <w:r>
        <w:t>9.3</w:t>
      </w:r>
      <w:r>
        <w:tab/>
      </w:r>
      <w:r w:rsidRPr="0016525F">
        <w:t>À compter du 1</w:t>
      </w:r>
      <w:r w:rsidRPr="001B27E4">
        <w:rPr>
          <w:vertAlign w:val="superscript"/>
        </w:rPr>
        <w:t>er</w:t>
      </w:r>
      <w:r w:rsidR="001B27E4">
        <w:t> </w:t>
      </w:r>
      <w:r w:rsidRPr="0016525F">
        <w:t>septembre 2021, les Parties contractantes appliquant le présent Règlement ne sont pas tenues d</w:t>
      </w:r>
      <w:r w:rsidR="004679B3">
        <w:t>’</w:t>
      </w:r>
      <w:r w:rsidRPr="0016525F">
        <w:t>accepter, aux fins d</w:t>
      </w:r>
      <w:r w:rsidR="004679B3">
        <w:t>’</w:t>
      </w:r>
      <w:r w:rsidRPr="0016525F">
        <w:t>une homologation nationale ou régionale, un type de véhicule</w:t>
      </w:r>
      <w:r>
        <w:t xml:space="preserve"> homologué conformément </w:t>
      </w:r>
      <w:r w:rsidRPr="00BD78C7">
        <w:t>à la série précédente d</w:t>
      </w:r>
      <w:r w:rsidR="004679B3">
        <w:t>’</w:t>
      </w:r>
      <w:r w:rsidRPr="00BD78C7">
        <w:t>amendements au</w:t>
      </w:r>
      <w:r>
        <w:t>dit</w:t>
      </w:r>
      <w:r w:rsidRPr="00BD78C7">
        <w:t xml:space="preserve"> Règlement.</w:t>
      </w:r>
    </w:p>
    <w:p w:rsidR="004B20E4" w:rsidRDefault="00A6229D" w:rsidP="004D5B18">
      <w:pPr>
        <w:pStyle w:val="SingleTxtG"/>
        <w:ind w:left="2268" w:hanging="1134"/>
      </w:pPr>
      <w:r>
        <w:t>9.4</w:t>
      </w:r>
      <w:r w:rsidR="00922BD7">
        <w:tab/>
      </w:r>
      <w:r w:rsidRPr="00BD78C7">
        <w:t xml:space="preserve">Nonobstant les dispositions transitoires ci-dessus, les Parties contractantes pour lesquelles le présent Règlement entre en vigueur </w:t>
      </w:r>
      <w:r>
        <w:t>après l</w:t>
      </w:r>
      <w:r w:rsidR="004679B3">
        <w:t>’</w:t>
      </w:r>
      <w:r>
        <w:t xml:space="preserve">entrée en vigueur de </w:t>
      </w:r>
      <w:r w:rsidRPr="00BD78C7">
        <w:t>la série d</w:t>
      </w:r>
      <w:r w:rsidR="004679B3">
        <w:t>’</w:t>
      </w:r>
      <w:r w:rsidRPr="00BD78C7">
        <w:t>amendements la plus récente ne sont pas</w:t>
      </w:r>
      <w:r>
        <w:t xml:space="preserve"> tenues </w:t>
      </w:r>
      <w:r w:rsidRPr="00BD78C7">
        <w:t>d</w:t>
      </w:r>
      <w:r w:rsidR="004679B3">
        <w:t>’</w:t>
      </w:r>
      <w:r w:rsidRPr="00BD78C7">
        <w:t>accepter les homologations accordées conformément à l</w:t>
      </w:r>
      <w:r w:rsidR="004679B3">
        <w:t>’</w:t>
      </w:r>
      <w:r w:rsidRPr="00BD78C7">
        <w:t>une des précédentes séries d</w:t>
      </w:r>
      <w:r w:rsidR="004679B3">
        <w:t>’</w:t>
      </w:r>
      <w:r w:rsidRPr="00BD78C7">
        <w:t>amendements au</w:t>
      </w:r>
      <w:r>
        <w:t>dit</w:t>
      </w:r>
      <w:r w:rsidRPr="00BD78C7">
        <w:t xml:space="preserve"> Règlement.</w:t>
      </w:r>
      <w:r w:rsidR="0013402F">
        <w:t> ».</w:t>
      </w:r>
    </w:p>
    <w:p w:rsidR="00A6229D" w:rsidRPr="00D30DB2" w:rsidRDefault="00A6229D" w:rsidP="0013402F">
      <w:pPr>
        <w:pStyle w:val="SingleTxtG"/>
        <w:jc w:val="left"/>
        <w:rPr>
          <w:lang w:val="fr-FR"/>
        </w:rPr>
      </w:pPr>
      <w:r w:rsidRPr="00D30DB2">
        <w:rPr>
          <w:i/>
          <w:lang w:val="fr-FR"/>
        </w:rPr>
        <w:t>Annexe 3</w:t>
      </w:r>
      <w:r w:rsidRPr="00D30DB2">
        <w:rPr>
          <w:lang w:val="fr-FR"/>
        </w:rPr>
        <w:t>,</w:t>
      </w:r>
      <w:r w:rsidR="0013402F">
        <w:rPr>
          <w:lang w:val="fr-FR"/>
        </w:rPr>
        <w:br/>
      </w:r>
      <w:r w:rsidRPr="00D30DB2">
        <w:rPr>
          <w:i/>
          <w:lang w:val="fr-FR"/>
        </w:rPr>
        <w:t>Paragraphe 1.1.5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1.1.5</w:t>
      </w:r>
      <w:r w:rsidRPr="00D30DB2">
        <w:rPr>
          <w:lang w:val="fr-FR"/>
        </w:rPr>
        <w:tab/>
        <w:t>Largeur de la piste d</w:t>
      </w:r>
      <w:r w:rsidR="004679B3">
        <w:rPr>
          <w:lang w:val="fr-FR"/>
        </w:rPr>
        <w:t>’</w:t>
      </w:r>
      <w:r w:rsidRPr="00D30DB2">
        <w:rPr>
          <w:lang w:val="fr-FR"/>
        </w:rPr>
        <w:t>essai</w:t>
      </w:r>
      <w:r>
        <w:rPr>
          <w:lang w:val="fr-FR"/>
        </w:rPr>
        <w:t> :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Pour les véh</w:t>
      </w:r>
      <w:r>
        <w:rPr>
          <w:lang w:val="fr-FR"/>
        </w:rPr>
        <w:t xml:space="preserve">icules à deux roues (catégories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1</w:t>
      </w:r>
      <w:r>
        <w:rPr>
          <w:lang w:val="fr-FR"/>
        </w:rPr>
        <w:t xml:space="preserve"> et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3</w:t>
      </w:r>
      <w:r w:rsidRPr="00D30DB2">
        <w:rPr>
          <w:lang w:val="fr-FR"/>
        </w:rPr>
        <w:t xml:space="preserve">), la </w:t>
      </w:r>
      <w:r>
        <w:rPr>
          <w:lang w:val="fr-FR"/>
        </w:rPr>
        <w:t>largeur de la piste d</w:t>
      </w:r>
      <w:r w:rsidR="004679B3">
        <w:rPr>
          <w:lang w:val="fr-FR"/>
        </w:rPr>
        <w:t>’</w:t>
      </w:r>
      <w:r>
        <w:rPr>
          <w:lang w:val="fr-FR"/>
        </w:rPr>
        <w:t xml:space="preserve">essai est de </w:t>
      </w:r>
      <w:r w:rsidRPr="00D30DB2">
        <w:rPr>
          <w:lang w:val="fr-FR"/>
        </w:rPr>
        <w:t>2,5 m.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 xml:space="preserve">Pour les véhicules à trois roues </w:t>
      </w:r>
      <w:r w:rsidRPr="005339A0">
        <w:rPr>
          <w:lang w:val="fr-FR"/>
        </w:rPr>
        <w:t>et les véhicules à quatre roues</w:t>
      </w:r>
      <w:r>
        <w:rPr>
          <w:lang w:val="fr-FR"/>
        </w:rPr>
        <w:t xml:space="preserve"> (catégories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2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4,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5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6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Pr="00D30DB2">
        <w:rPr>
          <w:lang w:val="fr-FR"/>
        </w:rPr>
        <w:t>), la largeur de la p</w:t>
      </w:r>
      <w:r>
        <w:rPr>
          <w:lang w:val="fr-FR"/>
        </w:rPr>
        <w:t>iste d</w:t>
      </w:r>
      <w:r w:rsidR="004679B3">
        <w:rPr>
          <w:lang w:val="fr-FR"/>
        </w:rPr>
        <w:t>’</w:t>
      </w:r>
      <w:r>
        <w:rPr>
          <w:lang w:val="fr-FR"/>
        </w:rPr>
        <w:t xml:space="preserve">essai est de 2,5 m + </w:t>
      </w:r>
      <w:r w:rsidRPr="00D30DB2">
        <w:rPr>
          <w:lang w:val="fr-FR"/>
        </w:rPr>
        <w:t>la largeur du véhicule.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3.2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3.2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Conditions et procédure d</w:t>
      </w:r>
      <w:r w:rsidR="004679B3">
        <w:rPr>
          <w:lang w:val="fr-FR"/>
        </w:rPr>
        <w:t>’</w:t>
      </w:r>
      <w:r w:rsidRPr="00D30DB2">
        <w:rPr>
          <w:lang w:val="fr-FR"/>
        </w:rPr>
        <w:t>essai</w:t>
      </w:r>
      <w:r>
        <w:rPr>
          <w:lang w:val="fr-FR"/>
        </w:rPr>
        <w:t> :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a)</w:t>
      </w:r>
      <w:r w:rsidRPr="00D30DB2">
        <w:rPr>
          <w:lang w:val="fr-FR"/>
        </w:rPr>
        <w:tab/>
        <w:t>Température initiale des freins</w:t>
      </w:r>
      <w:r>
        <w:rPr>
          <w:lang w:val="fr-FR"/>
        </w:rPr>
        <w:t xml:space="preserve"> : </w:t>
      </w:r>
      <w:r w:rsidRPr="00D30DB2">
        <w:rPr>
          <w:lang w:val="fr-FR"/>
        </w:rPr>
        <w:t>≥ 55 °C et ≤ 100 °C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b)</w:t>
      </w:r>
      <w:r w:rsidRPr="00D30DB2">
        <w:rPr>
          <w:lang w:val="fr-FR"/>
        </w:rPr>
        <w:tab/>
        <w:t>Vitesse d</w:t>
      </w:r>
      <w:r w:rsidR="004679B3">
        <w:rPr>
          <w:lang w:val="fr-FR"/>
        </w:rPr>
        <w:t>’</w:t>
      </w:r>
      <w:r w:rsidRPr="00D30DB2">
        <w:rPr>
          <w:lang w:val="fr-FR"/>
        </w:rPr>
        <w:t>essai</w:t>
      </w:r>
      <w:r>
        <w:rPr>
          <w:lang w:val="fr-FR"/>
        </w:rPr>
        <w:t> :</w:t>
      </w:r>
    </w:p>
    <w:p w:rsidR="00A6229D" w:rsidRPr="00D30DB2" w:rsidRDefault="00A6229D" w:rsidP="00922BD7">
      <w:pPr>
        <w:pStyle w:val="SingleTxtG"/>
        <w:ind w:left="3402" w:hanging="567"/>
        <w:rPr>
          <w:lang w:val="fr-FR"/>
        </w:rPr>
      </w:pPr>
      <w:r w:rsidRPr="00D30DB2">
        <w:rPr>
          <w:lang w:val="fr-FR"/>
        </w:rPr>
        <w:t>i)</w:t>
      </w:r>
      <w:r w:rsidRPr="00D30DB2">
        <w:rPr>
          <w:lang w:val="fr-FR"/>
        </w:rPr>
        <w:tab/>
        <w:t xml:space="preserve">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1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2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6</w:t>
      </w:r>
      <w:r>
        <w:rPr>
          <w:lang w:val="fr-FR"/>
        </w:rPr>
        <w:t> :</w:t>
      </w:r>
      <w:r w:rsidRPr="00D30DB2">
        <w:rPr>
          <w:lang w:val="fr-FR"/>
        </w:rPr>
        <w:t xml:space="preserve"> 40 km/h ou 0,9 V</w:t>
      </w:r>
      <w:r w:rsidRPr="00D30DB2">
        <w:rPr>
          <w:vertAlign w:val="subscript"/>
          <w:lang w:val="fr-FR"/>
        </w:rPr>
        <w:t>max</w:t>
      </w:r>
      <w:r>
        <w:rPr>
          <w:lang w:val="fr-FR"/>
        </w:rPr>
        <w:t>, la valeur la plus faible étant retenue</w:t>
      </w:r>
      <w:r w:rsidR="001B27E4">
        <w:rPr>
          <w:lang w:val="fr-FR"/>
        </w:rPr>
        <w:t> </w:t>
      </w:r>
      <w:r w:rsidRPr="00D30DB2">
        <w:rPr>
          <w:lang w:val="fr-FR"/>
        </w:rPr>
        <w:t>;</w:t>
      </w:r>
    </w:p>
    <w:p w:rsidR="00A6229D" w:rsidRPr="00D30DB2" w:rsidRDefault="00A6229D" w:rsidP="00922BD7">
      <w:pPr>
        <w:pStyle w:val="SingleTxtG"/>
        <w:ind w:left="3402" w:hanging="567"/>
        <w:rPr>
          <w:lang w:val="fr-FR"/>
        </w:rPr>
      </w:pPr>
      <w:r w:rsidRPr="00D30DB2">
        <w:rPr>
          <w:lang w:val="fr-FR"/>
        </w:rPr>
        <w:t>ii)</w:t>
      </w:r>
      <w:r w:rsidRPr="00D30DB2">
        <w:rPr>
          <w:lang w:val="fr-FR"/>
        </w:rPr>
        <w:tab/>
        <w:t xml:space="preserve">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4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5</w:t>
      </w:r>
      <w:r w:rsidRPr="005339A0">
        <w:rPr>
          <w:lang w:val="fr-FR"/>
        </w:rPr>
        <w:t xml:space="preserve"> et L</w:t>
      </w:r>
      <w:r w:rsidRPr="005339A0">
        <w:rPr>
          <w:vertAlign w:val="subscript"/>
          <w:lang w:val="fr-FR"/>
        </w:rPr>
        <w:t>7</w:t>
      </w:r>
      <w:r>
        <w:rPr>
          <w:lang w:val="fr-FR"/>
        </w:rPr>
        <w:t> :</w:t>
      </w:r>
      <w:r w:rsidRPr="00D30DB2">
        <w:rPr>
          <w:lang w:val="fr-FR"/>
        </w:rPr>
        <w:t xml:space="preserve"> 60 km/h ou 0,9 V</w:t>
      </w:r>
      <w:r w:rsidRPr="00D30DB2">
        <w:rPr>
          <w:vertAlign w:val="subscript"/>
          <w:lang w:val="fr-FR"/>
        </w:rPr>
        <w:t>max</w:t>
      </w:r>
      <w:r>
        <w:rPr>
          <w:lang w:val="fr-FR"/>
        </w:rPr>
        <w:t>, la valeur la plus faible étant retenue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Actionnement des freins :</w:t>
      </w:r>
    </w:p>
    <w:p w:rsidR="00A6229D" w:rsidRPr="00D30DB2" w:rsidRDefault="00A6229D" w:rsidP="00922BD7">
      <w:pPr>
        <w:pStyle w:val="SingleTxtG"/>
        <w:ind w:left="3402" w:hanging="567"/>
        <w:rPr>
          <w:lang w:val="fr-FR"/>
        </w:rPr>
      </w:pPr>
      <w:r w:rsidRPr="00D30DB2">
        <w:rPr>
          <w:lang w:val="fr-FR"/>
        </w:rPr>
        <w:t>i)</w:t>
      </w:r>
      <w:r w:rsidRPr="00D30DB2">
        <w:rPr>
          <w:lang w:val="fr-FR"/>
        </w:rPr>
        <w:tab/>
        <w:t xml:space="preserve">Chaque commande du </w:t>
      </w:r>
      <w:r w:rsidRPr="00D30DB2">
        <w:rPr>
          <w:iCs/>
          <w:lang w:val="fr-FR"/>
        </w:rPr>
        <w:t xml:space="preserve">système de frein de service </w:t>
      </w:r>
      <w:r w:rsidRPr="00D30DB2">
        <w:rPr>
          <w:lang w:val="fr-FR"/>
        </w:rPr>
        <w:t>est actionnée séparément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Force d</w:t>
      </w:r>
      <w:r w:rsidR="004679B3">
        <w:rPr>
          <w:lang w:val="fr-FR"/>
        </w:rPr>
        <w:t>’</w:t>
      </w:r>
      <w:r>
        <w:rPr>
          <w:lang w:val="fr-FR"/>
        </w:rPr>
        <w:t>actionnement :</w:t>
      </w:r>
    </w:p>
    <w:p w:rsidR="00A6229D" w:rsidRPr="00D30DB2" w:rsidRDefault="00A6229D" w:rsidP="00EC3D30">
      <w:pPr>
        <w:pStyle w:val="SingleTxtG"/>
        <w:tabs>
          <w:tab w:val="left" w:pos="4196"/>
          <w:tab w:val="left" w:pos="4253"/>
        </w:tabs>
        <w:ind w:left="3402" w:hanging="567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Poignée :</w:t>
      </w:r>
      <w:r w:rsidR="00922BD7">
        <w:rPr>
          <w:lang w:val="fr-FR"/>
        </w:rPr>
        <w:tab/>
      </w:r>
      <w:r w:rsidRPr="00D30DB2">
        <w:rPr>
          <w:lang w:val="fr-FR"/>
        </w:rPr>
        <w:t>≤ 200 N</w:t>
      </w:r>
      <w:r w:rsidR="001B27E4">
        <w:rPr>
          <w:lang w:val="fr-FR"/>
        </w:rPr>
        <w:t> ;</w:t>
      </w:r>
    </w:p>
    <w:p w:rsidR="00A6229D" w:rsidRPr="00D30DB2" w:rsidRDefault="00A6229D" w:rsidP="00922BD7">
      <w:pPr>
        <w:pStyle w:val="SingleTxtG"/>
        <w:tabs>
          <w:tab w:val="left" w:pos="4196"/>
          <w:tab w:val="left" w:pos="4253"/>
        </w:tabs>
        <w:ind w:left="3402" w:hanging="567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Pédale :</w:t>
      </w:r>
      <w:r w:rsidR="00922BD7">
        <w:rPr>
          <w:lang w:val="fr-FR"/>
        </w:rPr>
        <w:tab/>
      </w:r>
      <w:r w:rsidRPr="00D30DB2">
        <w:rPr>
          <w:lang w:val="fr-FR"/>
        </w:rPr>
        <w:t>≤ 350 N pour les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1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2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4</w:t>
      </w:r>
      <w:r w:rsidRPr="005339A0">
        <w:rPr>
          <w:lang w:val="fr-FR"/>
        </w:rPr>
        <w:t xml:space="preserve"> et L</w:t>
      </w:r>
      <w:r w:rsidRPr="005339A0">
        <w:rPr>
          <w:vertAlign w:val="subscript"/>
          <w:lang w:val="fr-FR"/>
        </w:rPr>
        <w:t>6</w:t>
      </w:r>
      <w:r w:rsidR="001B27E4" w:rsidRPr="005339A0">
        <w:rPr>
          <w:lang w:val="fr-FR"/>
        </w:rPr>
        <w:t> </w:t>
      </w:r>
      <w:r w:rsidR="001B27E4" w:rsidRPr="0013402F">
        <w:rPr>
          <w:lang w:val="fr-FR"/>
        </w:rPr>
        <w:t>;</w:t>
      </w:r>
      <w:r>
        <w:rPr>
          <w:lang w:val="fr-FR"/>
        </w:rPr>
        <w:t xml:space="preserve"> </w:t>
      </w:r>
      <w:r w:rsidR="00922BD7">
        <w:rPr>
          <w:lang w:val="fr-FR"/>
        </w:rPr>
        <w:tab/>
      </w:r>
      <w:r w:rsidRPr="00D30DB2">
        <w:rPr>
          <w:lang w:val="fr-FR"/>
        </w:rPr>
        <w:t xml:space="preserve">≤ 500 N pour </w:t>
      </w:r>
      <w:r w:rsidRPr="005339A0">
        <w:rPr>
          <w:lang w:val="fr-FR"/>
        </w:rPr>
        <w:t>les catégories</w:t>
      </w:r>
      <w:r w:rsidR="001B27E4" w:rsidRPr="005339A0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922BD7">
      <w:pPr>
        <w:pStyle w:val="SingleTxtG"/>
        <w:rPr>
          <w:lang w:val="fr-FR"/>
        </w:rPr>
      </w:pPr>
      <w:r w:rsidRPr="00D30DB2">
        <w:rPr>
          <w:lang w:val="fr-FR"/>
        </w:rPr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3.3</w:t>
      </w:r>
      <w:r w:rsidRPr="00D30DB2">
        <w:rPr>
          <w:lang w:val="fr-FR"/>
        </w:rPr>
        <w:t>, modifier comme suit</w:t>
      </w:r>
      <w:r>
        <w:rPr>
          <w:lang w:val="fr-FR"/>
        </w:rPr>
        <w:t>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3.3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Prescriptions d</w:t>
      </w:r>
      <w:r w:rsidR="004679B3">
        <w:rPr>
          <w:lang w:val="fr-FR"/>
        </w:rPr>
        <w:t>’</w:t>
      </w:r>
      <w:r w:rsidRPr="00D30DB2">
        <w:rPr>
          <w:lang w:val="fr-FR"/>
        </w:rPr>
        <w:t>efficacité</w:t>
      </w:r>
    </w:p>
    <w:p w:rsidR="00A6229D" w:rsidRPr="0013402F" w:rsidRDefault="00A6229D" w:rsidP="004D5B18">
      <w:pPr>
        <w:pStyle w:val="SingleTxtG"/>
        <w:ind w:left="2268"/>
        <w:rPr>
          <w:spacing w:val="-4"/>
          <w:lang w:val="fr-FR"/>
        </w:rPr>
      </w:pPr>
      <w:r>
        <w:rPr>
          <w:lang w:val="fr-FR"/>
        </w:rPr>
        <w:tab/>
      </w:r>
      <w:r w:rsidRPr="0013402F">
        <w:rPr>
          <w:spacing w:val="-3"/>
          <w:lang w:val="fr-FR"/>
        </w:rPr>
        <w:t>Lors d</w:t>
      </w:r>
      <w:r w:rsidR="004679B3" w:rsidRPr="0013402F">
        <w:rPr>
          <w:spacing w:val="-3"/>
          <w:lang w:val="fr-FR"/>
        </w:rPr>
        <w:t>’</w:t>
      </w:r>
      <w:r w:rsidRPr="0013402F">
        <w:rPr>
          <w:spacing w:val="-3"/>
          <w:lang w:val="fr-FR"/>
        </w:rPr>
        <w:t>un essai exécuté conformément à la procédure décrite au paragraphe</w:t>
      </w:r>
      <w:r w:rsidR="001B27E4" w:rsidRPr="0013402F">
        <w:rPr>
          <w:spacing w:val="-3"/>
          <w:lang w:val="fr-FR"/>
        </w:rPr>
        <w:t xml:space="preserve"> </w:t>
      </w:r>
      <w:r w:rsidRPr="0013402F">
        <w:rPr>
          <w:spacing w:val="-3"/>
          <w:lang w:val="fr-FR"/>
        </w:rPr>
        <w:t>3.2,</w:t>
      </w:r>
      <w:r w:rsidRPr="0013402F">
        <w:rPr>
          <w:spacing w:val="-4"/>
          <w:lang w:val="fr-FR"/>
        </w:rPr>
        <w:t xml:space="preserve"> </w:t>
      </w:r>
      <w:r w:rsidRPr="0013402F">
        <w:rPr>
          <w:spacing w:val="-2"/>
          <w:lang w:val="fr-FR"/>
        </w:rPr>
        <w:t>la distance d</w:t>
      </w:r>
      <w:r w:rsidR="004679B3" w:rsidRPr="0013402F">
        <w:rPr>
          <w:spacing w:val="-2"/>
          <w:lang w:val="fr-FR"/>
        </w:rPr>
        <w:t>’</w:t>
      </w:r>
      <w:r w:rsidRPr="0013402F">
        <w:rPr>
          <w:spacing w:val="-2"/>
          <w:lang w:val="fr-FR"/>
        </w:rPr>
        <w:t>arrêt doit être conforme à la valeur prescrite dans la colonne</w:t>
      </w:r>
      <w:r w:rsidR="001B27E4" w:rsidRPr="0013402F">
        <w:rPr>
          <w:spacing w:val="-2"/>
          <w:lang w:val="fr-FR"/>
        </w:rPr>
        <w:t xml:space="preserve"> </w:t>
      </w:r>
      <w:r w:rsidRPr="0013402F">
        <w:rPr>
          <w:spacing w:val="-2"/>
          <w:lang w:val="fr-FR"/>
        </w:rPr>
        <w:t>2, ou la DMER à la valeur prescrite dans la colonne</w:t>
      </w:r>
      <w:r w:rsidR="001B27E4" w:rsidRPr="0013402F">
        <w:rPr>
          <w:spacing w:val="-2"/>
          <w:lang w:val="fr-FR"/>
        </w:rPr>
        <w:t xml:space="preserve"> </w:t>
      </w:r>
      <w:r w:rsidRPr="0013402F">
        <w:rPr>
          <w:spacing w:val="-2"/>
          <w:lang w:val="fr-FR"/>
        </w:rPr>
        <w:t>3 du tableau ci-dessous 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262"/>
        <w:gridCol w:w="1405"/>
      </w:tblGrid>
      <w:tr w:rsidR="00A6229D" w:rsidRPr="00EC3D30" w:rsidTr="000A1225">
        <w:trPr>
          <w:cantSplit/>
          <w:tblHeader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A6229D" w:rsidRPr="00EC3D30" w:rsidRDefault="00A6229D" w:rsidP="00922B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lastRenderedPageBreak/>
              <w:t>Colonne 1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EC3D30" w:rsidRDefault="00A6229D" w:rsidP="00922B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Colonne 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EC3D30" w:rsidRDefault="00A6229D" w:rsidP="00922B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Colonne 3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13402F" w:rsidRDefault="00A6229D" w:rsidP="0013402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</w:pP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Catégorie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br/>
              <w:t>de véhicule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13402F" w:rsidRDefault="00A6229D" w:rsidP="0013402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</w:pP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DISTANCE D</w:t>
            </w:r>
            <w:r w:rsidR="004679B3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’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ARRÊT (S)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br/>
              <w:t>(où V</w:t>
            </w:r>
            <w:r w:rsidR="001B27E4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est la vitesse d</w:t>
            </w:r>
            <w:r w:rsidR="004679B3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’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essai prescrite en km/h,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br/>
              <w:t>et</w:t>
            </w:r>
            <w:r w:rsidR="001B27E4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S</w:t>
            </w:r>
            <w:r w:rsidR="001B27E4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la distance d</w:t>
            </w:r>
            <w:r w:rsidR="004679B3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’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arrêt prescrite en</w:t>
            </w:r>
            <w:r w:rsidR="001B27E4"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rFonts w:eastAsiaTheme="minorHAnsi"/>
                <w:i/>
                <w:spacing w:val="4"/>
                <w:w w:val="103"/>
                <w:kern w:val="14"/>
                <w:sz w:val="16"/>
                <w:szCs w:val="16"/>
                <w:lang w:val="fr-FR"/>
              </w:rPr>
              <w:t>mètres)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13402F" w:rsidRDefault="00A6229D" w:rsidP="0013402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160" w:lineRule="exact"/>
              <w:ind w:left="57" w:right="57"/>
              <w:rPr>
                <w:rFonts w:eastAsiaTheme="minorHAnsi"/>
                <w:spacing w:val="4"/>
                <w:w w:val="103"/>
                <w:kern w:val="14"/>
                <w:sz w:val="16"/>
                <w:szCs w:val="16"/>
                <w:lang w:val="fr-FR"/>
              </w:rPr>
            </w:pPr>
            <w:r w:rsidRPr="0013402F">
              <w:rPr>
                <w:rFonts w:eastAsiaTheme="minorHAnsi"/>
                <w:spacing w:val="4"/>
                <w:w w:val="103"/>
                <w:kern w:val="14"/>
                <w:sz w:val="16"/>
                <w:szCs w:val="16"/>
                <w:lang w:val="fr-FR"/>
              </w:rPr>
              <w:t>DMER</w:t>
            </w:r>
          </w:p>
        </w:tc>
      </w:tr>
      <w:tr w:rsidR="00A6229D" w:rsidRPr="000F2D3F" w:rsidTr="000A1225">
        <w:trPr>
          <w:cantSplit/>
        </w:trPr>
        <w:tc>
          <w:tcPr>
            <w:tcW w:w="7371" w:type="dxa"/>
            <w:gridSpan w:val="3"/>
            <w:shd w:val="clear" w:color="auto" w:fill="auto"/>
            <w:noWrap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>
              <w:t>Système de freinage individuel, f</w:t>
            </w:r>
            <w:r w:rsidRPr="002B1186">
              <w:t xml:space="preserve">reinage </w:t>
            </w:r>
            <w:r>
              <w:t>de l</w:t>
            </w:r>
            <w:r w:rsidRPr="002B1186">
              <w:t>a (</w:t>
            </w:r>
            <w:r>
              <w:t>d</w:t>
            </w:r>
            <w:r w:rsidRPr="002B1186">
              <w:t>es) roue(s) avant seulement</w:t>
            </w:r>
            <w:r>
              <w:t> :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57" w:right="57"/>
            </w:pPr>
            <w:r w:rsidRPr="00922BD7">
              <w:rPr>
                <w:rFonts w:eastAsiaTheme="minorHAnsi"/>
                <w:spacing w:val="4"/>
                <w:w w:val="103"/>
                <w:kern w:val="14"/>
                <w:lang w:val="fr-FR"/>
              </w:rPr>
              <w:t>L</w:t>
            </w:r>
            <w:r w:rsidRPr="00922BD7">
              <w:rPr>
                <w:rFonts w:eastAsiaTheme="minorHAnsi"/>
                <w:spacing w:val="4"/>
                <w:w w:val="103"/>
                <w:kern w:val="14"/>
                <w:vertAlign w:val="subscript"/>
                <w:lang w:val="fr-F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+ 0,0111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3,4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57" w:right="57"/>
            </w:pPr>
            <w:r w:rsidRPr="005339A0">
              <w:t>L</w:t>
            </w:r>
            <w:r w:rsidRPr="005339A0">
              <w:rPr>
                <w:vertAlign w:val="subscript"/>
              </w:rPr>
              <w:t xml:space="preserve">2 </w:t>
            </w:r>
            <w:r w:rsidRPr="005339A0">
              <w:t>et L</w:t>
            </w:r>
            <w:r w:rsidRPr="005339A0">
              <w:rPr>
                <w:vertAlign w:val="subscript"/>
              </w:rPr>
              <w:t>6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+ 0,0143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2,7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3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+ 0,0087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4,4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spacing w:before="60" w:after="60"/>
              <w:ind w:left="57" w:right="57"/>
            </w:pPr>
            <w:r w:rsidRPr="005339A0">
              <w:t>L</w:t>
            </w:r>
            <w:r w:rsidRPr="005339A0">
              <w:rPr>
                <w:vertAlign w:val="subscript"/>
              </w:rPr>
              <w:t xml:space="preserve">5 </w:t>
            </w:r>
            <w:r w:rsidRPr="005339A0">
              <w:t>et L</w:t>
            </w:r>
            <w:r w:rsidRPr="005339A0">
              <w:rPr>
                <w:vertAlign w:val="subscript"/>
              </w:rPr>
              <w:t>7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Sans objet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Sans objet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4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+ 0,0105 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≥ 3,6 m/s</w:t>
            </w:r>
            <w:r w:rsidRPr="000F2D3F">
              <w:rPr>
                <w:vertAlign w:val="superscript"/>
                <w:lang w:val="fr-FR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7371" w:type="dxa"/>
            <w:gridSpan w:val="3"/>
            <w:shd w:val="clear" w:color="auto" w:fill="auto"/>
            <w:noWrap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>
              <w:t>Système de freinage individuel, f</w:t>
            </w:r>
            <w:r w:rsidRPr="002B1186">
              <w:t xml:space="preserve">reinage </w:t>
            </w:r>
            <w:r>
              <w:t>de</w:t>
            </w:r>
            <w:r w:rsidRPr="002B1186">
              <w:t xml:space="preserve"> la (</w:t>
            </w:r>
            <w:r>
              <w:t>d</w:t>
            </w:r>
            <w:r w:rsidRPr="002B1186">
              <w:t xml:space="preserve">es) roue(s) </w:t>
            </w:r>
            <w:r>
              <w:t>arrière</w:t>
            </w:r>
            <w:r w:rsidRPr="002B1186">
              <w:t xml:space="preserve"> seulement</w:t>
            </w:r>
            <w:r>
              <w:t> :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+ 0,0143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2,7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spacing w:before="60" w:after="60"/>
              <w:ind w:left="57" w:right="57"/>
            </w:pPr>
            <w:r w:rsidRPr="005339A0">
              <w:t>L</w:t>
            </w:r>
            <w:r w:rsidRPr="005339A0">
              <w:rPr>
                <w:vertAlign w:val="subscript"/>
              </w:rPr>
              <w:t xml:space="preserve">2 </w:t>
            </w:r>
            <w:r w:rsidRPr="005339A0">
              <w:t>et L</w:t>
            </w:r>
            <w:r w:rsidRPr="005339A0">
              <w:rPr>
                <w:vertAlign w:val="subscript"/>
              </w:rPr>
              <w:t>6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+ 0,0143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2,7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3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+ 0,0133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2,9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spacing w:before="60" w:after="60"/>
              <w:ind w:left="57" w:right="57"/>
            </w:pPr>
            <w:r w:rsidRPr="005339A0">
              <w:t>L</w:t>
            </w:r>
            <w:r w:rsidRPr="005339A0">
              <w:rPr>
                <w:vertAlign w:val="subscript"/>
              </w:rPr>
              <w:t xml:space="preserve">5 </w:t>
            </w:r>
            <w:r w:rsidRPr="005339A0">
              <w:t>et L</w:t>
            </w:r>
            <w:r w:rsidRPr="005339A0">
              <w:rPr>
                <w:vertAlign w:val="subscript"/>
              </w:rPr>
              <w:t>7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Sans objet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Sans objet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4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+ 0,0105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≥ 3,6 m/s</w:t>
            </w:r>
            <w:r w:rsidRPr="000F2D3F">
              <w:rPr>
                <w:vertAlign w:val="superscript"/>
                <w:lang w:val="fr-FR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7371" w:type="dxa"/>
            <w:gridSpan w:val="3"/>
            <w:shd w:val="clear" w:color="auto" w:fill="auto"/>
            <w:noWrap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>
              <w:t>S</w:t>
            </w:r>
            <w:r w:rsidRPr="00EB0294">
              <w:t xml:space="preserve">ystème de freinage intégral ou </w:t>
            </w:r>
            <w:r w:rsidRPr="00EB0294">
              <w:rPr>
                <w:lang w:val="fr-FR"/>
              </w:rPr>
              <w:t>système de frein de service à circuits partiels</w:t>
            </w:r>
            <w:r>
              <w:rPr>
                <w:lang w:val="fr-FR"/>
              </w:rPr>
              <w:t>, à l</w:t>
            </w:r>
            <w:r w:rsidR="004679B3">
              <w:rPr>
                <w:lang w:val="fr-FR"/>
              </w:rPr>
              <w:t>’</w:t>
            </w:r>
            <w:r>
              <w:rPr>
                <w:lang w:val="fr-FR"/>
              </w:rPr>
              <w:t>état</w:t>
            </w:r>
            <w:r w:rsidRPr="00EB0294">
              <w:t xml:space="preserve"> charg</w:t>
            </w:r>
            <w:r>
              <w:t>é</w:t>
            </w:r>
            <w:r w:rsidRPr="00EB0294">
              <w:t xml:space="preserve"> et </w:t>
            </w:r>
            <w:r>
              <w:t>à l</w:t>
            </w:r>
            <w:r w:rsidR="004679B3">
              <w:t>’</w:t>
            </w:r>
            <w:r>
              <w:t>état</w:t>
            </w:r>
            <w:r w:rsidRPr="00EB0294">
              <w:t xml:space="preserve"> légèrement chargé</w:t>
            </w:r>
            <w:r>
              <w:t> :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5339A0">
              <w:rPr>
                <w:lang w:val="fr-FR"/>
              </w:rPr>
              <w:t>L</w:t>
            </w:r>
            <w:r w:rsidRPr="005339A0">
              <w:rPr>
                <w:vertAlign w:val="subscript"/>
                <w:lang w:val="fr-FR"/>
              </w:rPr>
              <w:t>1</w:t>
            </w:r>
            <w:r w:rsidRPr="005339A0">
              <w:rPr>
                <w:lang w:val="fr-FR"/>
              </w:rPr>
              <w:t>, L</w:t>
            </w:r>
            <w:r w:rsidRPr="005339A0">
              <w:rPr>
                <w:vertAlign w:val="subscript"/>
                <w:lang w:val="fr-FR"/>
              </w:rPr>
              <w:t xml:space="preserve">2 </w:t>
            </w:r>
            <w:r w:rsidRPr="005339A0">
              <w:rPr>
                <w:lang w:val="fr-FR"/>
              </w:rPr>
              <w:t>et L</w:t>
            </w:r>
            <w:r w:rsidRPr="005339A0">
              <w:rPr>
                <w:vertAlign w:val="subscript"/>
                <w:lang w:val="fr-FR"/>
              </w:rPr>
              <w:t>6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+ 0,0087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4,4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3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+ 0,0076 V</w:t>
            </w:r>
            <w:r w:rsidRPr="000F2D3F">
              <w:rPr>
                <w:vertAlign w:val="superscript"/>
              </w:rPr>
              <w:t>2</w:t>
            </w:r>
            <w:r w:rsidRPr="000F2D3F">
              <w:t xml:space="preserve"> 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5,1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5339A0" w:rsidRDefault="00A6229D" w:rsidP="00922BD7">
            <w:pPr>
              <w:spacing w:before="60" w:after="60"/>
              <w:ind w:left="57" w:right="57"/>
            </w:pPr>
            <w:r w:rsidRPr="005339A0">
              <w:t>L</w:t>
            </w:r>
            <w:r w:rsidRPr="005339A0">
              <w:rPr>
                <w:vertAlign w:val="subscript"/>
              </w:rPr>
              <w:t xml:space="preserve">5 </w:t>
            </w:r>
            <w:r w:rsidRPr="005339A0">
              <w:t>et L</w:t>
            </w:r>
            <w:r w:rsidRPr="005339A0">
              <w:rPr>
                <w:vertAlign w:val="subscript"/>
              </w:rPr>
              <w:t>7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+ 0,0077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5,0 m/s</w:t>
            </w:r>
            <w:r w:rsidRPr="000F2D3F">
              <w:rPr>
                <w:vertAlign w:val="superscript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L</w:t>
            </w:r>
            <w:r w:rsidRPr="000F2D3F">
              <w:rPr>
                <w:vertAlign w:val="subscript"/>
              </w:rPr>
              <w:t>4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+ 0,0071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  <w:rPr>
                <w:lang w:val="fr-FR"/>
              </w:rPr>
            </w:pPr>
            <w:r w:rsidRPr="000F2D3F">
              <w:rPr>
                <w:lang w:val="fr-FR"/>
              </w:rPr>
              <w:t>≥ 5,4 m/s</w:t>
            </w:r>
            <w:r w:rsidRPr="000F2D3F">
              <w:rPr>
                <w:vertAlign w:val="superscript"/>
                <w:lang w:val="fr-FR"/>
              </w:rPr>
              <w:t>2</w:t>
            </w:r>
          </w:p>
        </w:tc>
      </w:tr>
      <w:tr w:rsidR="00A6229D" w:rsidRPr="000F2D3F" w:rsidTr="000A1225">
        <w:trPr>
          <w:cantSplit/>
        </w:trPr>
        <w:tc>
          <w:tcPr>
            <w:tcW w:w="7371" w:type="dxa"/>
            <w:gridSpan w:val="3"/>
            <w:shd w:val="clear" w:color="auto" w:fill="auto"/>
            <w:noWrap/>
          </w:tcPr>
          <w:p w:rsidR="00A6229D" w:rsidRPr="000F2D3F" w:rsidRDefault="00A6229D" w:rsidP="001B27E4">
            <w:pPr>
              <w:spacing w:before="60" w:after="60"/>
              <w:ind w:left="57" w:right="57"/>
            </w:pPr>
            <w:r w:rsidRPr="00EB0294">
              <w:t xml:space="preserve">Véhicules </w:t>
            </w:r>
            <w:r>
              <w:t>avec</w:t>
            </w:r>
            <w:r w:rsidRPr="00EB0294">
              <w:t xml:space="preserve"> système de freinage intégral </w:t>
            </w:r>
            <w:r w:rsidR="001B27E4">
              <w:t>−</w:t>
            </w:r>
            <w:r w:rsidRPr="00EB0294">
              <w:t xml:space="preserve"> système</w:t>
            </w:r>
            <w:r>
              <w:t xml:space="preserve">s </w:t>
            </w:r>
            <w:r w:rsidRPr="00EB0294">
              <w:t>de frein secondaire</w:t>
            </w:r>
          </w:p>
        </w:tc>
      </w:tr>
      <w:tr w:rsidR="00A6229D" w:rsidRPr="000F2D3F" w:rsidTr="000A1225">
        <w:trPr>
          <w:cantSplit/>
        </w:trPr>
        <w:tc>
          <w:tcPr>
            <w:tcW w:w="1704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TOUTES</w:t>
            </w:r>
          </w:p>
        </w:tc>
        <w:tc>
          <w:tcPr>
            <w:tcW w:w="4262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S ≤ 0,1 V + 0,0154 V</w:t>
            </w:r>
            <w:r w:rsidRPr="000F2D3F">
              <w:rPr>
                <w:vertAlign w:val="superscrip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A6229D" w:rsidRPr="000F2D3F" w:rsidRDefault="00A6229D" w:rsidP="00922BD7">
            <w:pPr>
              <w:spacing w:before="60" w:after="60"/>
              <w:ind w:left="57" w:right="57"/>
            </w:pPr>
            <w:r w:rsidRPr="000F2D3F">
              <w:t>≥ 2,5 m/s</w:t>
            </w:r>
            <w:r w:rsidRPr="000F2D3F">
              <w:rPr>
                <w:vertAlign w:val="superscript"/>
              </w:rPr>
              <w:t>2</w:t>
            </w:r>
          </w:p>
        </w:tc>
      </w:tr>
    </w:tbl>
    <w:p w:rsidR="00A6229D" w:rsidRPr="00D30DB2" w:rsidRDefault="00A6229D" w:rsidP="00922BD7">
      <w:pPr>
        <w:pStyle w:val="SingleTxtG"/>
        <w:spacing w:before="120"/>
        <w:jc w:val="right"/>
        <w:rPr>
          <w:lang w:val="fr-FR"/>
        </w:rPr>
      </w:pPr>
      <w:r w:rsidRPr="00D30DB2">
        <w:rPr>
          <w:lang w:val="fr-FR"/>
        </w:rPr>
        <w:t> ».</w:t>
      </w:r>
    </w:p>
    <w:p w:rsidR="00A6229D" w:rsidRPr="00D30DB2" w:rsidRDefault="00A6229D" w:rsidP="00B25C46">
      <w:pPr>
        <w:pStyle w:val="SingleTxtG"/>
        <w:spacing w:after="100" w:line="236" w:lineRule="exact"/>
        <w:rPr>
          <w:lang w:val="fr-FR"/>
        </w:rPr>
      </w:pPr>
      <w:r w:rsidRPr="00D30DB2">
        <w:rPr>
          <w:i/>
          <w:lang w:val="fr-FR"/>
        </w:rPr>
        <w:t>Paragraphe 4.1</w:t>
      </w:r>
      <w:r>
        <w:rPr>
          <w:lang w:val="fr-FR"/>
        </w:rPr>
        <w:t>, modifier comme suit :</w:t>
      </w:r>
    </w:p>
    <w:p w:rsidR="00A6229D" w:rsidRPr="00D30DB2" w:rsidRDefault="00A6229D" w:rsidP="00B25C46">
      <w:pPr>
        <w:pStyle w:val="SingleTxtG"/>
        <w:spacing w:after="100" w:line="236" w:lineRule="exact"/>
        <w:ind w:left="2268" w:hanging="1134"/>
        <w:rPr>
          <w:lang w:val="fr-FR"/>
        </w:rPr>
      </w:pPr>
      <w:r w:rsidRPr="004D5B18">
        <w:t>«</w:t>
      </w:r>
      <w:r>
        <w:rPr>
          <w:lang w:val="fr-FR"/>
        </w:rPr>
        <w:t> </w:t>
      </w:r>
      <w:r w:rsidRPr="00D30DB2">
        <w:rPr>
          <w:lang w:val="fr-FR"/>
        </w:rPr>
        <w:t>4.1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Co</w:t>
      </w:r>
      <w:r>
        <w:rPr>
          <w:lang w:val="fr-FR"/>
        </w:rPr>
        <w:t>nditions concernant le véhicule :</w:t>
      </w:r>
    </w:p>
    <w:p w:rsidR="00A6229D" w:rsidRPr="00D30DB2" w:rsidRDefault="00A6229D" w:rsidP="00B25C46">
      <w:pPr>
        <w:pStyle w:val="SingleTxtG"/>
        <w:spacing w:after="100" w:line="236" w:lineRule="exact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a)</w:t>
      </w:r>
      <w:r w:rsidRPr="00D30DB2">
        <w:rPr>
          <w:lang w:val="fr-FR"/>
        </w:rPr>
        <w:tab/>
        <w:t>Essai applicable aux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4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spacing w:after="100" w:line="236" w:lineRule="exact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B25C46">
      <w:pPr>
        <w:pStyle w:val="SingleTxtG"/>
        <w:spacing w:after="100" w:line="236" w:lineRule="exact"/>
        <w:rPr>
          <w:lang w:val="fr-FR"/>
        </w:rPr>
      </w:pPr>
      <w:r w:rsidRPr="00D30DB2">
        <w:rPr>
          <w:i/>
          <w:lang w:val="fr-FR"/>
        </w:rPr>
        <w:t>Paragraphe 4.2</w:t>
      </w:r>
      <w:r w:rsidRPr="00D30DB2">
        <w:rPr>
          <w:lang w:val="fr-FR"/>
        </w:rPr>
        <w:t>, modifier comme suit</w:t>
      </w:r>
      <w:r>
        <w:rPr>
          <w:lang w:val="fr-FR"/>
        </w:rPr>
        <w:t> :</w:t>
      </w:r>
    </w:p>
    <w:p w:rsidR="00A6229D" w:rsidRPr="00D30DB2" w:rsidRDefault="00A6229D" w:rsidP="00B25C46">
      <w:pPr>
        <w:pStyle w:val="SingleTxtG"/>
        <w:spacing w:after="100" w:line="236" w:lineRule="exact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4.2</w:t>
      </w:r>
      <w:r w:rsidRPr="00D30DB2">
        <w:rPr>
          <w:lang w:val="fr-FR"/>
        </w:rPr>
        <w:tab/>
      </w:r>
      <w:r>
        <w:rPr>
          <w:lang w:val="fr-FR"/>
        </w:rPr>
        <w:tab/>
        <w:t>Conditions et procédure d</w:t>
      </w:r>
      <w:r w:rsidR="004679B3">
        <w:rPr>
          <w:lang w:val="fr-FR"/>
        </w:rPr>
        <w:t>’</w:t>
      </w:r>
      <w:r>
        <w:rPr>
          <w:lang w:val="fr-FR"/>
        </w:rPr>
        <w:t>essai </w:t>
      </w:r>
      <w:r w:rsidRPr="00D30DB2">
        <w:rPr>
          <w:lang w:val="fr-FR"/>
        </w:rPr>
        <w:t>:</w:t>
      </w:r>
    </w:p>
    <w:p w:rsidR="00A6229D" w:rsidRPr="00D30DB2" w:rsidRDefault="00A6229D" w:rsidP="00B25C46">
      <w:pPr>
        <w:pStyle w:val="SingleTxtG"/>
        <w:spacing w:after="100" w:line="236" w:lineRule="exact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</w:t>
      </w:r>
    </w:p>
    <w:p w:rsidR="00A6229D" w:rsidRPr="00D30DB2" w:rsidRDefault="00A6229D" w:rsidP="00B25C46">
      <w:pPr>
        <w:pStyle w:val="SingleTxtG"/>
        <w:spacing w:after="100" w:line="236" w:lineRule="exact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d)</w:t>
      </w:r>
      <w:r w:rsidRPr="00D30DB2">
        <w:rPr>
          <w:lang w:val="fr-FR"/>
        </w:rPr>
        <w:tab/>
        <w:t>Force d</w:t>
      </w:r>
      <w:r w:rsidR="004679B3">
        <w:rPr>
          <w:lang w:val="fr-FR"/>
        </w:rPr>
        <w:t>’</w:t>
      </w:r>
      <w:r w:rsidRPr="00D30DB2">
        <w:rPr>
          <w:lang w:val="fr-FR"/>
        </w:rPr>
        <w:t>actionnement</w:t>
      </w:r>
      <w:r>
        <w:rPr>
          <w:lang w:val="fr-FR"/>
        </w:rPr>
        <w:t> </w:t>
      </w:r>
      <w:r w:rsidRPr="00D30DB2">
        <w:rPr>
          <w:lang w:val="fr-FR"/>
        </w:rPr>
        <w:t>:</w:t>
      </w:r>
    </w:p>
    <w:p w:rsidR="00A6229D" w:rsidRPr="00D30DB2" w:rsidRDefault="00A6229D" w:rsidP="00B25C46">
      <w:pPr>
        <w:pStyle w:val="SingleTxtG"/>
        <w:tabs>
          <w:tab w:val="left" w:pos="3686"/>
        </w:tabs>
        <w:spacing w:after="100" w:line="236" w:lineRule="exact"/>
        <w:ind w:left="2835"/>
        <w:rPr>
          <w:lang w:val="fr-FR"/>
        </w:rPr>
      </w:pPr>
      <w:r>
        <w:rPr>
          <w:lang w:val="fr-FR"/>
        </w:rPr>
        <w:t>Poignée :</w:t>
      </w:r>
      <w:r>
        <w:rPr>
          <w:lang w:val="fr-FR"/>
        </w:rPr>
        <w:tab/>
      </w:r>
      <w:r w:rsidRPr="00D30DB2">
        <w:rPr>
          <w:lang w:val="fr-FR"/>
        </w:rPr>
        <w:t>≤ 250 N</w:t>
      </w:r>
      <w:r w:rsidR="001B27E4">
        <w:rPr>
          <w:lang w:val="fr-FR"/>
        </w:rPr>
        <w:t> ;</w:t>
      </w:r>
    </w:p>
    <w:p w:rsidR="00A6229D" w:rsidRDefault="00A6229D" w:rsidP="00B25C46">
      <w:pPr>
        <w:pStyle w:val="SingleTxtG"/>
        <w:tabs>
          <w:tab w:val="left" w:pos="3686"/>
        </w:tabs>
        <w:spacing w:after="100" w:line="236" w:lineRule="exact"/>
        <w:ind w:left="2835"/>
        <w:rPr>
          <w:lang w:val="fr-FR"/>
        </w:rPr>
      </w:pPr>
      <w:r>
        <w:rPr>
          <w:lang w:val="fr-FR"/>
        </w:rPr>
        <w:t>Pédale :</w:t>
      </w:r>
      <w:r>
        <w:rPr>
          <w:lang w:val="fr-FR"/>
        </w:rPr>
        <w:tab/>
      </w:r>
      <w:r w:rsidRPr="00D30DB2">
        <w:rPr>
          <w:lang w:val="fr-FR"/>
        </w:rPr>
        <w:t>≤ 400 N pour les catégories</w:t>
      </w:r>
      <w:r w:rsidR="001B27E4">
        <w:rPr>
          <w:lang w:val="fr-FR"/>
        </w:rPr>
        <w:t xml:space="preserve">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3</w:t>
      </w:r>
      <w:r w:rsidRPr="00D30DB2">
        <w:rPr>
          <w:lang w:val="fr-FR"/>
        </w:rPr>
        <w:t xml:space="preserve"> et</w:t>
      </w:r>
      <w:r w:rsidR="001B27E4">
        <w:rPr>
          <w:lang w:val="fr-FR"/>
        </w:rPr>
        <w:t xml:space="preserve">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4</w:t>
      </w:r>
      <w:r w:rsidR="001B27E4">
        <w:rPr>
          <w:lang w:val="fr-FR"/>
        </w:rPr>
        <w:t> ;</w:t>
      </w:r>
      <w:r>
        <w:rPr>
          <w:lang w:val="fr-FR"/>
        </w:rPr>
        <w:t xml:space="preserve"> </w:t>
      </w:r>
    </w:p>
    <w:p w:rsidR="00A6229D" w:rsidRPr="00D30DB2" w:rsidRDefault="00A6229D" w:rsidP="00B25C46">
      <w:pPr>
        <w:pStyle w:val="SingleTxtG"/>
        <w:tabs>
          <w:tab w:val="left" w:pos="3686"/>
        </w:tabs>
        <w:spacing w:after="100" w:line="236" w:lineRule="exact"/>
        <w:ind w:left="3686"/>
        <w:rPr>
          <w:lang w:val="fr-FR"/>
        </w:rPr>
      </w:pPr>
      <w:r w:rsidRPr="00D30DB2">
        <w:rPr>
          <w:lang w:val="fr-FR"/>
        </w:rPr>
        <w:t>≤ 500 N pour les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spacing w:after="100" w:line="236" w:lineRule="exact"/>
        <w:ind w:left="2835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5.1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5.1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Co</w:t>
      </w:r>
      <w:r>
        <w:rPr>
          <w:lang w:val="fr-FR"/>
        </w:rPr>
        <w:t>nditions concernant le véhicule </w:t>
      </w:r>
      <w:r w:rsidRPr="00D30DB2">
        <w:rPr>
          <w:lang w:val="fr-FR"/>
        </w:rPr>
        <w:t>: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a)</w:t>
      </w:r>
      <w:r w:rsidRPr="00D30DB2">
        <w:rPr>
          <w:lang w:val="fr-FR"/>
        </w:rPr>
        <w:tab/>
        <w:t xml:space="preserve">Essai applicable aux 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4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5.2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5.2</w:t>
      </w:r>
      <w:r w:rsidRPr="00D30DB2">
        <w:rPr>
          <w:lang w:val="fr-FR"/>
        </w:rPr>
        <w:tab/>
      </w:r>
      <w:r w:rsidRPr="00D30DB2">
        <w:rPr>
          <w:lang w:val="fr-FR"/>
        </w:rPr>
        <w:tab/>
        <w:t>C</w:t>
      </w:r>
      <w:r>
        <w:rPr>
          <w:lang w:val="fr-FR"/>
        </w:rPr>
        <w:t>onditions et procédure d</w:t>
      </w:r>
      <w:r w:rsidR="004679B3">
        <w:rPr>
          <w:lang w:val="fr-FR"/>
        </w:rPr>
        <w:t>’</w:t>
      </w:r>
      <w:r>
        <w:rPr>
          <w:lang w:val="fr-FR"/>
        </w:rPr>
        <w:t>essai :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 w:rsidRPr="00D30DB2">
        <w:rPr>
          <w:lang w:val="fr-FR"/>
        </w:rPr>
        <w:tab/>
        <w:t>…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Force d</w:t>
      </w:r>
      <w:r w:rsidR="004679B3">
        <w:rPr>
          <w:lang w:val="fr-FR"/>
        </w:rPr>
        <w:t>’</w:t>
      </w:r>
      <w:r>
        <w:rPr>
          <w:lang w:val="fr-FR"/>
        </w:rPr>
        <w:t>actionnement :</w:t>
      </w:r>
    </w:p>
    <w:p w:rsidR="00A6229D" w:rsidRPr="00D30DB2" w:rsidRDefault="00A6229D" w:rsidP="00EC3D30">
      <w:pPr>
        <w:pStyle w:val="SingleTxtG"/>
        <w:tabs>
          <w:tab w:val="left" w:pos="3686"/>
        </w:tabs>
        <w:ind w:left="2835"/>
        <w:rPr>
          <w:lang w:val="fr-FR"/>
        </w:rPr>
      </w:pPr>
      <w:r>
        <w:rPr>
          <w:lang w:val="fr-FR"/>
        </w:rPr>
        <w:t>Poignée :</w:t>
      </w:r>
      <w:r>
        <w:rPr>
          <w:lang w:val="fr-FR"/>
        </w:rPr>
        <w:tab/>
      </w:r>
      <w:r w:rsidRPr="00D30DB2">
        <w:rPr>
          <w:lang w:val="fr-FR"/>
        </w:rPr>
        <w:t>≤ 200 N</w:t>
      </w:r>
      <w:r w:rsidR="001B27E4">
        <w:rPr>
          <w:lang w:val="fr-FR"/>
        </w:rPr>
        <w:t> ;</w:t>
      </w:r>
    </w:p>
    <w:p w:rsidR="00A6229D" w:rsidRDefault="00A6229D" w:rsidP="00EC3D30">
      <w:pPr>
        <w:pStyle w:val="SingleTxtG"/>
        <w:tabs>
          <w:tab w:val="left" w:pos="3686"/>
        </w:tabs>
        <w:ind w:left="2835"/>
        <w:rPr>
          <w:lang w:val="fr-FR"/>
        </w:rPr>
      </w:pPr>
      <w:r>
        <w:rPr>
          <w:lang w:val="fr-FR"/>
        </w:rPr>
        <w:t>Pédale :</w:t>
      </w:r>
      <w:r>
        <w:rPr>
          <w:lang w:val="fr-FR"/>
        </w:rPr>
        <w:tab/>
      </w:r>
      <w:r w:rsidRPr="00D30DB2">
        <w:rPr>
          <w:lang w:val="fr-FR"/>
        </w:rPr>
        <w:t>≤ 350 N pour les catégories</w:t>
      </w:r>
      <w:r w:rsidR="001B27E4">
        <w:rPr>
          <w:lang w:val="fr-FR"/>
        </w:rPr>
        <w:t xml:space="preserve">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3</w:t>
      </w:r>
      <w:r w:rsidRPr="00D30DB2">
        <w:rPr>
          <w:lang w:val="fr-FR"/>
        </w:rPr>
        <w:t xml:space="preserve"> et L</w:t>
      </w:r>
      <w:r w:rsidRPr="00D30DB2">
        <w:rPr>
          <w:vertAlign w:val="subscript"/>
          <w:lang w:val="fr-FR"/>
        </w:rPr>
        <w:t>4</w:t>
      </w:r>
      <w:r w:rsidR="001B27E4">
        <w:rPr>
          <w:lang w:val="fr-FR"/>
        </w:rPr>
        <w:t> ;</w:t>
      </w:r>
    </w:p>
    <w:p w:rsidR="00A6229D" w:rsidRPr="00D30DB2" w:rsidRDefault="00A6229D" w:rsidP="00EC3D30">
      <w:pPr>
        <w:pStyle w:val="SingleTxtG"/>
        <w:tabs>
          <w:tab w:val="left" w:pos="3686"/>
        </w:tabs>
        <w:ind w:left="3686"/>
        <w:rPr>
          <w:lang w:val="fr-FR"/>
        </w:rPr>
      </w:pPr>
      <w:r w:rsidRPr="00D30DB2">
        <w:rPr>
          <w:lang w:val="fr-FR"/>
        </w:rPr>
        <w:t>≤ 500 N pour les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7.1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7.1</w:t>
      </w:r>
      <w:r>
        <w:rPr>
          <w:lang w:val="fr-FR"/>
        </w:rPr>
        <w:tab/>
      </w:r>
      <w:r>
        <w:rPr>
          <w:lang w:val="fr-FR"/>
        </w:rPr>
        <w:tab/>
        <w:t>Dispositions générales :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 w:rsidRPr="00D30DB2">
        <w:rPr>
          <w:lang w:val="fr-FR"/>
        </w:rPr>
        <w:tab/>
        <w:t>…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b)</w:t>
      </w:r>
      <w:r w:rsidRPr="00D30DB2">
        <w:rPr>
          <w:lang w:val="fr-FR"/>
        </w:rPr>
        <w:tab/>
        <w:t>L</w:t>
      </w:r>
      <w:r w:rsidR="004679B3">
        <w:rPr>
          <w:lang w:val="fr-FR"/>
        </w:rPr>
        <w:t>’</w:t>
      </w:r>
      <w:r w:rsidRPr="00D30DB2">
        <w:rPr>
          <w:lang w:val="fr-FR"/>
        </w:rPr>
        <w:t>essai est applicable aux véhicules des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4,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5</w:t>
      </w:r>
      <w:r w:rsidRPr="005339A0">
        <w:rPr>
          <w:lang w:val="fr-FR"/>
        </w:rPr>
        <w:t xml:space="preserve"> 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B25C46">
      <w:pPr>
        <w:pStyle w:val="SingleTxtG"/>
        <w:spacing w:after="100"/>
        <w:rPr>
          <w:lang w:val="fr-FR"/>
        </w:rPr>
      </w:pPr>
      <w:r w:rsidRPr="00D30DB2">
        <w:rPr>
          <w:i/>
          <w:lang w:val="fr-FR"/>
        </w:rPr>
        <w:t>Paragraphe 7.2.2</w:t>
      </w:r>
      <w:r>
        <w:rPr>
          <w:lang w:val="fr-FR"/>
        </w:rPr>
        <w:t>, modifier comme suit :</w:t>
      </w:r>
    </w:p>
    <w:p w:rsidR="00A6229D" w:rsidRPr="00D30DB2" w:rsidRDefault="00A6229D" w:rsidP="00B25C46">
      <w:pPr>
        <w:pStyle w:val="SingleTxtG"/>
        <w:spacing w:after="100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7.2.2</w:t>
      </w:r>
      <w:r w:rsidRPr="00D30DB2">
        <w:rPr>
          <w:lang w:val="fr-FR"/>
        </w:rPr>
        <w:tab/>
      </w:r>
      <w:r>
        <w:rPr>
          <w:lang w:val="fr-FR"/>
        </w:rPr>
        <w:t>Conditions et procédure d</w:t>
      </w:r>
      <w:r w:rsidR="004679B3">
        <w:rPr>
          <w:lang w:val="fr-FR"/>
        </w:rPr>
        <w:t>’</w:t>
      </w:r>
      <w:r>
        <w:rPr>
          <w:lang w:val="fr-FR"/>
        </w:rPr>
        <w:t>essai :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Force d</w:t>
      </w:r>
      <w:r w:rsidR="004679B3">
        <w:rPr>
          <w:lang w:val="fr-FR"/>
        </w:rPr>
        <w:t>’</w:t>
      </w:r>
      <w:r>
        <w:rPr>
          <w:lang w:val="fr-FR"/>
        </w:rPr>
        <w:t>actionnement :</w:t>
      </w:r>
    </w:p>
    <w:p w:rsidR="00A6229D" w:rsidRPr="00D30DB2" w:rsidRDefault="00A6229D" w:rsidP="00B25C46">
      <w:pPr>
        <w:pStyle w:val="SingleTxtG"/>
        <w:tabs>
          <w:tab w:val="left" w:pos="3686"/>
        </w:tabs>
        <w:spacing w:after="100"/>
        <w:ind w:left="2835"/>
        <w:rPr>
          <w:lang w:val="fr-FR"/>
        </w:rPr>
      </w:pPr>
      <w:r>
        <w:rPr>
          <w:lang w:val="fr-FR"/>
        </w:rPr>
        <w:t>Poignée :</w:t>
      </w:r>
      <w:r>
        <w:rPr>
          <w:lang w:val="fr-FR"/>
        </w:rPr>
        <w:tab/>
      </w:r>
      <w:r w:rsidRPr="00D30DB2">
        <w:rPr>
          <w:lang w:val="fr-FR"/>
        </w:rPr>
        <w:t>≤ 200 N</w:t>
      </w:r>
      <w:r w:rsidR="001B27E4">
        <w:rPr>
          <w:lang w:val="fr-FR"/>
        </w:rPr>
        <w:t> ;</w:t>
      </w:r>
    </w:p>
    <w:p w:rsidR="00A6229D" w:rsidRDefault="00A6229D" w:rsidP="00B25C46">
      <w:pPr>
        <w:pStyle w:val="SingleTxtG"/>
        <w:tabs>
          <w:tab w:val="left" w:pos="3686"/>
        </w:tabs>
        <w:spacing w:after="100"/>
        <w:ind w:left="2835"/>
        <w:rPr>
          <w:lang w:val="fr-FR"/>
        </w:rPr>
      </w:pPr>
      <w:r>
        <w:rPr>
          <w:lang w:val="fr-FR"/>
        </w:rPr>
        <w:t>Pédale :</w:t>
      </w:r>
      <w:r>
        <w:rPr>
          <w:lang w:val="fr-FR"/>
        </w:rPr>
        <w:tab/>
      </w:r>
      <w:r w:rsidRPr="00D30DB2">
        <w:rPr>
          <w:lang w:val="fr-FR"/>
        </w:rPr>
        <w:t>≤ 350 N pour les catégories</w:t>
      </w:r>
      <w:r w:rsidR="001B27E4">
        <w:rPr>
          <w:lang w:val="fr-FR"/>
        </w:rPr>
        <w:t xml:space="preserve"> </w:t>
      </w:r>
      <w:r w:rsidRPr="00D30DB2">
        <w:rPr>
          <w:lang w:val="fr-FR"/>
        </w:rPr>
        <w:t>L</w:t>
      </w:r>
      <w:r w:rsidRPr="00D30DB2">
        <w:rPr>
          <w:vertAlign w:val="subscript"/>
          <w:lang w:val="fr-FR"/>
        </w:rPr>
        <w:t>3</w:t>
      </w:r>
      <w:r w:rsidRPr="00D30DB2">
        <w:rPr>
          <w:lang w:val="fr-FR"/>
        </w:rPr>
        <w:t xml:space="preserve"> et L</w:t>
      </w:r>
      <w:r w:rsidRPr="00D30DB2">
        <w:rPr>
          <w:vertAlign w:val="subscript"/>
          <w:lang w:val="fr-FR"/>
        </w:rPr>
        <w:t>4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tabs>
          <w:tab w:val="left" w:pos="3686"/>
        </w:tabs>
        <w:spacing w:after="100"/>
        <w:ind w:left="3686"/>
        <w:rPr>
          <w:lang w:val="fr-FR"/>
        </w:rPr>
      </w:pPr>
      <w:r w:rsidRPr="00D30DB2">
        <w:rPr>
          <w:lang w:val="fr-FR"/>
        </w:rPr>
        <w:t>≤ 500 N pour les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 xml:space="preserve">… ». </w:t>
      </w:r>
    </w:p>
    <w:p w:rsidR="00A6229D" w:rsidRPr="00D30DB2" w:rsidRDefault="00A6229D" w:rsidP="00B25C46">
      <w:pPr>
        <w:pStyle w:val="SingleTxtG"/>
        <w:spacing w:after="100"/>
        <w:rPr>
          <w:lang w:val="fr-FR"/>
        </w:rPr>
      </w:pPr>
      <w:r w:rsidRPr="00D30DB2">
        <w:rPr>
          <w:i/>
          <w:lang w:val="fr-FR"/>
        </w:rPr>
        <w:t>Paragraphe 8.1</w:t>
      </w:r>
      <w:r w:rsidRPr="00D30DB2">
        <w:rPr>
          <w:lang w:val="fr-FR"/>
        </w:rPr>
        <w:t>, modifier comme suit</w:t>
      </w:r>
      <w:r>
        <w:rPr>
          <w:lang w:val="fr-FR"/>
        </w:rPr>
        <w:t> :</w:t>
      </w:r>
    </w:p>
    <w:p w:rsidR="00A6229D" w:rsidRPr="00D30DB2" w:rsidRDefault="00A6229D" w:rsidP="00B25C46">
      <w:pPr>
        <w:pStyle w:val="SingleTxtG"/>
        <w:spacing w:after="100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8.1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Conditions concernant le véhicule</w:t>
      </w:r>
      <w:r>
        <w:rPr>
          <w:lang w:val="fr-FR"/>
        </w:rPr>
        <w:t> :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a)</w:t>
      </w:r>
      <w:r w:rsidRPr="00D30DB2">
        <w:rPr>
          <w:lang w:val="fr-FR"/>
        </w:rPr>
        <w:tab/>
        <w:t xml:space="preserve">Essai applicable aux catégories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2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4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>5</w:t>
      </w:r>
      <w:r w:rsidRPr="005339A0">
        <w:rPr>
          <w:lang w:val="fr-FR"/>
        </w:rPr>
        <w:t xml:space="preserve"> et</w:t>
      </w:r>
      <w:r w:rsidR="001B27E4" w:rsidRPr="005339A0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B25C46">
      <w:pPr>
        <w:pStyle w:val="SingleTxtG"/>
        <w:spacing w:after="100"/>
        <w:rPr>
          <w:lang w:val="fr-FR"/>
        </w:rPr>
      </w:pPr>
      <w:r w:rsidRPr="00D30DB2">
        <w:rPr>
          <w:i/>
          <w:lang w:val="fr-FR"/>
        </w:rPr>
        <w:t>Paragraphe 9.1</w:t>
      </w:r>
      <w:r>
        <w:rPr>
          <w:lang w:val="fr-FR"/>
        </w:rPr>
        <w:t>, modifier comme suit :</w:t>
      </w:r>
    </w:p>
    <w:p w:rsidR="00A6229D" w:rsidRPr="00D30DB2" w:rsidRDefault="00A6229D" w:rsidP="00B25C46">
      <w:pPr>
        <w:pStyle w:val="SingleTxtG"/>
        <w:spacing w:after="100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9.1</w:t>
      </w:r>
      <w:r w:rsidRPr="00D30DB2">
        <w:rPr>
          <w:lang w:val="fr-FR"/>
        </w:rPr>
        <w:tab/>
      </w:r>
      <w:r>
        <w:rPr>
          <w:lang w:val="fr-FR"/>
        </w:rPr>
        <w:tab/>
        <w:t>Dispositions générales :</w:t>
      </w:r>
    </w:p>
    <w:p w:rsidR="00A6229D" w:rsidRPr="00AB0FAE" w:rsidRDefault="00A6229D" w:rsidP="00B25C46">
      <w:pPr>
        <w:pStyle w:val="SingleTxtG"/>
        <w:spacing w:after="100"/>
        <w:ind w:left="2268"/>
        <w:rPr>
          <w:spacing w:val="-2"/>
          <w:lang w:val="fr-FR"/>
        </w:rPr>
      </w:pPr>
      <w:r w:rsidRPr="00AB0FAE">
        <w:rPr>
          <w:spacing w:val="-2"/>
          <w:lang w:val="fr-FR"/>
        </w:rPr>
        <w:tab/>
        <w:t>a)</w:t>
      </w:r>
      <w:r w:rsidRPr="00AB0FAE">
        <w:rPr>
          <w:spacing w:val="-2"/>
          <w:lang w:val="fr-FR"/>
        </w:rPr>
        <w:tab/>
        <w:t>Ces essais s</w:t>
      </w:r>
      <w:r w:rsidR="004679B3" w:rsidRPr="00AB0FAE">
        <w:rPr>
          <w:spacing w:val="-2"/>
          <w:lang w:val="fr-FR"/>
        </w:rPr>
        <w:t>’</w:t>
      </w:r>
      <w:r w:rsidRPr="00AB0FAE">
        <w:rPr>
          <w:spacing w:val="-2"/>
          <w:lang w:val="fr-FR"/>
        </w:rPr>
        <w:t>appliquent seulement aux systèmes ABS s</w:t>
      </w:r>
      <w:r w:rsidR="004679B3" w:rsidRPr="00AB0FAE">
        <w:rPr>
          <w:spacing w:val="-2"/>
          <w:lang w:val="fr-FR"/>
        </w:rPr>
        <w:t>’</w:t>
      </w:r>
      <w:r w:rsidRPr="00AB0FAE">
        <w:rPr>
          <w:spacing w:val="-2"/>
          <w:lang w:val="fr-FR"/>
        </w:rPr>
        <w:t>ils sont montés</w:t>
      </w:r>
      <w:r w:rsidR="0013402F" w:rsidRPr="00AB0FAE">
        <w:rPr>
          <w:spacing w:val="-2"/>
          <w:lang w:val="fr-FR"/>
        </w:rPr>
        <w:t>.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… ».</w:t>
      </w:r>
    </w:p>
    <w:p w:rsidR="00A6229D" w:rsidRPr="00D30DB2" w:rsidRDefault="00A6229D" w:rsidP="00B25C46">
      <w:pPr>
        <w:pStyle w:val="SingleTxtG"/>
        <w:spacing w:after="100"/>
        <w:rPr>
          <w:lang w:val="fr-FR"/>
        </w:rPr>
      </w:pPr>
      <w:r w:rsidRPr="00D30DB2">
        <w:rPr>
          <w:i/>
          <w:lang w:val="fr-FR"/>
        </w:rPr>
        <w:t>Paragraphe 10.2</w:t>
      </w:r>
      <w:r w:rsidRPr="00D30DB2">
        <w:rPr>
          <w:lang w:val="fr-FR"/>
        </w:rPr>
        <w:t>, modifier comme suit</w:t>
      </w:r>
      <w:r>
        <w:rPr>
          <w:lang w:val="fr-FR"/>
        </w:rPr>
        <w:t> :</w:t>
      </w:r>
    </w:p>
    <w:p w:rsidR="00A6229D" w:rsidRPr="00D30DB2" w:rsidRDefault="00A6229D" w:rsidP="00B25C46">
      <w:pPr>
        <w:pStyle w:val="SingleTxtG"/>
        <w:spacing w:after="100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10.2</w:t>
      </w:r>
      <w:r w:rsidRPr="00D30DB2">
        <w:rPr>
          <w:lang w:val="fr-FR"/>
        </w:rPr>
        <w:tab/>
        <w:t>Conditions concernant le véhicule</w:t>
      </w:r>
      <w:r>
        <w:rPr>
          <w:lang w:val="fr-FR"/>
        </w:rPr>
        <w:t> :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D30DB2">
        <w:rPr>
          <w:lang w:val="fr-FR"/>
        </w:rPr>
        <w:t>a)</w:t>
      </w:r>
      <w:r w:rsidRPr="00D30DB2">
        <w:rPr>
          <w:lang w:val="fr-FR"/>
        </w:rPr>
        <w:tab/>
        <w:t>Essai applicable aux catégories</w:t>
      </w:r>
      <w:r w:rsidR="001B27E4">
        <w:rPr>
          <w:lang w:val="fr-FR"/>
        </w:rPr>
        <w:t xml:space="preserve">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>3</w:t>
      </w:r>
      <w:r w:rsidRPr="005339A0">
        <w:rPr>
          <w:lang w:val="fr-FR"/>
        </w:rPr>
        <w:t>, L</w:t>
      </w:r>
      <w:r w:rsidRPr="005339A0">
        <w:rPr>
          <w:vertAlign w:val="subscript"/>
          <w:lang w:val="fr-FR"/>
        </w:rPr>
        <w:t xml:space="preserve">4, </w:t>
      </w:r>
      <w:r w:rsidRPr="005339A0">
        <w:rPr>
          <w:lang w:val="fr-FR"/>
        </w:rPr>
        <w:t>L</w:t>
      </w:r>
      <w:r w:rsidRPr="005339A0">
        <w:rPr>
          <w:vertAlign w:val="subscript"/>
          <w:lang w:val="fr-FR"/>
        </w:rPr>
        <w:t xml:space="preserve">5 </w:t>
      </w:r>
      <w:r w:rsidRPr="005339A0">
        <w:rPr>
          <w:lang w:val="fr-FR"/>
        </w:rPr>
        <w:t>et L</w:t>
      </w:r>
      <w:r w:rsidRPr="005339A0">
        <w:rPr>
          <w:vertAlign w:val="subscript"/>
          <w:lang w:val="fr-FR"/>
        </w:rPr>
        <w:t>7</w:t>
      </w:r>
      <w:r w:rsidR="001B27E4">
        <w:rPr>
          <w:lang w:val="fr-FR"/>
        </w:rPr>
        <w:t> ;</w:t>
      </w:r>
    </w:p>
    <w:p w:rsidR="00A6229D" w:rsidRPr="00D30DB2" w:rsidRDefault="00A6229D" w:rsidP="00B25C46">
      <w:pPr>
        <w:pStyle w:val="SingleTxtG"/>
        <w:spacing w:after="100"/>
        <w:ind w:left="2268"/>
        <w:rPr>
          <w:lang w:val="fr-FR"/>
        </w:rPr>
      </w:pPr>
      <w:r w:rsidRPr="00D30DB2">
        <w:rPr>
          <w:lang w:val="fr-FR"/>
        </w:rPr>
        <w:tab/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11.3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11.3</w:t>
      </w:r>
      <w:r>
        <w:rPr>
          <w:lang w:val="fr-FR"/>
        </w:rPr>
        <w:tab/>
      </w:r>
      <w:r w:rsidRPr="00D30DB2">
        <w:rPr>
          <w:lang w:val="fr-FR"/>
        </w:rPr>
        <w:t>Prescriptions d</w:t>
      </w:r>
      <w:r w:rsidR="004679B3">
        <w:rPr>
          <w:lang w:val="fr-FR"/>
        </w:rPr>
        <w:t>’</w:t>
      </w:r>
      <w:r w:rsidRPr="00D30DB2">
        <w:rPr>
          <w:lang w:val="fr-FR"/>
        </w:rPr>
        <w:t>efficacité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 w:rsidRPr="00D30DB2">
        <w:rPr>
          <w:lang w:val="fr-FR"/>
        </w:rPr>
        <w:tab/>
        <w:t>…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252"/>
        <w:gridCol w:w="1418"/>
      </w:tblGrid>
      <w:tr w:rsidR="00A6229D" w:rsidRPr="00EC3D30" w:rsidTr="000A1225">
        <w:trPr>
          <w:cantSplit/>
          <w:tblHeader/>
        </w:trPr>
        <w:tc>
          <w:tcPr>
            <w:tcW w:w="1701" w:type="dxa"/>
            <w:shd w:val="clear" w:color="auto" w:fill="auto"/>
            <w:vAlign w:val="bottom"/>
          </w:tcPr>
          <w:p w:rsidR="00A6229D" w:rsidRPr="00EC3D30" w:rsidRDefault="0013402F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>Colonne 1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EC3D30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i/>
                <w:sz w:val="16"/>
                <w:szCs w:val="16"/>
                <w:lang w:val="fr-FR"/>
              </w:rPr>
              <w:t>Colonne 2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EC3D30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i/>
                <w:sz w:val="16"/>
                <w:szCs w:val="16"/>
                <w:lang w:val="fr-FR"/>
              </w:rPr>
              <w:t>Colonne 3</w:t>
            </w:r>
          </w:p>
        </w:tc>
      </w:tr>
      <w:tr w:rsidR="00A6229D" w:rsidRPr="0013402F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13402F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 xml:space="preserve">Catégorie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 xml:space="preserve">de </w:t>
            </w:r>
            <w:r w:rsidR="0013402F" w:rsidRPr="0013402F">
              <w:rPr>
                <w:i/>
                <w:sz w:val="16"/>
                <w:szCs w:val="16"/>
                <w:lang w:val="fr-FR"/>
              </w:rPr>
              <w:t>véhicule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3402F" w:rsidRDefault="00A6229D" w:rsidP="001B27E4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>DISTANCE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 xml:space="preserve">ARRÊT (S)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>(où V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est la vitesse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>essai prescrite en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 xml:space="preserve">km/h,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>et S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la distance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>arrêt prescrite en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mètres)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3402F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>DMER</w:t>
            </w:r>
          </w:p>
        </w:tc>
      </w:tr>
      <w:tr w:rsidR="00A6229D" w:rsidRPr="00141901" w:rsidTr="000A1225">
        <w:trPr>
          <w:cantSplit/>
        </w:trPr>
        <w:tc>
          <w:tcPr>
            <w:tcW w:w="7371" w:type="dxa"/>
            <w:gridSpan w:val="3"/>
            <w:shd w:val="clear" w:color="auto" w:fill="auto"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Système de freinage individuel</w:t>
            </w:r>
          </w:p>
        </w:tc>
      </w:tr>
      <w:tr w:rsidR="00A6229D" w:rsidRPr="00141901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L</w:t>
            </w:r>
            <w:r w:rsidRPr="00DE64A3">
              <w:rPr>
                <w:vertAlign w:val="subscript"/>
                <w:lang w:val="fr-FR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S ≤ 0,1 V + 0,0143 V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≥ 2,7 m/s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</w:tr>
      <w:tr w:rsidR="00A6229D" w:rsidRPr="00141901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5339A0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5339A0">
              <w:rPr>
                <w:lang w:val="fr-FR"/>
              </w:rPr>
              <w:t>L</w:t>
            </w:r>
            <w:r w:rsidRPr="005339A0">
              <w:rPr>
                <w:vertAlign w:val="subscript"/>
                <w:lang w:val="fr-FR"/>
              </w:rPr>
              <w:t>2</w:t>
            </w:r>
            <w:r w:rsidRPr="005339A0">
              <w:rPr>
                <w:lang w:val="fr-FR"/>
              </w:rPr>
              <w:t xml:space="preserve"> et L</w:t>
            </w:r>
            <w:r w:rsidRPr="005339A0">
              <w:rPr>
                <w:vertAlign w:val="subscript"/>
                <w:lang w:val="fr-FR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S ≤ 0,1 V + 0,0143 V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≥ 2,7 m/s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</w:tr>
      <w:tr w:rsidR="00A6229D" w:rsidRPr="00141901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L</w:t>
            </w:r>
            <w:r w:rsidRPr="00DE64A3">
              <w:rPr>
                <w:vertAlign w:val="subscript"/>
                <w:lang w:val="fr-FR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S ≤ 0,1 V + 0,0133 V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≥ 2,9 m/s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</w:tr>
      <w:tr w:rsidR="00A6229D" w:rsidRPr="00141901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L</w:t>
            </w:r>
            <w:r w:rsidRPr="00DE64A3">
              <w:rPr>
                <w:vertAlign w:val="subscript"/>
                <w:lang w:val="fr-FR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S ≤ 0,1 V + 0,0105 V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≥ 3,6 m/s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</w:tr>
      <w:tr w:rsidR="00A6229D" w:rsidRPr="00141901" w:rsidTr="000A1225">
        <w:trPr>
          <w:cantSplit/>
        </w:trPr>
        <w:tc>
          <w:tcPr>
            <w:tcW w:w="7371" w:type="dxa"/>
            <w:gridSpan w:val="3"/>
            <w:shd w:val="clear" w:color="auto" w:fill="auto"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EB0294">
              <w:rPr>
                <w:lang w:val="fr-FR"/>
              </w:rPr>
              <w:t>Système de freinage intégral ou système de frein de service à circuits partiels</w:t>
            </w:r>
          </w:p>
        </w:tc>
      </w:tr>
      <w:tr w:rsidR="00A6229D" w:rsidRPr="00141901" w:rsidTr="000A1225">
        <w:trPr>
          <w:cantSplit/>
        </w:trPr>
        <w:tc>
          <w:tcPr>
            <w:tcW w:w="1701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TOUTES</w:t>
            </w:r>
          </w:p>
        </w:tc>
        <w:tc>
          <w:tcPr>
            <w:tcW w:w="4252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S ≤ 0,1 V + 0,0154 V</w:t>
            </w:r>
            <w:r w:rsidRPr="00DE64A3">
              <w:rPr>
                <w:vertAlign w:val="superscript"/>
                <w:lang w:val="fr-FR"/>
              </w:rPr>
              <w:t>2</w:t>
            </w:r>
            <w:r w:rsidRPr="00141901">
              <w:rPr>
                <w:lang w:val="fr-F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A6229D" w:rsidRPr="00141901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141901">
              <w:rPr>
                <w:lang w:val="fr-FR"/>
              </w:rPr>
              <w:t>≥ 2,5 m/s</w:t>
            </w:r>
            <w:r w:rsidRPr="00DE64A3">
              <w:rPr>
                <w:vertAlign w:val="superscript"/>
                <w:lang w:val="fr-FR"/>
              </w:rPr>
              <w:t>2</w:t>
            </w:r>
          </w:p>
        </w:tc>
      </w:tr>
    </w:tbl>
    <w:p w:rsidR="00A6229D" w:rsidRPr="00D30DB2" w:rsidRDefault="00A6229D" w:rsidP="000A1225">
      <w:pPr>
        <w:pStyle w:val="SingleTxtG"/>
        <w:spacing w:before="120"/>
        <w:ind w:left="2268"/>
        <w:jc w:val="right"/>
        <w:rPr>
          <w:lang w:val="fr-FR"/>
        </w:rPr>
      </w:pPr>
      <w:r w:rsidRPr="00D30DB2">
        <w:rPr>
          <w:lang w:val="fr-FR"/>
        </w:rPr>
        <w:t>… ».</w:t>
      </w:r>
    </w:p>
    <w:p w:rsidR="00A6229D" w:rsidRPr="00D30DB2" w:rsidRDefault="00A6229D" w:rsidP="004D5B18">
      <w:pPr>
        <w:pStyle w:val="SingleTxtG"/>
        <w:rPr>
          <w:lang w:val="fr-FR"/>
        </w:rPr>
      </w:pPr>
      <w:r w:rsidRPr="00D30DB2">
        <w:rPr>
          <w:i/>
          <w:lang w:val="fr-FR"/>
        </w:rPr>
        <w:t>Paragraphe 12.3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 w:rsidRPr="004D5B18">
        <w:t>«</w:t>
      </w:r>
      <w:r>
        <w:rPr>
          <w:lang w:val="fr-FR"/>
        </w:rPr>
        <w:t> 12.3</w:t>
      </w:r>
      <w:r>
        <w:rPr>
          <w:lang w:val="fr-FR"/>
        </w:rPr>
        <w:tab/>
      </w:r>
      <w:r w:rsidRPr="00D30DB2">
        <w:rPr>
          <w:lang w:val="fr-FR"/>
        </w:rPr>
        <w:t>Prescriptions d</w:t>
      </w:r>
      <w:r w:rsidR="004679B3">
        <w:rPr>
          <w:lang w:val="fr-FR"/>
        </w:rPr>
        <w:t>’</w:t>
      </w:r>
      <w:r w:rsidRPr="00D30DB2">
        <w:rPr>
          <w:lang w:val="fr-FR"/>
        </w:rPr>
        <w:t>efficacité</w:t>
      </w:r>
    </w:p>
    <w:p w:rsidR="00A6229D" w:rsidRPr="00D30DB2" w:rsidRDefault="00A6229D" w:rsidP="004D5B18">
      <w:pPr>
        <w:pStyle w:val="SingleTxtG"/>
        <w:ind w:left="2268"/>
        <w:rPr>
          <w:lang w:val="fr-FR"/>
        </w:rPr>
      </w:pPr>
      <w:r w:rsidRPr="00D30DB2">
        <w:rPr>
          <w:lang w:val="fr-FR"/>
        </w:rPr>
        <w:tab/>
        <w:t>…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690"/>
        <w:gridCol w:w="4271"/>
        <w:gridCol w:w="1410"/>
      </w:tblGrid>
      <w:tr w:rsidR="00A6229D" w:rsidRPr="00EC3D30" w:rsidTr="000A1225">
        <w:trPr>
          <w:tblHeader/>
        </w:trPr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229D" w:rsidRPr="00EC3D30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i/>
                <w:sz w:val="16"/>
                <w:szCs w:val="16"/>
                <w:lang w:val="fr-FR"/>
              </w:rPr>
              <w:t>Colonne 1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229D" w:rsidRPr="00EC3D30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i/>
                <w:sz w:val="16"/>
                <w:szCs w:val="16"/>
                <w:lang w:val="fr-FR"/>
              </w:rPr>
              <w:t>Colonne 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6229D" w:rsidRPr="00EC3D30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EC3D30">
              <w:rPr>
                <w:i/>
                <w:sz w:val="16"/>
                <w:szCs w:val="16"/>
                <w:lang w:val="fr-FR"/>
              </w:rPr>
              <w:t>Colonne 3</w:t>
            </w:r>
          </w:p>
        </w:tc>
      </w:tr>
      <w:tr w:rsidR="00A6229D" w:rsidRPr="0013402F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13402F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 xml:space="preserve">Catégorie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>de véhicule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13402F" w:rsidRDefault="00A6229D" w:rsidP="001B27E4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>DISTANCE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 xml:space="preserve">ARRÊT (S)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>(où V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est la vitesse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 xml:space="preserve">essai prescrite en km/h, </w:t>
            </w:r>
            <w:r w:rsidRPr="0013402F">
              <w:rPr>
                <w:i/>
                <w:sz w:val="16"/>
                <w:szCs w:val="16"/>
                <w:lang w:val="fr-FR"/>
              </w:rPr>
              <w:br/>
              <w:t>et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S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la distance d</w:t>
            </w:r>
            <w:r w:rsidR="004679B3" w:rsidRPr="0013402F">
              <w:rPr>
                <w:i/>
                <w:sz w:val="16"/>
                <w:szCs w:val="16"/>
                <w:lang w:val="fr-FR"/>
              </w:rPr>
              <w:t>’</w:t>
            </w:r>
            <w:r w:rsidRPr="0013402F">
              <w:rPr>
                <w:i/>
                <w:sz w:val="16"/>
                <w:szCs w:val="16"/>
                <w:lang w:val="fr-FR"/>
              </w:rPr>
              <w:t>arrêt prescrite en</w:t>
            </w:r>
            <w:r w:rsidR="001B27E4" w:rsidRPr="0013402F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13402F">
              <w:rPr>
                <w:i/>
                <w:sz w:val="16"/>
                <w:szCs w:val="16"/>
                <w:lang w:val="fr-FR"/>
              </w:rPr>
              <w:t>mètres)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13402F" w:rsidRDefault="00A6229D" w:rsidP="00EC3D30">
            <w:pPr>
              <w:spacing w:before="60" w:after="60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3402F">
              <w:rPr>
                <w:i/>
                <w:sz w:val="16"/>
                <w:szCs w:val="16"/>
                <w:lang w:val="fr-FR"/>
              </w:rPr>
              <w:t>DMER</w:t>
            </w:r>
          </w:p>
        </w:tc>
      </w:tr>
      <w:tr w:rsidR="00A6229D" w:rsidRPr="00A54F5B" w:rsidTr="000A1225">
        <w:tc>
          <w:tcPr>
            <w:tcW w:w="737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>
              <w:t>Système de freinage individuel, f</w:t>
            </w:r>
            <w:r w:rsidRPr="002B1186">
              <w:t xml:space="preserve">reinage </w:t>
            </w:r>
            <w:r>
              <w:t>de</w:t>
            </w:r>
            <w:r w:rsidRPr="002B1186">
              <w:t xml:space="preserve"> la (</w:t>
            </w:r>
            <w:r>
              <w:t>d</w:t>
            </w:r>
            <w:r w:rsidRPr="002B1186">
              <w:t>es) roue(s) avant seulement</w:t>
            </w:r>
            <w:r>
              <w:t> :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1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+ 0,0111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3,4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2</w:t>
            </w:r>
            <w:r w:rsidRPr="00A54F5B">
              <w:rPr>
                <w:lang w:val="fr-FR"/>
              </w:rPr>
              <w:t xml:space="preserve"> et L</w:t>
            </w:r>
            <w:r w:rsidRPr="00356080">
              <w:rPr>
                <w:vertAlign w:val="subscript"/>
                <w:lang w:val="fr-FR"/>
              </w:rPr>
              <w:t>6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+ 0,0143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2,7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3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+ 0,0087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4,4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4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+ 0,0105 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3,6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5</w:t>
            </w:r>
            <w:r w:rsidRPr="00A54F5B">
              <w:rPr>
                <w:lang w:val="fr-FR"/>
              </w:rPr>
              <w:t xml:space="preserve"> et L</w:t>
            </w:r>
            <w:r w:rsidRPr="00356080">
              <w:rPr>
                <w:vertAlign w:val="subscript"/>
                <w:lang w:val="fr-FR"/>
              </w:rPr>
              <w:t>7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13402F" w:rsidP="00EC3D30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S ≤ 0.1 V + 0,</w:t>
            </w:r>
            <w:r w:rsidR="00A6229D" w:rsidRPr="00A54F5B">
              <w:rPr>
                <w:lang w:val="fr-FR"/>
              </w:rPr>
              <w:t>0117 V</w:t>
            </w:r>
            <w:r w:rsidR="00A6229D"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3.3 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737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>
              <w:t>Système de freinage individuel, f</w:t>
            </w:r>
            <w:r w:rsidRPr="002B1186">
              <w:t xml:space="preserve">reinage </w:t>
            </w:r>
            <w:r>
              <w:t>de</w:t>
            </w:r>
            <w:r w:rsidRPr="002B1186">
              <w:t xml:space="preserve"> la (</w:t>
            </w:r>
            <w:r>
              <w:t>d</w:t>
            </w:r>
            <w:r w:rsidRPr="002B1186">
              <w:t xml:space="preserve">es) roue(s) </w:t>
            </w:r>
            <w:r>
              <w:t>arrière</w:t>
            </w:r>
            <w:r w:rsidRPr="002B1186">
              <w:t xml:space="preserve"> seulement 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1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+ 0,0143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2,7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2</w:t>
            </w:r>
            <w:r w:rsidRPr="00A54F5B">
              <w:rPr>
                <w:lang w:val="fr-FR"/>
              </w:rPr>
              <w:t xml:space="preserve"> et L</w:t>
            </w:r>
            <w:r w:rsidRPr="00356080">
              <w:rPr>
                <w:vertAlign w:val="subscript"/>
                <w:lang w:val="fr-FR"/>
              </w:rPr>
              <w:t>6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+ 0,0143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2,7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3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+ 0,0133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2,9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4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S ≤ 0,1 V + 0,0105 V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3,6 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  <w:tr w:rsidR="00A6229D" w:rsidRPr="00A54F5B" w:rsidTr="000A1225">
        <w:tc>
          <w:tcPr>
            <w:tcW w:w="169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EC3D30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L</w:t>
            </w:r>
            <w:r w:rsidRPr="00356080">
              <w:rPr>
                <w:vertAlign w:val="subscript"/>
                <w:lang w:val="fr-FR"/>
              </w:rPr>
              <w:t>5</w:t>
            </w:r>
            <w:r w:rsidRPr="00A54F5B">
              <w:rPr>
                <w:lang w:val="fr-FR"/>
              </w:rPr>
              <w:t xml:space="preserve"> et L</w:t>
            </w:r>
            <w:r w:rsidRPr="00356080">
              <w:rPr>
                <w:vertAlign w:val="subscript"/>
                <w:lang w:val="fr-FR"/>
              </w:rPr>
              <w:t>7</w:t>
            </w:r>
          </w:p>
        </w:tc>
        <w:tc>
          <w:tcPr>
            <w:tcW w:w="427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13402F" w:rsidP="0013402F">
            <w:pPr>
              <w:spacing w:before="60" w:after="60"/>
              <w:ind w:left="57" w:right="57"/>
              <w:rPr>
                <w:lang w:val="fr-FR"/>
              </w:rPr>
            </w:pPr>
            <w:r>
              <w:rPr>
                <w:lang w:val="fr-FR"/>
              </w:rPr>
              <w:t>S ≤ 0,</w:t>
            </w:r>
            <w:r w:rsidR="00A6229D" w:rsidRPr="00A54F5B">
              <w:rPr>
                <w:lang w:val="fr-FR"/>
              </w:rPr>
              <w:t>1 V + 0</w:t>
            </w:r>
            <w:r>
              <w:rPr>
                <w:lang w:val="fr-FR"/>
              </w:rPr>
              <w:t>,</w:t>
            </w:r>
            <w:r w:rsidR="00A6229D" w:rsidRPr="00A54F5B">
              <w:rPr>
                <w:lang w:val="fr-FR"/>
              </w:rPr>
              <w:t>0117 V</w:t>
            </w:r>
            <w:r w:rsidR="00A6229D" w:rsidRPr="00356080">
              <w:rPr>
                <w:vertAlign w:val="superscript"/>
                <w:lang w:val="fr-FR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6229D" w:rsidRPr="00A54F5B" w:rsidRDefault="00A6229D" w:rsidP="0013402F">
            <w:pPr>
              <w:spacing w:before="60" w:after="60"/>
              <w:ind w:left="57" w:right="57"/>
              <w:rPr>
                <w:lang w:val="fr-FR"/>
              </w:rPr>
            </w:pPr>
            <w:r w:rsidRPr="00A54F5B">
              <w:rPr>
                <w:lang w:val="fr-FR"/>
              </w:rPr>
              <w:t>≥ 3</w:t>
            </w:r>
            <w:r w:rsidR="0013402F">
              <w:rPr>
                <w:lang w:val="fr-FR"/>
              </w:rPr>
              <w:t>,</w:t>
            </w:r>
            <w:r w:rsidRPr="00A54F5B">
              <w:rPr>
                <w:lang w:val="fr-FR"/>
              </w:rPr>
              <w:t>3 m/s</w:t>
            </w:r>
            <w:r w:rsidRPr="00356080">
              <w:rPr>
                <w:vertAlign w:val="superscript"/>
                <w:lang w:val="fr-FR"/>
              </w:rPr>
              <w:t>2</w:t>
            </w:r>
          </w:p>
        </w:tc>
      </w:tr>
    </w:tbl>
    <w:p w:rsidR="00A6229D" w:rsidRPr="00523D4E" w:rsidRDefault="00A6229D" w:rsidP="000A1225">
      <w:pPr>
        <w:pStyle w:val="SingleTxtG"/>
        <w:spacing w:before="120"/>
        <w:ind w:left="2268"/>
        <w:jc w:val="right"/>
        <w:rPr>
          <w:lang w:val="fr-FR"/>
        </w:rPr>
      </w:pPr>
      <w:r w:rsidRPr="00523D4E">
        <w:rPr>
          <w:lang w:val="fr-FR"/>
        </w:rPr>
        <w:t> ».</w:t>
      </w:r>
    </w:p>
    <w:p w:rsidR="00A6229D" w:rsidRPr="00D30DB2" w:rsidRDefault="00A6229D" w:rsidP="0013402F">
      <w:pPr>
        <w:pStyle w:val="SingleTxtG"/>
        <w:keepNext/>
        <w:jc w:val="left"/>
        <w:rPr>
          <w:lang w:val="fr-FR"/>
        </w:rPr>
      </w:pPr>
      <w:r w:rsidRPr="00D30DB2">
        <w:rPr>
          <w:i/>
          <w:lang w:val="fr-FR"/>
        </w:rPr>
        <w:t>Appendice 1</w:t>
      </w:r>
      <w:r w:rsidRPr="00D30DB2">
        <w:rPr>
          <w:lang w:val="fr-FR"/>
        </w:rPr>
        <w:t>,</w:t>
      </w:r>
      <w:r w:rsidR="0013402F">
        <w:rPr>
          <w:lang w:val="fr-FR"/>
        </w:rPr>
        <w:br/>
      </w:r>
      <w:r w:rsidRPr="00D30DB2">
        <w:rPr>
          <w:i/>
          <w:lang w:val="fr-FR"/>
        </w:rPr>
        <w:t>Paragraphe 1.2</w:t>
      </w:r>
      <w:r>
        <w:rPr>
          <w:lang w:val="fr-FR"/>
        </w:rPr>
        <w:t>, modifier comme suit :</w:t>
      </w:r>
    </w:p>
    <w:p w:rsidR="00A6229D" w:rsidRPr="00D30DB2" w:rsidRDefault="00A6229D" w:rsidP="004D5B1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D30DB2">
        <w:rPr>
          <w:lang w:val="fr-FR"/>
        </w:rPr>
        <w:t>1.2</w:t>
      </w:r>
      <w:r w:rsidRPr="00D30DB2">
        <w:rPr>
          <w:lang w:val="fr-FR"/>
        </w:rPr>
        <w:tab/>
      </w:r>
      <w:r>
        <w:rPr>
          <w:lang w:val="fr-FR"/>
        </w:rPr>
        <w:tab/>
      </w:r>
      <w:r w:rsidRPr="00D30DB2">
        <w:rPr>
          <w:lang w:val="fr-FR"/>
        </w:rPr>
        <w:t>Con</w:t>
      </w:r>
      <w:r>
        <w:rPr>
          <w:lang w:val="fr-FR"/>
        </w:rPr>
        <w:t>ditions concernant le véhicule :</w:t>
      </w:r>
    </w:p>
    <w:p w:rsidR="00A6229D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 xml:space="preserve">Essai applicable </w:t>
      </w:r>
      <w:r w:rsidRPr="00D30DB2">
        <w:rPr>
          <w:lang w:val="fr-FR"/>
        </w:rPr>
        <w:t xml:space="preserve">à </w:t>
      </w:r>
      <w:r w:rsidRPr="005339A0">
        <w:rPr>
          <w:lang w:val="fr-FR"/>
        </w:rPr>
        <w:t>toutes les catégories de véhicules</w:t>
      </w:r>
      <w:r w:rsidRPr="00D30DB2">
        <w:rPr>
          <w:lang w:val="fr-FR"/>
        </w:rPr>
        <w:t>.</w:t>
      </w:r>
    </w:p>
    <w:p w:rsidR="00F9573C" w:rsidRDefault="00A6229D" w:rsidP="004D5B18">
      <w:pPr>
        <w:pStyle w:val="SingleTxtG"/>
        <w:ind w:left="2268"/>
        <w:rPr>
          <w:lang w:val="fr-FR"/>
        </w:rPr>
      </w:pPr>
      <w:r>
        <w:rPr>
          <w:lang w:val="fr-FR"/>
        </w:rPr>
        <w:t>… »</w:t>
      </w:r>
      <w:r w:rsidR="001B27E4">
        <w:rPr>
          <w:lang w:val="fr-FR"/>
        </w:rPr>
        <w:t>.</w:t>
      </w:r>
    </w:p>
    <w:p w:rsidR="001B27E4" w:rsidRPr="001B27E4" w:rsidRDefault="001B27E4" w:rsidP="001B27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27E4" w:rsidRPr="001B27E4" w:rsidSect="00A622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5" w:rsidRDefault="00E15495" w:rsidP="00F95C08">
      <w:pPr>
        <w:spacing w:line="240" w:lineRule="auto"/>
      </w:pPr>
    </w:p>
  </w:endnote>
  <w:endnote w:type="continuationSeparator" w:id="0">
    <w:p w:rsidR="00E15495" w:rsidRPr="00AC3823" w:rsidRDefault="00E15495" w:rsidP="00AC3823">
      <w:pPr>
        <w:pStyle w:val="Pieddepage"/>
      </w:pPr>
    </w:p>
  </w:endnote>
  <w:endnote w:type="continuationNotice" w:id="1">
    <w:p w:rsidR="00E15495" w:rsidRDefault="00E154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B3" w:rsidRPr="00A6229D" w:rsidRDefault="004679B3" w:rsidP="00A6229D">
    <w:pPr>
      <w:pStyle w:val="Pieddepage"/>
      <w:tabs>
        <w:tab w:val="right" w:pos="9638"/>
      </w:tabs>
    </w:pPr>
    <w:r w:rsidRPr="00A6229D">
      <w:rPr>
        <w:b/>
        <w:sz w:val="18"/>
      </w:rPr>
      <w:fldChar w:fldCharType="begin"/>
    </w:r>
    <w:r w:rsidRPr="00A6229D">
      <w:rPr>
        <w:b/>
        <w:sz w:val="18"/>
      </w:rPr>
      <w:instrText xml:space="preserve"> PAGE  \* MERGEFORMAT </w:instrText>
    </w:r>
    <w:r w:rsidRPr="00A6229D">
      <w:rPr>
        <w:b/>
        <w:sz w:val="18"/>
      </w:rPr>
      <w:fldChar w:fldCharType="separate"/>
    </w:r>
    <w:r w:rsidR="00CC44A8">
      <w:rPr>
        <w:b/>
        <w:noProof/>
        <w:sz w:val="18"/>
      </w:rPr>
      <w:t>2</w:t>
    </w:r>
    <w:r w:rsidRPr="00A6229D">
      <w:rPr>
        <w:b/>
        <w:sz w:val="18"/>
      </w:rPr>
      <w:fldChar w:fldCharType="end"/>
    </w:r>
    <w:r>
      <w:rPr>
        <w:b/>
        <w:sz w:val="18"/>
      </w:rPr>
      <w:tab/>
    </w:r>
    <w:r>
      <w:t>GE.16-05574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B3" w:rsidRPr="00A6229D" w:rsidRDefault="004679B3" w:rsidP="00A6229D">
    <w:pPr>
      <w:pStyle w:val="Pieddepage"/>
      <w:tabs>
        <w:tab w:val="right" w:pos="9638"/>
      </w:tabs>
      <w:rPr>
        <w:b/>
        <w:sz w:val="18"/>
      </w:rPr>
    </w:pPr>
    <w:r>
      <w:t>GE.16-05574</w:t>
    </w:r>
    <w:r>
      <w:tab/>
    </w:r>
    <w:r w:rsidRPr="00A6229D">
      <w:rPr>
        <w:b/>
        <w:sz w:val="18"/>
      </w:rPr>
      <w:fldChar w:fldCharType="begin"/>
    </w:r>
    <w:r w:rsidRPr="00A6229D">
      <w:rPr>
        <w:b/>
        <w:sz w:val="18"/>
      </w:rPr>
      <w:instrText xml:space="preserve"> PAGE  \* MERGEFORMAT </w:instrText>
    </w:r>
    <w:r w:rsidRPr="00A6229D">
      <w:rPr>
        <w:b/>
        <w:sz w:val="18"/>
      </w:rPr>
      <w:fldChar w:fldCharType="separate"/>
    </w:r>
    <w:r w:rsidR="00CC44A8">
      <w:rPr>
        <w:b/>
        <w:noProof/>
        <w:sz w:val="18"/>
      </w:rPr>
      <w:t>5</w:t>
    </w:r>
    <w:r w:rsidRPr="00A622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B3" w:rsidRPr="00A6229D" w:rsidRDefault="004679B3" w:rsidP="00A6229D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6094CB33" wp14:editId="47445C2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16-05574  (F)</w:t>
    </w:r>
    <w:r w:rsidR="00B25C46">
      <w:rPr>
        <w:sz w:val="20"/>
      </w:rPr>
      <w:t xml:space="preserve">    020516    020516</w:t>
    </w:r>
    <w:r>
      <w:rPr>
        <w:sz w:val="20"/>
      </w:rPr>
      <w:br/>
    </w:r>
    <w:r w:rsidRPr="00A6229D">
      <w:rPr>
        <w:rFonts w:ascii="C39T30Lfz" w:hAnsi="C39T30Lfz"/>
        <w:sz w:val="56"/>
      </w:rPr>
      <w:t></w:t>
    </w:r>
    <w:r w:rsidRPr="00A6229D">
      <w:rPr>
        <w:rFonts w:ascii="C39T30Lfz" w:hAnsi="C39T30Lfz"/>
        <w:sz w:val="56"/>
      </w:rPr>
      <w:t></w:t>
    </w:r>
    <w:r w:rsidRPr="00A6229D">
      <w:rPr>
        <w:rFonts w:ascii="C39T30Lfz" w:hAnsi="C39T30Lfz"/>
        <w:sz w:val="56"/>
      </w:rPr>
      <w:t></w:t>
    </w:r>
    <w:r w:rsidRPr="00A6229D">
      <w:rPr>
        <w:rFonts w:ascii="C39T30Lfz" w:hAnsi="C39T30Lfz"/>
        <w:sz w:val="56"/>
      </w:rPr>
      <w:t></w:t>
    </w:r>
    <w:r w:rsidRPr="00A6229D">
      <w:rPr>
        <w:rFonts w:ascii="C39T30Lfz" w:hAnsi="C39T30Lfz"/>
        <w:sz w:val="56"/>
      </w:rPr>
      <w:t></w:t>
    </w:r>
    <w:r w:rsidRPr="00A6229D">
      <w:rPr>
        <w:rFonts w:ascii="C39T30Lfz" w:hAnsi="C39T30Lfz"/>
        <w:sz w:val="56"/>
      </w:rPr>
      <w:t></w:t>
    </w:r>
    <w:r w:rsidRPr="00A6229D">
      <w:rPr>
        <w:rFonts w:ascii="C39T30Lfz" w:hAnsi="C39T30Lfz"/>
        <w:sz w:val="56"/>
      </w:rPr>
      <w:t></w:t>
    </w:r>
    <w:r w:rsidRPr="00A6229D">
      <w:rPr>
        <w:rFonts w:ascii="C39T30Lfz" w:hAnsi="C39T30Lfz"/>
        <w:sz w:val="56"/>
      </w:rPr>
      <w:t></w:t>
    </w:r>
    <w:r w:rsidRPr="00A6229D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5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5" w:rsidRPr="00AC3823" w:rsidRDefault="00E154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495" w:rsidRPr="00AC3823" w:rsidRDefault="00E1549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495" w:rsidRPr="00AC3823" w:rsidRDefault="00E15495">
      <w:pPr>
        <w:spacing w:line="240" w:lineRule="auto"/>
        <w:rPr>
          <w:sz w:val="2"/>
          <w:szCs w:val="2"/>
        </w:rPr>
      </w:pPr>
    </w:p>
  </w:footnote>
  <w:footnote w:id="2">
    <w:p w:rsidR="005339A0" w:rsidRPr="005339A0" w:rsidRDefault="005339A0" w:rsidP="005339A0">
      <w:pPr>
        <w:pStyle w:val="Notedebasdepage"/>
      </w:pPr>
      <w:r>
        <w:rPr>
          <w:rStyle w:val="Appelnotedebasdep"/>
        </w:rPr>
        <w:tab/>
      </w:r>
      <w:r w:rsidRPr="005339A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339A0">
        <w:t>Conformément au programme de travail du Comité des transports intérieurs pour la période 2016-2017 (ECE/TRANS/254, par. 159, et ECE/TRANS/2016/28/Add.1, activité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B3" w:rsidRPr="00A6229D" w:rsidRDefault="004679B3">
    <w:pPr>
      <w:pStyle w:val="En-tte"/>
    </w:pPr>
    <w:r>
      <w:t>ECE/TRANS/WP.29/2016/56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B3" w:rsidRPr="00A6229D" w:rsidRDefault="004679B3" w:rsidP="00A6229D">
    <w:pPr>
      <w:pStyle w:val="En-tte"/>
      <w:jc w:val="right"/>
    </w:pPr>
    <w:r>
      <w:t>ECE/TRANS/WP.29/2016/56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3"/>
    <w:rsid w:val="00017F94"/>
    <w:rsid w:val="00023842"/>
    <w:rsid w:val="000334F9"/>
    <w:rsid w:val="0007796D"/>
    <w:rsid w:val="000A1225"/>
    <w:rsid w:val="000B7790"/>
    <w:rsid w:val="00111F2F"/>
    <w:rsid w:val="0013402F"/>
    <w:rsid w:val="0014365E"/>
    <w:rsid w:val="00143C66"/>
    <w:rsid w:val="00176178"/>
    <w:rsid w:val="001B27E4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5C03"/>
    <w:rsid w:val="00441C3B"/>
    <w:rsid w:val="00446FE5"/>
    <w:rsid w:val="00452396"/>
    <w:rsid w:val="004679B3"/>
    <w:rsid w:val="004837D8"/>
    <w:rsid w:val="004B20E4"/>
    <w:rsid w:val="004D5B18"/>
    <w:rsid w:val="004E468C"/>
    <w:rsid w:val="005339A0"/>
    <w:rsid w:val="005505B7"/>
    <w:rsid w:val="00573BE5"/>
    <w:rsid w:val="00586ED3"/>
    <w:rsid w:val="00596AA9"/>
    <w:rsid w:val="006D4DE8"/>
    <w:rsid w:val="0071601D"/>
    <w:rsid w:val="007A62E6"/>
    <w:rsid w:val="007F20FA"/>
    <w:rsid w:val="0080684C"/>
    <w:rsid w:val="00871C75"/>
    <w:rsid w:val="008776DC"/>
    <w:rsid w:val="00922BD7"/>
    <w:rsid w:val="009674AC"/>
    <w:rsid w:val="009705C8"/>
    <w:rsid w:val="009C1CF4"/>
    <w:rsid w:val="009F6B74"/>
    <w:rsid w:val="00A30353"/>
    <w:rsid w:val="00A6229D"/>
    <w:rsid w:val="00AB0FAE"/>
    <w:rsid w:val="00AC3823"/>
    <w:rsid w:val="00AE323C"/>
    <w:rsid w:val="00AF0CB5"/>
    <w:rsid w:val="00B00181"/>
    <w:rsid w:val="00B00B0D"/>
    <w:rsid w:val="00B25C46"/>
    <w:rsid w:val="00B765F7"/>
    <w:rsid w:val="00BA0CA9"/>
    <w:rsid w:val="00BC4AA4"/>
    <w:rsid w:val="00C01F3E"/>
    <w:rsid w:val="00C02897"/>
    <w:rsid w:val="00C23E77"/>
    <w:rsid w:val="00CC44A8"/>
    <w:rsid w:val="00D3439C"/>
    <w:rsid w:val="00DB1831"/>
    <w:rsid w:val="00DD3BFD"/>
    <w:rsid w:val="00DF6678"/>
    <w:rsid w:val="00E15495"/>
    <w:rsid w:val="00E85C74"/>
    <w:rsid w:val="00EA6547"/>
    <w:rsid w:val="00EC3D3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024A6-A1BB-45D7-9197-7055EAA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6</Pages>
  <Words>2251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ECE/TRANS/WP.29/2016/56</vt:lpstr>
    </vt:vector>
  </TitlesOfParts>
  <Company>DCM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ECE/TRANS/WP.29/2016/56</dc:title>
  <dc:subject/>
  <dc:creator>Beysard Pascale</dc:creator>
  <cp:keywords/>
  <dc:description/>
  <cp:lastModifiedBy>Bénédicte Boudol</cp:lastModifiedBy>
  <cp:revision>2</cp:revision>
  <cp:lastPrinted>2016-05-02T10:07:00Z</cp:lastPrinted>
  <dcterms:created xsi:type="dcterms:W3CDTF">2016-05-02T11:33:00Z</dcterms:created>
  <dcterms:modified xsi:type="dcterms:W3CDTF">2016-05-02T11:33:00Z</dcterms:modified>
</cp:coreProperties>
</file>