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42624">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442624">
              <w:rPr>
                <w:lang w:val="en-GB"/>
              </w:rPr>
              <w:t>80</w:t>
            </w:r>
          </w:p>
        </w:tc>
      </w:tr>
      <w:tr w:rsidR="00AF2205" w:rsidRPr="008214F7"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E41D3" w:rsidP="00DB57ED">
            <w:pPr>
              <w:spacing w:line="240" w:lineRule="exact"/>
              <w:rPr>
                <w:lang w:val="en-GB"/>
              </w:rPr>
            </w:pPr>
            <w:r>
              <w:rPr>
                <w:lang w:val="en-GB"/>
              </w:rPr>
              <w:t>31</w:t>
            </w:r>
            <w:bookmarkStart w:id="0" w:name="_GoBack"/>
            <w:bookmarkEnd w:id="0"/>
            <w:r w:rsidR="00BC59A3">
              <w:rPr>
                <w:lang w:val="en-GB"/>
              </w:rPr>
              <w:t xml:space="preserve"> </w:t>
            </w:r>
            <w:r w:rsidR="00F364CD">
              <w:rPr>
                <w:lang w:val="en-GB"/>
              </w:rPr>
              <w:t xml:space="preserve">August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263A3">
        <w:rPr>
          <w:lang w:val="en-GB"/>
        </w:rPr>
        <w:t>6</w:t>
      </w:r>
      <w:r w:rsidR="00A90EA8">
        <w:rPr>
          <w:lang w:val="en-GB"/>
        </w:rPr>
        <w:t>.</w:t>
      </w:r>
      <w:r w:rsidR="00442624">
        <w:rPr>
          <w:lang w:val="en-GB"/>
        </w:rPr>
        <w:t>6</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032ED5" w:rsidP="00CA1678">
      <w:pPr>
        <w:pStyle w:val="HChG"/>
        <w:tabs>
          <w:tab w:val="clear" w:pos="851"/>
        </w:tabs>
        <w:ind w:firstLine="0"/>
        <w:jc w:val="both"/>
        <w:rPr>
          <w:lang w:val="en-GB"/>
        </w:rPr>
      </w:pPr>
      <w:r w:rsidRPr="00032ED5">
        <w:rPr>
          <w:lang w:val="en-GB"/>
        </w:rPr>
        <w:t xml:space="preserve">Proposal for Supplement </w:t>
      </w:r>
      <w:r w:rsidR="00442624">
        <w:rPr>
          <w:lang w:val="en-GB"/>
        </w:rPr>
        <w:t>8</w:t>
      </w:r>
      <w:r w:rsidRPr="00032ED5">
        <w:rPr>
          <w:lang w:val="en-GB"/>
        </w:rPr>
        <w:t xml:space="preserve"> to the 0</w:t>
      </w:r>
      <w:r w:rsidR="00442624">
        <w:rPr>
          <w:lang w:val="en-GB"/>
        </w:rPr>
        <w:t>6</w:t>
      </w:r>
      <w:r w:rsidRPr="00032ED5">
        <w:rPr>
          <w:lang w:val="en-GB"/>
        </w:rPr>
        <w:t xml:space="preserve"> series of amendments to Regulation No. 48 (Installation of lighting and light-signalling devices)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A90EA8">
        <w:rPr>
          <w:vertAlign w:val="superscript"/>
          <w:lang w:val="en-GB"/>
        </w:rPr>
        <w:footnoteReference w:customMarkFollows="1" w:id="2"/>
        <w:t>*</w:t>
      </w:r>
    </w:p>
    <w:p w:rsidR="00C263A3" w:rsidRDefault="00C263A3" w:rsidP="00C263A3">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 xml:space="preserve">seventy-fifth </w:t>
      </w:r>
      <w:r w:rsidRPr="00A90EA8">
        <w:rPr>
          <w:lang w:val="en-GB"/>
        </w:rPr>
        <w:t xml:space="preserve">session </w:t>
      </w:r>
      <w:r>
        <w:rPr>
          <w:lang w:val="en-GB"/>
        </w:rPr>
        <w:t>(</w:t>
      </w:r>
      <w:r w:rsidRPr="002516A0">
        <w:rPr>
          <w:lang w:val="en-GB"/>
        </w:rPr>
        <w:t>ECE/TRANS/WP.29/GRE/7</w:t>
      </w:r>
      <w:r>
        <w:rPr>
          <w:lang w:val="en-GB"/>
        </w:rPr>
        <w:t>5,</w:t>
      </w:r>
      <w:r w:rsidRPr="00C263A3">
        <w:rPr>
          <w:lang w:val="en-US"/>
        </w:rPr>
        <w:t xml:space="preserve"> </w:t>
      </w:r>
      <w:r w:rsidRPr="00C263A3">
        <w:rPr>
          <w:lang w:val="en-GB"/>
        </w:rPr>
        <w:t>para</w:t>
      </w:r>
      <w:r w:rsidR="00032ED5">
        <w:rPr>
          <w:lang w:val="en-GB"/>
        </w:rPr>
        <w:t>s</w:t>
      </w:r>
      <w:r w:rsidRPr="00C263A3">
        <w:rPr>
          <w:lang w:val="en-GB"/>
        </w:rPr>
        <w:t xml:space="preserve">. </w:t>
      </w:r>
      <w:r w:rsidR="00032ED5">
        <w:rPr>
          <w:lang w:val="en-GB"/>
        </w:rPr>
        <w:t>16 and 19</w:t>
      </w:r>
      <w:r>
        <w:rPr>
          <w:lang w:val="en-GB"/>
        </w:rPr>
        <w:t xml:space="preserve">). It is </w:t>
      </w:r>
      <w:r w:rsidRPr="00C263A3">
        <w:rPr>
          <w:lang w:val="en-GB"/>
        </w:rPr>
        <w:t xml:space="preserve">based on </w:t>
      </w:r>
      <w:r w:rsidR="00032ED5" w:rsidRPr="00032ED5">
        <w:rPr>
          <w:lang w:val="en-GB"/>
        </w:rPr>
        <w:t>ECE/TRANS/WP.29/GRE/2016/7 and ECE/TRANS/WP.29/GRE/2016/9 not amended</w:t>
      </w:r>
      <w:r>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November 2016 sessions.</w:t>
      </w: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3F12EB" w:rsidRPr="00A90EA8" w:rsidRDefault="00032ED5" w:rsidP="003F12EB">
      <w:pPr>
        <w:pStyle w:val="HChG"/>
        <w:tabs>
          <w:tab w:val="clear" w:pos="851"/>
        </w:tabs>
        <w:ind w:firstLine="0"/>
        <w:jc w:val="both"/>
        <w:rPr>
          <w:lang w:val="en-GB"/>
        </w:rPr>
      </w:pPr>
      <w:r w:rsidRPr="00032ED5">
        <w:rPr>
          <w:lang w:val="en-GB"/>
        </w:rPr>
        <w:lastRenderedPageBreak/>
        <w:t xml:space="preserve">Supplement </w:t>
      </w:r>
      <w:r w:rsidR="00442624">
        <w:rPr>
          <w:lang w:val="en-GB"/>
        </w:rPr>
        <w:t>8</w:t>
      </w:r>
      <w:r w:rsidRPr="00032ED5">
        <w:rPr>
          <w:lang w:val="en-GB"/>
        </w:rPr>
        <w:t xml:space="preserve"> to the 0</w:t>
      </w:r>
      <w:r w:rsidR="00442624">
        <w:rPr>
          <w:lang w:val="en-GB"/>
        </w:rPr>
        <w:t>6</w:t>
      </w:r>
      <w:r w:rsidRPr="00032ED5">
        <w:rPr>
          <w:lang w:val="en-GB"/>
        </w:rPr>
        <w:t xml:space="preserve"> series of amendments to Regulation No. 48 (Installation of lighting and light-signalling devices) </w:t>
      </w:r>
    </w:p>
    <w:p w:rsidR="00032ED5" w:rsidRPr="00AC18AD" w:rsidRDefault="00032ED5" w:rsidP="00032ED5">
      <w:pPr>
        <w:autoSpaceDE w:val="0"/>
        <w:autoSpaceDN w:val="0"/>
        <w:adjustRightInd w:val="0"/>
        <w:spacing w:after="120"/>
        <w:ind w:left="1134" w:right="1134"/>
        <w:jc w:val="both"/>
        <w:rPr>
          <w:iCs/>
          <w:lang w:val="en-US"/>
        </w:rPr>
      </w:pPr>
      <w:r w:rsidRPr="00AC18AD">
        <w:rPr>
          <w:i/>
          <w:iCs/>
          <w:lang w:val="en-US"/>
        </w:rPr>
        <w:t>Paragraph 6.7.8.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6.7.8. </w:t>
      </w:r>
      <w:r>
        <w:rPr>
          <w:iCs/>
          <w:lang w:val="en-US"/>
        </w:rPr>
        <w:tab/>
      </w:r>
      <w:r w:rsidRPr="00AC18AD">
        <w:rPr>
          <w:iCs/>
          <w:lang w:val="en-US"/>
        </w:rPr>
        <w:t>Tell-tale</w:t>
      </w:r>
    </w:p>
    <w:p w:rsidR="00032ED5" w:rsidRPr="006C0BE7" w:rsidRDefault="00032ED5" w:rsidP="00032ED5">
      <w:pPr>
        <w:spacing w:after="120"/>
        <w:ind w:left="2268" w:right="1134"/>
        <w:jc w:val="both"/>
        <w:rPr>
          <w:iCs/>
          <w:lang w:val="en-US"/>
        </w:rPr>
      </w:pPr>
      <w:r w:rsidRPr="006C0BE7">
        <w:rPr>
          <w:iCs/>
          <w:lang w:val="en-US"/>
        </w:rPr>
        <w:t xml:space="preserve">Tell-tale optional, </w:t>
      </w:r>
      <w:r w:rsidRPr="006C0BE7">
        <w:rPr>
          <w:lang w:val="en-US"/>
        </w:rPr>
        <w:t>however, a tell-tale indicating failure is mandatory if required by the component regulation</w:t>
      </w:r>
      <w:r w:rsidRPr="006C0BE7">
        <w:rPr>
          <w:iCs/>
          <w:lang w:val="en-US"/>
        </w:rPr>
        <w:t>.</w:t>
      </w:r>
    </w:p>
    <w:p w:rsidR="00032ED5" w:rsidRPr="00AC18AD" w:rsidRDefault="00032ED5" w:rsidP="00032ED5">
      <w:pPr>
        <w:spacing w:after="120"/>
        <w:ind w:left="2268" w:right="1134"/>
        <w:jc w:val="both"/>
        <w:rPr>
          <w:iCs/>
          <w:lang w:val="en-US"/>
        </w:rPr>
      </w:pPr>
      <w:r w:rsidRPr="006C0BE7">
        <w:rPr>
          <w:iCs/>
          <w:lang w:val="en-US"/>
        </w:rPr>
        <w:t>Where the above tell-tale is</w:t>
      </w:r>
      <w:r w:rsidRPr="00AC18AD">
        <w:rPr>
          <w:iCs/>
          <w:lang w:val="en-US"/>
        </w:rPr>
        <w:t xml:space="preserve"> fitted, this tell-tale shall be an operating tell-tale consisting of a non-flashing warning light which comes on in the event of the malfunctioning of the stop lamps.</w:t>
      </w:r>
      <w:r>
        <w:rPr>
          <w:iCs/>
          <w:lang w:val="en-US"/>
        </w:rPr>
        <w:t>"</w:t>
      </w:r>
    </w:p>
    <w:p w:rsidR="00032ED5" w:rsidRPr="00AC18AD" w:rsidRDefault="00032ED5" w:rsidP="00032ED5">
      <w:pPr>
        <w:autoSpaceDE w:val="0"/>
        <w:autoSpaceDN w:val="0"/>
        <w:adjustRightInd w:val="0"/>
        <w:spacing w:after="120"/>
        <w:ind w:left="1134" w:right="1134"/>
        <w:jc w:val="both"/>
        <w:rPr>
          <w:lang w:val="en-US"/>
        </w:rPr>
      </w:pPr>
      <w:r w:rsidRPr="00AC18AD">
        <w:rPr>
          <w:i/>
          <w:iCs/>
          <w:lang w:val="en-US"/>
        </w:rPr>
        <w:t>Paragraph 6.9.8.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6.9.8. </w:t>
      </w:r>
      <w:r>
        <w:rPr>
          <w:iCs/>
          <w:lang w:val="en-US"/>
        </w:rPr>
        <w:tab/>
      </w:r>
      <w:r w:rsidRPr="00AC18AD">
        <w:rPr>
          <w:iCs/>
          <w:lang w:val="en-US"/>
        </w:rPr>
        <w:t>Tell-tale</w:t>
      </w:r>
    </w:p>
    <w:p w:rsidR="00032ED5" w:rsidRPr="00AC18AD" w:rsidRDefault="00032ED5" w:rsidP="00032ED5">
      <w:pPr>
        <w:autoSpaceDE w:val="0"/>
        <w:autoSpaceDN w:val="0"/>
        <w:adjustRightInd w:val="0"/>
        <w:spacing w:after="120"/>
        <w:ind w:left="1701" w:right="1134" w:firstLine="567"/>
        <w:jc w:val="both"/>
        <w:rPr>
          <w:lang w:val="en-US"/>
        </w:rPr>
      </w:pPr>
      <w:r w:rsidRPr="00AC18AD">
        <w:rPr>
          <w:lang w:val="en-US"/>
        </w:rPr>
        <w:t xml:space="preserve">Circuit-closed tell-tale mandatory. </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 xml:space="preserve">This tell-tale shall be non-flashing and shall not be required if the instrument panel lighting can only be turned on simultaneously with the front position lamps. </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 xml:space="preserve">This requirement does not apply when light signalling system operates according to </w:t>
      </w:r>
      <w:r w:rsidR="006C0BE7">
        <w:rPr>
          <w:lang w:val="en-US"/>
        </w:rPr>
        <w:t>p</w:t>
      </w:r>
      <w:r w:rsidRPr="00AC18AD">
        <w:rPr>
          <w:lang w:val="en-US"/>
        </w:rPr>
        <w:t>aragraph 6.2.7.6.2.</w:t>
      </w:r>
    </w:p>
    <w:p w:rsidR="00032ED5" w:rsidRPr="006C0BE7" w:rsidRDefault="00032ED5" w:rsidP="00032ED5">
      <w:pPr>
        <w:spacing w:after="120"/>
        <w:ind w:left="2268" w:right="1134"/>
        <w:jc w:val="both"/>
        <w:rPr>
          <w:lang w:val="en-US"/>
        </w:rPr>
      </w:pPr>
      <w:r w:rsidRPr="006C0BE7">
        <w:rPr>
          <w:lang w:val="en-US"/>
        </w:rPr>
        <w:t>However, a tell-tale indicating failure is mandatory if required by the component regulation."</w:t>
      </w:r>
    </w:p>
    <w:p w:rsidR="00032ED5" w:rsidRPr="00AC18AD" w:rsidRDefault="00032ED5" w:rsidP="00032ED5">
      <w:pPr>
        <w:autoSpaceDE w:val="0"/>
        <w:autoSpaceDN w:val="0"/>
        <w:adjustRightInd w:val="0"/>
        <w:spacing w:after="120"/>
        <w:ind w:left="1134" w:right="1134"/>
        <w:jc w:val="both"/>
        <w:rPr>
          <w:lang w:val="en-US"/>
        </w:rPr>
      </w:pPr>
      <w:r w:rsidRPr="00AC18AD">
        <w:rPr>
          <w:i/>
          <w:iCs/>
          <w:lang w:val="en-US"/>
        </w:rPr>
        <w:t>Paragraph 6.10.8.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6.10.8. </w:t>
      </w:r>
      <w:r>
        <w:rPr>
          <w:iCs/>
          <w:lang w:val="en-US"/>
        </w:rPr>
        <w:tab/>
      </w:r>
      <w:r w:rsidRPr="00AC18AD">
        <w:rPr>
          <w:iCs/>
          <w:lang w:val="en-US"/>
        </w:rPr>
        <w:t>Tell-tale</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Circuit-closed tell-tale mandatory. It shall be combined with that of the front position lamps.</w:t>
      </w:r>
    </w:p>
    <w:p w:rsidR="00032ED5" w:rsidRPr="00AC18AD" w:rsidRDefault="00032ED5" w:rsidP="00032ED5">
      <w:pPr>
        <w:autoSpaceDE w:val="0"/>
        <w:autoSpaceDN w:val="0"/>
        <w:adjustRightInd w:val="0"/>
        <w:spacing w:after="120"/>
        <w:ind w:left="2268" w:right="1134"/>
        <w:jc w:val="both"/>
        <w:rPr>
          <w:i/>
          <w:iCs/>
          <w:lang w:val="en-US"/>
        </w:rPr>
      </w:pPr>
      <w:r w:rsidRPr="00AC18AD">
        <w:rPr>
          <w:lang w:val="en-US"/>
        </w:rPr>
        <w:t xml:space="preserve">This requirement does not apply when light signalling system operates according to </w:t>
      </w:r>
      <w:r>
        <w:rPr>
          <w:lang w:val="en-US"/>
        </w:rPr>
        <w:t>p</w:t>
      </w:r>
      <w:r w:rsidRPr="00AC18AD">
        <w:rPr>
          <w:lang w:val="en-US"/>
        </w:rPr>
        <w:t>aragraph 6.2.7.6.2.</w:t>
      </w:r>
    </w:p>
    <w:p w:rsidR="00032ED5" w:rsidRPr="006C0BE7" w:rsidRDefault="00032ED5" w:rsidP="00032ED5">
      <w:pPr>
        <w:spacing w:after="120"/>
        <w:ind w:left="2268" w:right="1134"/>
        <w:jc w:val="both"/>
        <w:rPr>
          <w:lang w:val="en-US"/>
        </w:rPr>
      </w:pPr>
      <w:r w:rsidRPr="006C0BE7">
        <w:rPr>
          <w:lang w:val="en-US"/>
        </w:rPr>
        <w:t xml:space="preserve">However, a tell-tale indicating failure is mandatory if required by the component regulation." </w:t>
      </w:r>
    </w:p>
    <w:p w:rsidR="00032ED5" w:rsidRPr="00AC18AD" w:rsidRDefault="00032ED5" w:rsidP="00032ED5">
      <w:pPr>
        <w:autoSpaceDE w:val="0"/>
        <w:autoSpaceDN w:val="0"/>
        <w:adjustRightInd w:val="0"/>
        <w:spacing w:after="120"/>
        <w:ind w:left="1134" w:right="1134"/>
        <w:jc w:val="both"/>
        <w:rPr>
          <w:lang w:val="en-US"/>
        </w:rPr>
      </w:pPr>
      <w:r w:rsidRPr="00AC18AD">
        <w:rPr>
          <w:i/>
          <w:iCs/>
          <w:lang w:val="en-US"/>
        </w:rPr>
        <w:t>Paragraph 6.13.8.</w:t>
      </w:r>
      <w:r w:rsidRPr="00AC18AD">
        <w:rPr>
          <w:lang w:val="en-US"/>
        </w:rPr>
        <w:t>, amend to read:</w:t>
      </w:r>
    </w:p>
    <w:p w:rsidR="00032ED5" w:rsidRPr="00AC18AD" w:rsidRDefault="00032ED5" w:rsidP="00032ED5">
      <w:pPr>
        <w:autoSpaceDE w:val="0"/>
        <w:autoSpaceDN w:val="0"/>
        <w:adjustRightInd w:val="0"/>
        <w:spacing w:after="120"/>
        <w:ind w:left="1134" w:right="1134"/>
        <w:jc w:val="both"/>
        <w:rPr>
          <w:i/>
          <w:iCs/>
          <w:lang w:val="en-US"/>
        </w:rPr>
      </w:pPr>
      <w:r w:rsidRPr="00F63824">
        <w:rPr>
          <w:iCs/>
          <w:lang w:val="en-US"/>
        </w:rPr>
        <w:t>"6.13.8.</w:t>
      </w:r>
      <w:r w:rsidRPr="00AC18AD">
        <w:rPr>
          <w:i/>
          <w:iCs/>
          <w:lang w:val="en-US"/>
        </w:rPr>
        <w:t xml:space="preserve"> </w:t>
      </w:r>
      <w:r>
        <w:rPr>
          <w:iCs/>
          <w:lang w:val="en-US"/>
        </w:rPr>
        <w:tab/>
      </w:r>
      <w:r w:rsidRPr="00F63824">
        <w:rPr>
          <w:iCs/>
          <w:lang w:val="en-US"/>
        </w:rPr>
        <w:t>Tell-tale</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Tell-tale optional. If it exists, its function shall be carried out by the tell-tale required for the front and rear position lamps.</w:t>
      </w:r>
    </w:p>
    <w:p w:rsidR="00032ED5" w:rsidRPr="006C0BE7" w:rsidRDefault="00032ED5" w:rsidP="00032ED5">
      <w:pPr>
        <w:spacing w:after="120"/>
        <w:ind w:left="2268" w:right="1134"/>
        <w:jc w:val="both"/>
        <w:rPr>
          <w:lang w:val="en-US"/>
        </w:rPr>
      </w:pPr>
      <w:r w:rsidRPr="006C0BE7">
        <w:rPr>
          <w:lang w:val="en-US"/>
        </w:rPr>
        <w:t xml:space="preserve">However, a tell-tale indicating failure is mandatory if required by the component regulation." </w:t>
      </w:r>
    </w:p>
    <w:p w:rsidR="00032ED5" w:rsidRPr="00AC18AD" w:rsidRDefault="00032ED5" w:rsidP="00032ED5">
      <w:pPr>
        <w:autoSpaceDE w:val="0"/>
        <w:autoSpaceDN w:val="0"/>
        <w:adjustRightInd w:val="0"/>
        <w:spacing w:after="120"/>
        <w:ind w:left="1134" w:right="1134"/>
        <w:jc w:val="both"/>
        <w:rPr>
          <w:iCs/>
          <w:lang w:val="en-US"/>
        </w:rPr>
      </w:pPr>
      <w:r w:rsidRPr="00AC18AD">
        <w:rPr>
          <w:i/>
          <w:iCs/>
          <w:lang w:val="en-US"/>
        </w:rPr>
        <w:t>Paragraph 6.19.8.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6.19.8. </w:t>
      </w:r>
      <w:r>
        <w:rPr>
          <w:iCs/>
          <w:lang w:val="en-US"/>
        </w:rPr>
        <w:tab/>
      </w:r>
      <w:r w:rsidRPr="00AC18AD">
        <w:rPr>
          <w:iCs/>
          <w:lang w:val="en-US"/>
        </w:rPr>
        <w:t>Tell-tale</w:t>
      </w:r>
    </w:p>
    <w:p w:rsidR="00032ED5" w:rsidRPr="006C0BE7" w:rsidRDefault="00032ED5" w:rsidP="00032ED5">
      <w:pPr>
        <w:spacing w:after="120"/>
        <w:ind w:left="2268" w:right="1134"/>
        <w:jc w:val="both"/>
        <w:rPr>
          <w:iCs/>
          <w:lang w:val="en-US"/>
        </w:rPr>
      </w:pPr>
      <w:r w:rsidRPr="006C0BE7">
        <w:rPr>
          <w:lang w:val="en-US"/>
        </w:rPr>
        <w:t>Closed-circuit tell-tale optional, however a tell-tale indicating failure is mandatory if required by the component regulation</w:t>
      </w:r>
      <w:r w:rsidRPr="006C0BE7">
        <w:rPr>
          <w:iCs/>
          <w:lang w:val="en-US"/>
        </w:rPr>
        <w:t>."</w:t>
      </w:r>
    </w:p>
    <w:p w:rsidR="006C0BE7" w:rsidRPr="008214F7" w:rsidRDefault="006C0BE7" w:rsidP="008214F7">
      <w:pPr>
        <w:keepNext/>
        <w:keepLines/>
        <w:spacing w:after="200"/>
        <w:ind w:left="2268" w:right="1536" w:hanging="1134"/>
        <w:rPr>
          <w:rFonts w:eastAsia="Calibri"/>
          <w:lang w:val="en-GB"/>
        </w:rPr>
      </w:pPr>
      <w:r w:rsidRPr="008214F7">
        <w:rPr>
          <w:rFonts w:eastAsia="Calibri"/>
          <w:i/>
          <w:lang w:val="en-GB"/>
        </w:rPr>
        <w:lastRenderedPageBreak/>
        <w:t>Paragraph 6.21.1.2.4.</w:t>
      </w:r>
      <w:r w:rsidRPr="008214F7">
        <w:rPr>
          <w:rFonts w:eastAsia="Calibri"/>
          <w:lang w:val="en-GB"/>
        </w:rPr>
        <w:t>, amend to read:</w:t>
      </w:r>
    </w:p>
    <w:p w:rsidR="006C0BE7" w:rsidRPr="006C0BE7" w:rsidRDefault="008214F7" w:rsidP="008214F7">
      <w:pPr>
        <w:keepNext/>
        <w:keepLines/>
        <w:ind w:left="2268" w:right="1134" w:hanging="1134"/>
        <w:jc w:val="both"/>
        <w:rPr>
          <w:i/>
          <w:iCs/>
          <w:lang w:val="en-US"/>
        </w:rPr>
      </w:pPr>
      <w:r>
        <w:rPr>
          <w:rFonts w:eastAsia="Calibri"/>
          <w:iCs/>
          <w:lang w:val="en-US"/>
        </w:rPr>
        <w:t>"</w:t>
      </w:r>
      <w:r w:rsidR="006C0BE7" w:rsidRPr="006C0BE7">
        <w:rPr>
          <w:rFonts w:eastAsia="Calibri"/>
          <w:iCs/>
          <w:lang w:val="en-US"/>
        </w:rPr>
        <w:t>6.21.1.2.4.</w:t>
      </w:r>
      <w:r w:rsidR="006C0BE7" w:rsidRPr="006C0BE7">
        <w:rPr>
          <w:rFonts w:eastAsia="Calibri"/>
          <w:iCs/>
          <w:lang w:val="en-US"/>
        </w:rPr>
        <w:tab/>
        <w:t xml:space="preserve">If the exterior surfaces of the bodywork are partially constituted of flexible material, this line marking shall be installed on (a) rigid part(s) of the vehicle. The remaining portion of conspicuity markings may be fitted on the flexible material. </w:t>
      </w:r>
      <w:r w:rsidR="006C0BE7" w:rsidRPr="006C0BE7">
        <w:rPr>
          <w:rFonts w:eastAsia="Calibri"/>
          <w:bCs/>
          <w:iCs/>
          <w:lang w:val="en-US"/>
        </w:rPr>
        <w:t>I</w:t>
      </w:r>
      <w:r w:rsidR="006C0BE7" w:rsidRPr="006C0BE7">
        <w:rPr>
          <w:rFonts w:eastAsia="Calibri"/>
          <w:iCs/>
          <w:lang w:val="en-US"/>
        </w:rPr>
        <w:t xml:space="preserve">f the exterior surfaces of the bodywork are constituted fully of flexible material, </w:t>
      </w:r>
      <w:r w:rsidR="006C0BE7" w:rsidRPr="006C0BE7">
        <w:rPr>
          <w:rFonts w:eastAsia="Calibri"/>
          <w:bCs/>
          <w:iCs/>
          <w:lang w:val="en-US"/>
        </w:rPr>
        <w:t>the line marking may be fitted on the flexible material</w:t>
      </w:r>
      <w:r w:rsidR="006C0BE7" w:rsidRPr="006C0BE7">
        <w:rPr>
          <w:rFonts w:eastAsia="Calibri"/>
          <w:iCs/>
          <w:lang w:val="en-US"/>
        </w:rPr>
        <w:t>.</w:t>
      </w:r>
      <w:r>
        <w:rPr>
          <w:rFonts w:eastAsia="Calibri"/>
          <w:iCs/>
          <w:lang w:val="en-US"/>
        </w:rPr>
        <w:t>"</w:t>
      </w:r>
    </w:p>
    <w:p w:rsidR="00032ED5" w:rsidRDefault="00032ED5" w:rsidP="00032ED5">
      <w:pPr>
        <w:autoSpaceDE w:val="0"/>
        <w:autoSpaceDN w:val="0"/>
        <w:adjustRightInd w:val="0"/>
        <w:spacing w:after="120"/>
        <w:ind w:left="1134" w:right="1134"/>
        <w:jc w:val="both"/>
        <w:rPr>
          <w:i/>
          <w:lang w:val="en-US"/>
        </w:rPr>
      </w:pPr>
      <w:r w:rsidRPr="00AC18AD">
        <w:rPr>
          <w:i/>
          <w:iCs/>
          <w:lang w:val="en-US"/>
        </w:rPr>
        <w:t>Annex 1</w:t>
      </w:r>
      <w:r w:rsidRPr="00AC18AD">
        <w:rPr>
          <w:i/>
          <w:lang w:val="en-US"/>
        </w:rPr>
        <w:t xml:space="preserve">, </w:t>
      </w:r>
    </w:p>
    <w:p w:rsidR="00032ED5" w:rsidRPr="00AC18AD" w:rsidRDefault="00032ED5" w:rsidP="00032ED5">
      <w:pPr>
        <w:autoSpaceDE w:val="0"/>
        <w:autoSpaceDN w:val="0"/>
        <w:adjustRightInd w:val="0"/>
        <w:spacing w:after="120"/>
        <w:ind w:left="1134" w:right="1134"/>
        <w:jc w:val="both"/>
        <w:rPr>
          <w:lang w:val="en-US"/>
        </w:rPr>
      </w:pPr>
      <w:r>
        <w:rPr>
          <w:i/>
          <w:lang w:val="en-US"/>
        </w:rPr>
        <w:t>I</w:t>
      </w:r>
      <w:r w:rsidRPr="00AC18AD">
        <w:rPr>
          <w:i/>
          <w:lang w:val="en-US"/>
        </w:rPr>
        <w:t>tem 9</w:t>
      </w:r>
      <w:r w:rsidR="006C0BE7">
        <w:rPr>
          <w:i/>
          <w:lang w:val="en-US"/>
        </w:rPr>
        <w:t>.</w:t>
      </w:r>
      <w:r w:rsidRPr="00AC18AD">
        <w:rPr>
          <w:i/>
          <w:lang w:val="en-US"/>
        </w:rPr>
        <w:t xml:space="preserve">, </w:t>
      </w:r>
      <w:r w:rsidR="006C0BE7">
        <w:rPr>
          <w:i/>
          <w:lang w:val="en-US"/>
        </w:rPr>
        <w:t xml:space="preserve">insert new sub-items 9.9.1., 9.11.1.,9.12.1., 9.15.1. and 9.21.1., </w:t>
      </w:r>
      <w:r w:rsidRPr="00AC18AD">
        <w:rPr>
          <w:lang w:val="en-US"/>
        </w:rPr>
        <w:t>to read:</w:t>
      </w:r>
    </w:p>
    <w:p w:rsidR="00032ED5" w:rsidRPr="00AC18AD" w:rsidRDefault="00032ED5" w:rsidP="00032ED5">
      <w:pPr>
        <w:spacing w:after="120"/>
        <w:ind w:left="567" w:right="1134" w:firstLine="567"/>
        <w:jc w:val="both"/>
        <w:rPr>
          <w:lang w:val="en-US"/>
        </w:rPr>
      </w:pPr>
      <w:r>
        <w:rPr>
          <w:lang w:val="en-US"/>
        </w:rPr>
        <w:t>"</w:t>
      </w:r>
      <w:r w:rsidRPr="00AC18AD">
        <w:rPr>
          <w:lang w:val="en-US"/>
        </w:rPr>
        <w:t>…</w:t>
      </w:r>
    </w:p>
    <w:p w:rsidR="00032ED5" w:rsidRPr="006C0BE7" w:rsidRDefault="00032ED5" w:rsidP="00032ED5">
      <w:pPr>
        <w:spacing w:after="120"/>
        <w:ind w:left="2259" w:right="1134" w:hanging="1125"/>
        <w:jc w:val="both"/>
        <w:rPr>
          <w:lang w:val="en-US"/>
        </w:rPr>
      </w:pPr>
      <w:r w:rsidRPr="006C0BE7">
        <w:rPr>
          <w:lang w:val="en-US"/>
        </w:rPr>
        <w:t>9.9.1.</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 xml:space="preserve">9.11.1. </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8214F7" w:rsidP="00032ED5">
      <w:pPr>
        <w:spacing w:after="120"/>
        <w:ind w:left="1134" w:right="1134"/>
        <w:jc w:val="both"/>
        <w:rPr>
          <w:lang w:val="en-US"/>
        </w:rPr>
      </w:pPr>
      <w:r>
        <w:rPr>
          <w:lang w:val="en-US"/>
        </w:rPr>
        <w:t>…</w:t>
      </w:r>
    </w:p>
    <w:p w:rsidR="00032ED5" w:rsidRPr="006C0BE7" w:rsidRDefault="00032ED5" w:rsidP="00032ED5">
      <w:pPr>
        <w:spacing w:after="120"/>
        <w:ind w:left="2259" w:right="1134" w:hanging="1125"/>
        <w:jc w:val="both"/>
        <w:rPr>
          <w:lang w:val="en-US"/>
        </w:rPr>
      </w:pPr>
      <w:r w:rsidRPr="006C0BE7">
        <w:rPr>
          <w:lang w:val="en-US"/>
        </w:rPr>
        <w:t>9.12.1.</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9.15.1.</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9.21.1.</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AC18AD" w:rsidRDefault="00032ED5" w:rsidP="008214F7">
      <w:pPr>
        <w:autoSpaceDE w:val="0"/>
        <w:autoSpaceDN w:val="0"/>
        <w:adjustRightInd w:val="0"/>
        <w:spacing w:after="120"/>
        <w:ind w:left="567" w:right="1134"/>
        <w:jc w:val="both"/>
        <w:rPr>
          <w:vertAlign w:val="superscript"/>
          <w:lang w:val="en-US"/>
        </w:rPr>
      </w:pPr>
      <w:r w:rsidRPr="00AC18AD">
        <w:rPr>
          <w:vertAlign w:val="superscript"/>
          <w:lang w:val="en-US"/>
        </w:rPr>
        <w:t>____________</w:t>
      </w:r>
      <w:r w:rsidR="008214F7">
        <w:rPr>
          <w:vertAlign w:val="superscript"/>
          <w:lang w:val="en-US"/>
        </w:rPr>
        <w:t>______________</w:t>
      </w:r>
    </w:p>
    <w:p w:rsidR="00032ED5" w:rsidRPr="00FD2B1B" w:rsidRDefault="008214F7" w:rsidP="008214F7">
      <w:pPr>
        <w:pStyle w:val="FootnoteText"/>
        <w:rPr>
          <w:lang w:val="en-US"/>
        </w:rPr>
      </w:pPr>
      <w:r>
        <w:rPr>
          <w:vertAlign w:val="superscript"/>
          <w:lang w:val="en-US"/>
        </w:rPr>
        <w:tab/>
      </w:r>
      <w:r w:rsidR="006C0BE7">
        <w:rPr>
          <w:vertAlign w:val="superscript"/>
          <w:lang w:val="en-US"/>
        </w:rPr>
        <w:t>2</w:t>
      </w:r>
      <w:r w:rsidR="00032ED5" w:rsidRPr="00FD2B1B">
        <w:rPr>
          <w:lang w:val="en-US"/>
        </w:rPr>
        <w:t xml:space="preserve"> </w:t>
      </w:r>
      <w:r>
        <w:rPr>
          <w:lang w:val="en-US"/>
        </w:rPr>
        <w:tab/>
      </w:r>
      <w:r w:rsidR="00032ED5" w:rsidRPr="00FD2B1B">
        <w:rPr>
          <w:lang w:val="en-US"/>
        </w:rPr>
        <w:t>Strike out which does not apply."</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E41D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E41D3">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ECE/TRANS/WP.29/2016/</w:t>
    </w:r>
    <w:r w:rsidR="00442624">
      <w:rPr>
        <w:lang w:val="en-US"/>
      </w:rPr>
      <w:t>80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442624">
      <w:rPr>
        <w:lang w:val="en-US"/>
      </w:rPr>
      <w:t>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97DFD"/>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4F7"/>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2EF3"/>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1D3"/>
    <w:rsid w:val="00DE429A"/>
    <w:rsid w:val="00DE6D90"/>
    <w:rsid w:val="00DE7B66"/>
    <w:rsid w:val="00DF002F"/>
    <w:rsid w:val="00DF0045"/>
    <w:rsid w:val="00DF1466"/>
    <w:rsid w:val="00DF1F3D"/>
    <w:rsid w:val="00DF1FA1"/>
    <w:rsid w:val="00DF2254"/>
    <w:rsid w:val="00DF3E13"/>
    <w:rsid w:val="00DF4673"/>
    <w:rsid w:val="00DF53E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AAB50F3"/>
  <w15:docId w15:val="{3058260B-F5A9-4487-AF4F-6AC2F445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BB3F-27EF-45E8-B5BA-35787113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cp:revision>
  <cp:lastPrinted>2015-07-13T08:57:00Z</cp:lastPrinted>
  <dcterms:created xsi:type="dcterms:W3CDTF">2016-08-29T15:09:00Z</dcterms:created>
  <dcterms:modified xsi:type="dcterms:W3CDTF">2016-08-31T08:22:00Z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