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7400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7400A" w:rsidP="0027400A">
            <w:pPr>
              <w:jc w:val="right"/>
            </w:pPr>
            <w:r w:rsidRPr="0027400A">
              <w:rPr>
                <w:sz w:val="40"/>
              </w:rPr>
              <w:t>ECE</w:t>
            </w:r>
            <w:r>
              <w:t>/TRANS/WP.29/2016/84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7400A" w:rsidP="00892A2F">
            <w:pPr>
              <w:spacing w:before="240"/>
            </w:pPr>
            <w:r>
              <w:t>Distr. générale</w:t>
            </w:r>
          </w:p>
          <w:p w:rsidR="0027400A" w:rsidRDefault="0027400A" w:rsidP="0027400A">
            <w:pPr>
              <w:spacing w:line="240" w:lineRule="exact"/>
            </w:pPr>
            <w:r>
              <w:t>31</w:t>
            </w:r>
            <w:r w:rsidR="00792B99">
              <w:t> </w:t>
            </w:r>
            <w:r>
              <w:t>août 2016</w:t>
            </w:r>
          </w:p>
          <w:p w:rsidR="0027400A" w:rsidRDefault="0027400A" w:rsidP="0027400A">
            <w:pPr>
              <w:spacing w:line="240" w:lineRule="exact"/>
            </w:pPr>
            <w:r>
              <w:t>Français</w:t>
            </w:r>
          </w:p>
          <w:p w:rsidR="0027400A" w:rsidRPr="00DB58B5" w:rsidRDefault="0027400A" w:rsidP="0027400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400A" w:rsidRDefault="0027400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7400A" w:rsidRDefault="0027400A" w:rsidP="00AF0CB5">
      <w:pPr>
        <w:spacing w:before="120" w:line="240" w:lineRule="exact"/>
        <w:rPr>
          <w:b/>
        </w:rPr>
      </w:pPr>
      <w:r w:rsidRPr="0027400A">
        <w:rPr>
          <w:b/>
        </w:rPr>
        <w:t>170</w:t>
      </w:r>
      <w:r w:rsidRPr="0027400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7400A" w:rsidRDefault="0027400A" w:rsidP="00AF0CB5">
      <w:pPr>
        <w:spacing w:line="240" w:lineRule="exact"/>
      </w:pPr>
      <w:r>
        <w:t xml:space="preserve">Genève, </w:t>
      </w:r>
      <w:r w:rsidRPr="00275E1B">
        <w:t>15-18 novembre 2016</w:t>
      </w:r>
    </w:p>
    <w:p w:rsidR="0027400A" w:rsidRDefault="0027400A" w:rsidP="00AF0CB5">
      <w:pPr>
        <w:spacing w:line="240" w:lineRule="exact"/>
      </w:pPr>
      <w:r>
        <w:t>Point </w:t>
      </w:r>
      <w:r w:rsidRPr="00275E1B">
        <w:t>4.6.1</w:t>
      </w:r>
      <w:r>
        <w:t>0</w:t>
      </w:r>
      <w:r w:rsidRPr="00275E1B">
        <w:t xml:space="preserve"> </w:t>
      </w:r>
      <w:r>
        <w:t>de l’ordre du jour provisoire</w:t>
      </w:r>
    </w:p>
    <w:p w:rsidR="0027400A" w:rsidRPr="0027400A" w:rsidRDefault="0027400A" w:rsidP="0027400A">
      <w:pPr>
        <w:rPr>
          <w:b/>
        </w:rPr>
      </w:pPr>
      <w:r w:rsidRPr="0027400A">
        <w:rPr>
          <w:b/>
        </w:rPr>
        <w:t xml:space="preserve">Accord de 1958 </w:t>
      </w:r>
      <w:r w:rsidR="00792B99">
        <w:rPr>
          <w:b/>
        </w:rPr>
        <w:t>–</w:t>
      </w:r>
      <w:r w:rsidRPr="0027400A">
        <w:rPr>
          <w:b/>
        </w:rPr>
        <w:t xml:space="preserve"> Examen de projets d’amendements </w:t>
      </w:r>
      <w:r w:rsidRPr="0027400A">
        <w:rPr>
          <w:b/>
        </w:rPr>
        <w:br/>
        <w:t>à des Règlements existants, proposés par le GRE</w:t>
      </w:r>
    </w:p>
    <w:p w:rsidR="0027400A" w:rsidRPr="00013A67" w:rsidRDefault="0027400A" w:rsidP="0027400A">
      <w:pPr>
        <w:pStyle w:val="HChG"/>
      </w:pPr>
      <w:r>
        <w:tab/>
      </w:r>
      <w:r>
        <w:tab/>
      </w:r>
      <w:r w:rsidRPr="00013A67">
        <w:t>Proposition de complé</w:t>
      </w:r>
      <w:r>
        <w:t>ment </w:t>
      </w:r>
      <w:r w:rsidRPr="00013A67">
        <w:t xml:space="preserve">18 </w:t>
      </w:r>
      <w:r>
        <w:t>au Règlement n</w:t>
      </w:r>
      <w:r w:rsidRPr="0027400A">
        <w:rPr>
          <w:vertAlign w:val="superscript"/>
        </w:rPr>
        <w:t>o</w:t>
      </w:r>
      <w:r>
        <w:t> </w:t>
      </w:r>
      <w:r w:rsidRPr="00013A67">
        <w:t xml:space="preserve">87 </w:t>
      </w:r>
      <w:r>
        <w:br/>
      </w:r>
      <w:r w:rsidRPr="00013A67">
        <w:t>(</w:t>
      </w:r>
      <w:r>
        <w:t>Feux de circulation diurne</w:t>
      </w:r>
      <w:r w:rsidRPr="00013A67">
        <w:t>)</w:t>
      </w:r>
    </w:p>
    <w:p w:rsidR="0027400A" w:rsidRPr="00013A67" w:rsidRDefault="0027400A" w:rsidP="0027400A">
      <w:pPr>
        <w:pStyle w:val="H1G"/>
      </w:pPr>
      <w:r>
        <w:tab/>
      </w:r>
      <w:r>
        <w:tab/>
        <w:t>Communication du Groupe de travail de l</w:t>
      </w:r>
      <w:r w:rsidRPr="00013A67">
        <w:t>’</w:t>
      </w:r>
      <w:r>
        <w:t xml:space="preserve">éclairage </w:t>
      </w:r>
      <w:r w:rsidR="00D95DA6">
        <w:br/>
      </w:r>
      <w:r>
        <w:t>et de la signalisation lumineuse</w:t>
      </w:r>
      <w:r w:rsidRPr="0027400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7400A" w:rsidRDefault="0027400A" w:rsidP="0027400A">
      <w:pPr>
        <w:pStyle w:val="SingleTxtG"/>
        <w:ind w:firstLine="567"/>
      </w:pPr>
      <w:r w:rsidRPr="00013A67">
        <w:t xml:space="preserve">Le texte reproduit ci-dessous a été établi sur la base du document ECE/TRANS/WP.29/GRE/2016/17 non modifié et adopté par le </w:t>
      </w:r>
      <w:r w:rsidRPr="00275E1B">
        <w:t xml:space="preserve">Groupe de travail de l’éclairage et de la signalisation lumineuse (GRE) à sa </w:t>
      </w:r>
      <w:r>
        <w:t>75</w:t>
      </w:r>
      <w:r w:rsidRPr="006A527D">
        <w:rPr>
          <w:vertAlign w:val="superscript"/>
        </w:rPr>
        <w:t>e</w:t>
      </w:r>
      <w:r w:rsidR="001F5D52">
        <w:t> </w:t>
      </w:r>
      <w:r w:rsidRPr="00275E1B">
        <w:t xml:space="preserve">session (ECE/TRANS/WP.29/GRE/75, </w:t>
      </w:r>
      <w:r>
        <w:t>par. 16)</w:t>
      </w:r>
      <w:r w:rsidRPr="006A527D">
        <w:t xml:space="preserve">. Il est soumis au Forum mondial de l’harmonisation des Règlements concernant les véhicules (WP.29) </w:t>
      </w:r>
      <w:r>
        <w:t>et au Comité d</w:t>
      </w:r>
      <w:r w:rsidRPr="00917F21">
        <w:t>’</w:t>
      </w:r>
      <w:r>
        <w:t>administration AC.1 p</w:t>
      </w:r>
      <w:r w:rsidRPr="006A527D">
        <w:t>o</w:t>
      </w:r>
      <w:r>
        <w:t>u</w:t>
      </w:r>
      <w:r w:rsidRPr="006A527D">
        <w:t xml:space="preserve">r </w:t>
      </w:r>
      <w:r>
        <w:t>examen à leur</w:t>
      </w:r>
      <w:r w:rsidR="00D95DA6">
        <w:t>s</w:t>
      </w:r>
      <w:r>
        <w:t xml:space="preserve"> sessions de n</w:t>
      </w:r>
      <w:r w:rsidRPr="006A527D">
        <w:t>ovembr</w:t>
      </w:r>
      <w:r>
        <w:t>e 2016</w:t>
      </w:r>
      <w:r w:rsidRPr="006A527D">
        <w:t>.</w:t>
      </w:r>
    </w:p>
    <w:p w:rsidR="0027400A" w:rsidRPr="00013A67" w:rsidRDefault="0027400A" w:rsidP="0027400A">
      <w:pPr>
        <w:pStyle w:val="HChG"/>
      </w:pPr>
      <w:r>
        <w:br w:type="page"/>
      </w:r>
      <w:r>
        <w:lastRenderedPageBreak/>
        <w:tab/>
      </w:r>
      <w:r>
        <w:tab/>
      </w:r>
      <w:r w:rsidRPr="00013A67">
        <w:t>Complé</w:t>
      </w:r>
      <w:r>
        <w:t>ment </w:t>
      </w:r>
      <w:r w:rsidRPr="00013A67">
        <w:t>18 a</w:t>
      </w:r>
      <w:r>
        <w:t>u Règlement n</w:t>
      </w:r>
      <w:r w:rsidRPr="0027400A">
        <w:rPr>
          <w:vertAlign w:val="superscript"/>
        </w:rPr>
        <w:t>o</w:t>
      </w:r>
      <w:r>
        <w:t> </w:t>
      </w:r>
      <w:r w:rsidRPr="00013A67">
        <w:t xml:space="preserve">87 </w:t>
      </w:r>
      <w:r>
        <w:br/>
      </w:r>
      <w:r w:rsidRPr="00013A67">
        <w:t>(</w:t>
      </w:r>
      <w:r>
        <w:t>Feux de circulation diurne</w:t>
      </w:r>
      <w:r w:rsidRPr="00013A67">
        <w:t xml:space="preserve">) </w:t>
      </w:r>
    </w:p>
    <w:p w:rsidR="0027400A" w:rsidRPr="00013A67" w:rsidRDefault="0027400A" w:rsidP="0027400A">
      <w:pPr>
        <w:pStyle w:val="SingleTxtG"/>
        <w:rPr>
          <w:iCs/>
        </w:rPr>
      </w:pPr>
      <w:r w:rsidRPr="00013A67">
        <w:rPr>
          <w:i/>
          <w:iCs/>
        </w:rPr>
        <w:t>Paragraphe 7.4.2.</w:t>
      </w:r>
      <w:r w:rsidRPr="00013A67">
        <w:t>, modifier comme suit</w:t>
      </w:r>
      <w:r>
        <w:t> :</w:t>
      </w:r>
    </w:p>
    <w:p w:rsidR="0027400A" w:rsidRPr="00013A67" w:rsidRDefault="00000763" w:rsidP="0027400A">
      <w:pPr>
        <w:pStyle w:val="SingleTxtG"/>
        <w:tabs>
          <w:tab w:val="left" w:pos="2268"/>
        </w:tabs>
        <w:ind w:left="2268" w:hanging="1134"/>
      </w:pPr>
      <w:r>
        <w:rPr>
          <w:iCs/>
        </w:rPr>
        <w:t>« </w:t>
      </w:r>
      <w:r w:rsidR="0027400A">
        <w:rPr>
          <w:iCs/>
        </w:rPr>
        <w:t>7.4.2</w:t>
      </w:r>
      <w:r w:rsidR="0027400A" w:rsidRPr="00013A67">
        <w:rPr>
          <w:i/>
          <w:iCs/>
        </w:rPr>
        <w:tab/>
      </w:r>
      <w:r w:rsidR="0027400A">
        <w:t xml:space="preserve">En cas de défaillance de l’une quelconque des sources lumineuses équipant un feu simple comportant plusieurs sources lumineuses, l’une des dispositions </w:t>
      </w:r>
      <w:r w:rsidR="00EA7AA3">
        <w:t>ci-après s’applique :</w:t>
      </w:r>
    </w:p>
    <w:p w:rsidR="0027400A" w:rsidRPr="00013A67" w:rsidRDefault="0027400A" w:rsidP="0027400A">
      <w:pPr>
        <w:pStyle w:val="SingleTxtG"/>
        <w:ind w:left="2835" w:hanging="567"/>
      </w:pPr>
      <w:r w:rsidRPr="00013A67">
        <w:t>a)</w:t>
      </w:r>
      <w:r w:rsidRPr="00013A67">
        <w:tab/>
      </w:r>
      <w:r>
        <w:t>L’intensité lumineuse mesurée aux points de répartition normale d</w:t>
      </w:r>
      <w:r w:rsidR="00000763">
        <w:t>e la lumière définis à l’annexe </w:t>
      </w:r>
      <w:r>
        <w:t>3 du présent Règlemen</w:t>
      </w:r>
      <w:r w:rsidR="00000763">
        <w:t>t doit équivaloir à au moins 80 </w:t>
      </w:r>
      <w:r>
        <w:t>% de la vale</w:t>
      </w:r>
      <w:r w:rsidR="00EA7AA3">
        <w:t>ur minimale d’intensité requise ;</w:t>
      </w:r>
      <w:r>
        <w:t xml:space="preserve"> ou </w:t>
      </w:r>
    </w:p>
    <w:p w:rsidR="0027400A" w:rsidRPr="00013A67" w:rsidRDefault="0027400A" w:rsidP="0027400A">
      <w:pPr>
        <w:pStyle w:val="SingleTxtG"/>
        <w:ind w:left="2835" w:hanging="567"/>
      </w:pPr>
      <w:r w:rsidRPr="00013A67">
        <w:t>b)</w:t>
      </w:r>
      <w:r w:rsidRPr="00013A67">
        <w:tab/>
      </w:r>
      <w:r>
        <w:t>L’intensité lumineuse mesurée sur l’axe de référenc</w:t>
      </w:r>
      <w:r w:rsidR="00000763">
        <w:t>e doit équivaloir à au moins 50 </w:t>
      </w:r>
      <w:r>
        <w:t>% de la valeur minimale d’intensité requise, à condition que la fiche de communication contienne une note précisant que le feu en question ne peut être utilisé que sur un véhicule équipé d’un témoin indiquan</w:t>
      </w:r>
      <w:r w:rsidR="00000763">
        <w:t>t un défaut de fonctionnement. »</w:t>
      </w:r>
      <w:r>
        <w:t xml:space="preserve">. </w:t>
      </w:r>
    </w:p>
    <w:p w:rsidR="0027400A" w:rsidRPr="00922357" w:rsidRDefault="0027400A" w:rsidP="0027400A">
      <w:pPr>
        <w:pStyle w:val="SingleTxtG"/>
      </w:pPr>
      <w:r w:rsidRPr="0027400A">
        <w:rPr>
          <w:i/>
        </w:rPr>
        <w:t>Annexe 1</w:t>
      </w:r>
      <w:r>
        <w:t>,</w:t>
      </w:r>
    </w:p>
    <w:p w:rsidR="0027400A" w:rsidRPr="00922357" w:rsidRDefault="0027400A" w:rsidP="0027400A">
      <w:pPr>
        <w:pStyle w:val="SingleTxtG"/>
      </w:pPr>
      <w:r w:rsidRPr="00922357">
        <w:rPr>
          <w:i/>
        </w:rPr>
        <w:t>Point 9</w:t>
      </w:r>
      <w:r w:rsidRPr="00922357">
        <w:t>, modifier comme suit</w:t>
      </w:r>
      <w:r>
        <w:t> :</w:t>
      </w:r>
    </w:p>
    <w:p w:rsidR="0027400A" w:rsidRPr="00922357" w:rsidRDefault="00000763" w:rsidP="0027400A">
      <w:pPr>
        <w:pStyle w:val="SingleTxtG"/>
        <w:tabs>
          <w:tab w:val="left" w:pos="2268"/>
        </w:tabs>
      </w:pPr>
      <w:r>
        <w:t>« </w:t>
      </w:r>
      <w:r w:rsidR="0027400A">
        <w:t>9.</w:t>
      </w:r>
      <w:r w:rsidR="0027400A">
        <w:tab/>
        <w:t>Description sommaire :</w:t>
      </w:r>
    </w:p>
    <w:p w:rsidR="0027400A" w:rsidRPr="00922357" w:rsidRDefault="00CF0C9A" w:rsidP="00CF0C9A">
      <w:pPr>
        <w:pStyle w:val="SingleTxtG"/>
        <w:tabs>
          <w:tab w:val="left" w:leader="dot" w:pos="8505"/>
        </w:tabs>
        <w:ind w:left="2268"/>
      </w:pPr>
      <w:r>
        <w:t>Par catégorie de feu :</w:t>
      </w:r>
      <w:r w:rsidR="00EA7AA3">
        <w:t xml:space="preserve"> </w:t>
      </w:r>
      <w:r>
        <w:tab/>
      </w:r>
    </w:p>
    <w:p w:rsidR="0027400A" w:rsidRPr="00CF0C9A" w:rsidRDefault="0027400A" w:rsidP="00CF0C9A">
      <w:pPr>
        <w:pStyle w:val="SingleTxtG"/>
        <w:tabs>
          <w:tab w:val="left" w:leader="dot" w:pos="8505"/>
        </w:tabs>
        <w:ind w:left="2268"/>
        <w:rPr>
          <w:spacing w:val="-3"/>
        </w:rPr>
      </w:pPr>
      <w:r w:rsidRPr="00CF0C9A">
        <w:rPr>
          <w:spacing w:val="-3"/>
        </w:rPr>
        <w:t xml:space="preserve">Nombre, catégorie et type </w:t>
      </w:r>
      <w:r w:rsidR="00CF0C9A" w:rsidRPr="00CF0C9A">
        <w:rPr>
          <w:spacing w:val="-3"/>
        </w:rPr>
        <w:t>de</w:t>
      </w:r>
      <w:r w:rsidRPr="00CF0C9A">
        <w:rPr>
          <w:spacing w:val="-3"/>
        </w:rPr>
        <w:t xml:space="preserve"> source(s) lumineuse(s)</w:t>
      </w:r>
      <w:r w:rsidRPr="00CF0C9A">
        <w:rPr>
          <w:bCs/>
          <w:spacing w:val="-3"/>
          <w:sz w:val="18"/>
          <w:szCs w:val="18"/>
          <w:vertAlign w:val="superscript"/>
        </w:rPr>
        <w:t>3</w:t>
      </w:r>
      <w:r w:rsidR="00CF0C9A" w:rsidRPr="00CF0C9A">
        <w:rPr>
          <w:bCs/>
          <w:spacing w:val="-3"/>
          <w:sz w:val="18"/>
          <w:szCs w:val="18"/>
        </w:rPr>
        <w:t> </w:t>
      </w:r>
      <w:r w:rsidR="00CF0C9A">
        <w:rPr>
          <w:bCs/>
          <w:spacing w:val="-3"/>
          <w:sz w:val="18"/>
          <w:szCs w:val="18"/>
        </w:rPr>
        <w:t xml:space="preserve">: </w:t>
      </w:r>
      <w:r w:rsidR="00CF0C9A">
        <w:rPr>
          <w:bCs/>
          <w:spacing w:val="-3"/>
          <w:sz w:val="18"/>
          <w:szCs w:val="18"/>
        </w:rPr>
        <w:tab/>
      </w:r>
    </w:p>
    <w:p w:rsidR="0027400A" w:rsidRPr="00922357" w:rsidRDefault="00CF0C9A" w:rsidP="00CF0C9A">
      <w:pPr>
        <w:pStyle w:val="SingleTxtG"/>
        <w:tabs>
          <w:tab w:val="left" w:leader="dot" w:pos="8505"/>
        </w:tabs>
        <w:ind w:left="2268"/>
      </w:pPr>
      <w:r>
        <w:t>Tension et puissance :</w:t>
      </w:r>
      <w:r w:rsidR="0027400A" w:rsidRPr="00922357">
        <w:t xml:space="preserve"> </w:t>
      </w:r>
      <w:r>
        <w:tab/>
      </w:r>
    </w:p>
    <w:p w:rsidR="0027400A" w:rsidRPr="00CF0C9A" w:rsidRDefault="0027400A" w:rsidP="00CF0C9A">
      <w:pPr>
        <w:pStyle w:val="SingleTxtG"/>
        <w:ind w:left="2268"/>
        <w:rPr>
          <w:spacing w:val="-2"/>
        </w:rPr>
      </w:pPr>
      <w:r w:rsidRPr="00CF0C9A">
        <w:rPr>
          <w:spacing w:val="-2"/>
        </w:rPr>
        <w:t>Application d’un dispositif de régulation élec</w:t>
      </w:r>
      <w:r w:rsidR="00CF0C9A" w:rsidRPr="00CF0C9A">
        <w:rPr>
          <w:spacing w:val="-2"/>
        </w:rPr>
        <w:t>tronique des sources lumineuses :</w:t>
      </w:r>
    </w:p>
    <w:p w:rsidR="0027400A" w:rsidRPr="00922357" w:rsidRDefault="0027400A" w:rsidP="00CF0C9A">
      <w:pPr>
        <w:pStyle w:val="SingleTxtG"/>
        <w:ind w:left="2268"/>
        <w:rPr>
          <w:bCs/>
        </w:rPr>
      </w:pPr>
      <w:r w:rsidRPr="00922357">
        <w:t>a)</w:t>
      </w:r>
      <w:r w:rsidRPr="00922357">
        <w:tab/>
      </w:r>
      <w:r w:rsidR="00CF0C9A">
        <w:t>Faisant partie du feu :</w:t>
      </w:r>
      <w:r>
        <w:t xml:space="preserve"> oui/non</w:t>
      </w:r>
      <w:r w:rsidRPr="00922357">
        <w:rPr>
          <w:bCs/>
          <w:sz w:val="18"/>
          <w:szCs w:val="18"/>
          <w:vertAlign w:val="superscript"/>
        </w:rPr>
        <w:t>2</w:t>
      </w:r>
    </w:p>
    <w:p w:rsidR="0027400A" w:rsidRPr="00922357" w:rsidRDefault="00CF0C9A" w:rsidP="00CF0C9A">
      <w:pPr>
        <w:pStyle w:val="SingleTxtG"/>
        <w:ind w:left="2268"/>
        <w:rPr>
          <w:bCs/>
        </w:rPr>
      </w:pPr>
      <w:r>
        <w:t>b)</w:t>
      </w:r>
      <w:r w:rsidR="0027400A" w:rsidRPr="00922357">
        <w:tab/>
      </w:r>
      <w:r>
        <w:t>Ne faisant pas partie du feu :</w:t>
      </w:r>
      <w:r w:rsidR="0027400A">
        <w:t xml:space="preserve"> oui/non</w:t>
      </w:r>
      <w:r w:rsidR="0027400A" w:rsidRPr="00922357">
        <w:rPr>
          <w:bCs/>
          <w:sz w:val="18"/>
          <w:szCs w:val="18"/>
          <w:vertAlign w:val="superscript"/>
        </w:rPr>
        <w:t>2</w:t>
      </w:r>
    </w:p>
    <w:p w:rsidR="0027400A" w:rsidRPr="00922357" w:rsidRDefault="0027400A" w:rsidP="00CF0C9A">
      <w:pPr>
        <w:pStyle w:val="SingleTxtG"/>
        <w:tabs>
          <w:tab w:val="left" w:leader="dot" w:pos="8505"/>
        </w:tabs>
        <w:ind w:left="2268"/>
      </w:pPr>
      <w:r>
        <w:t>Tension d’entrée fournie par un dispositif de régulation élect</w:t>
      </w:r>
      <w:r w:rsidR="00EA7AA3">
        <w:t>ronique des sources lumineuses :</w:t>
      </w:r>
      <w:r w:rsidR="00CF0C9A">
        <w:t xml:space="preserve"> </w:t>
      </w:r>
      <w:r w:rsidR="00CF0C9A">
        <w:tab/>
      </w:r>
    </w:p>
    <w:p w:rsidR="0027400A" w:rsidRDefault="0027400A" w:rsidP="00CF0C9A">
      <w:pPr>
        <w:pStyle w:val="SingleTxtG"/>
        <w:tabs>
          <w:tab w:val="left" w:leader="dot" w:pos="8505"/>
        </w:tabs>
        <w:ind w:left="2268"/>
      </w:pPr>
      <w:r>
        <w:t>Fabricant du dispositif de régulation électronique des sources lumineuses et numéro d’identification (lorsque le dispositif de régulation des sources lumineuses fait partie du fe</w:t>
      </w:r>
      <w:r w:rsidR="00CF0C9A">
        <w:t>u sans être intégré au boîtier) :</w:t>
      </w:r>
      <w:r w:rsidR="00CF0C9A">
        <w:tab/>
      </w:r>
    </w:p>
    <w:p w:rsidR="00CF0C9A" w:rsidRPr="00922357" w:rsidRDefault="00CF0C9A" w:rsidP="00CF0C9A">
      <w:pPr>
        <w:pStyle w:val="SingleTxtG"/>
        <w:tabs>
          <w:tab w:val="left" w:leader="dot" w:pos="8505"/>
        </w:tabs>
        <w:ind w:left="2268"/>
      </w:pPr>
      <w:r>
        <w:tab/>
      </w:r>
    </w:p>
    <w:p w:rsidR="0027400A" w:rsidRPr="00922357" w:rsidRDefault="0027400A" w:rsidP="00CF0C9A">
      <w:pPr>
        <w:pStyle w:val="SingleTxtG"/>
        <w:tabs>
          <w:tab w:val="left" w:leader="dot" w:pos="8505"/>
        </w:tabs>
        <w:ind w:left="2268"/>
        <w:rPr>
          <w:vertAlign w:val="superscript"/>
        </w:rPr>
      </w:pPr>
      <w:r>
        <w:t>Le feu ne peut être utilisé que sur un véhicule équipé d’un témoin indiqua</w:t>
      </w:r>
      <w:r w:rsidR="001F5D52">
        <w:t>nt un défaut de fonctionnement :</w:t>
      </w:r>
      <w:r>
        <w:t xml:space="preserve"> oui/non</w:t>
      </w:r>
      <w:r w:rsidRPr="00922357">
        <w:rPr>
          <w:bCs/>
          <w:sz w:val="18"/>
          <w:szCs w:val="18"/>
          <w:vertAlign w:val="superscript"/>
        </w:rPr>
        <w:t>2</w:t>
      </w:r>
      <w:r w:rsidRPr="00922357">
        <w:rPr>
          <w:sz w:val="18"/>
          <w:szCs w:val="18"/>
          <w:vertAlign w:val="superscript"/>
        </w:rPr>
        <w:t xml:space="preserve"> </w:t>
      </w:r>
    </w:p>
    <w:p w:rsidR="0027400A" w:rsidRPr="0052373F" w:rsidRDefault="0027400A" w:rsidP="00CF0C9A">
      <w:pPr>
        <w:kinsoku/>
        <w:overflowPunct/>
        <w:autoSpaceDE/>
        <w:autoSpaceDN/>
        <w:adjustRightInd/>
        <w:snapToGrid/>
        <w:spacing w:after="120"/>
        <w:ind w:left="567" w:right="1134"/>
        <w:jc w:val="both"/>
      </w:pPr>
      <w:r w:rsidRPr="0052373F">
        <w:t>______________</w:t>
      </w:r>
    </w:p>
    <w:p w:rsidR="0027400A" w:rsidRPr="0052373F" w:rsidRDefault="0027400A" w:rsidP="00CF0C9A">
      <w:pPr>
        <w:pStyle w:val="FootnoteText"/>
        <w:kinsoku/>
        <w:overflowPunct/>
        <w:autoSpaceDE/>
        <w:autoSpaceDN/>
        <w:adjustRightInd/>
        <w:snapToGrid/>
      </w:pPr>
      <w:r w:rsidRPr="0052373F">
        <w:rPr>
          <w:vertAlign w:val="superscript"/>
        </w:rPr>
        <w:tab/>
        <w:t>2</w:t>
      </w:r>
      <w:r w:rsidRPr="0052373F">
        <w:rPr>
          <w:vertAlign w:val="superscript"/>
        </w:rPr>
        <w:tab/>
      </w:r>
      <w:r w:rsidR="001F5D52" w:rsidRPr="0052373F">
        <w:t>Biffer la mention inutile</w:t>
      </w:r>
      <w:r w:rsidRPr="0052373F">
        <w:t>.</w:t>
      </w:r>
    </w:p>
    <w:p w:rsidR="00F9573C" w:rsidRDefault="0027400A" w:rsidP="00CF0C9A">
      <w:pPr>
        <w:pStyle w:val="FootnoteText"/>
        <w:kinsoku/>
        <w:overflowPunct/>
        <w:autoSpaceDE/>
        <w:autoSpaceDN/>
        <w:adjustRightInd/>
        <w:snapToGrid/>
      </w:pPr>
      <w:r w:rsidRPr="0052373F">
        <w:rPr>
          <w:vertAlign w:val="superscript"/>
        </w:rPr>
        <w:tab/>
      </w:r>
      <w:r w:rsidR="00CF0C9A">
        <w:rPr>
          <w:vertAlign w:val="superscript"/>
        </w:rPr>
        <w:t>3</w:t>
      </w:r>
      <w:r w:rsidRPr="00922357">
        <w:rPr>
          <w:vertAlign w:val="superscript"/>
        </w:rPr>
        <w:tab/>
      </w:r>
      <w:r>
        <w:t>Pour les feux de circulation diurne dont les sources lumineuses ne sont pas remplaçables, indiquer le nombre et la puissance totale de</w:t>
      </w:r>
      <w:r w:rsidR="00000763">
        <w:t>s sources lumineuses utilisées. »</w:t>
      </w:r>
      <w:r>
        <w:t>.</w:t>
      </w:r>
    </w:p>
    <w:p w:rsidR="00611F01" w:rsidRPr="00611F01" w:rsidRDefault="00611F01" w:rsidP="00611F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1F01" w:rsidRPr="00611F01" w:rsidSect="002740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12" w:rsidRDefault="00384F12" w:rsidP="00F95C08">
      <w:pPr>
        <w:spacing w:line="240" w:lineRule="auto"/>
      </w:pPr>
    </w:p>
  </w:endnote>
  <w:endnote w:type="continuationSeparator" w:id="0">
    <w:p w:rsidR="00384F12" w:rsidRPr="00AC3823" w:rsidRDefault="00384F12" w:rsidP="00AC3823">
      <w:pPr>
        <w:pStyle w:val="Footer"/>
      </w:pPr>
    </w:p>
  </w:endnote>
  <w:endnote w:type="continuationNotice" w:id="1">
    <w:p w:rsidR="00384F12" w:rsidRDefault="00384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0A" w:rsidRPr="0027400A" w:rsidRDefault="0027400A" w:rsidP="0027400A">
    <w:pPr>
      <w:pStyle w:val="Footer"/>
      <w:tabs>
        <w:tab w:val="right" w:pos="9638"/>
      </w:tabs>
    </w:pPr>
    <w:r w:rsidRPr="0027400A">
      <w:rPr>
        <w:b/>
        <w:sz w:val="18"/>
      </w:rPr>
      <w:fldChar w:fldCharType="begin"/>
    </w:r>
    <w:r w:rsidRPr="0027400A">
      <w:rPr>
        <w:b/>
        <w:sz w:val="18"/>
      </w:rPr>
      <w:instrText xml:space="preserve"> PAGE  \* MERGEFORMAT </w:instrText>
    </w:r>
    <w:r w:rsidRPr="0027400A">
      <w:rPr>
        <w:b/>
        <w:sz w:val="18"/>
      </w:rPr>
      <w:fldChar w:fldCharType="separate"/>
    </w:r>
    <w:r w:rsidR="0052373F">
      <w:rPr>
        <w:b/>
        <w:noProof/>
        <w:sz w:val="18"/>
      </w:rPr>
      <w:t>2</w:t>
    </w:r>
    <w:r w:rsidRPr="0027400A">
      <w:rPr>
        <w:b/>
        <w:sz w:val="18"/>
      </w:rPr>
      <w:fldChar w:fldCharType="end"/>
    </w:r>
    <w:r>
      <w:rPr>
        <w:b/>
        <w:sz w:val="18"/>
      </w:rPr>
      <w:tab/>
    </w:r>
    <w:r>
      <w:t>GE.16-15052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0A" w:rsidRPr="0027400A" w:rsidRDefault="0027400A" w:rsidP="0027400A">
    <w:pPr>
      <w:pStyle w:val="Footer"/>
      <w:tabs>
        <w:tab w:val="right" w:pos="9638"/>
      </w:tabs>
      <w:rPr>
        <w:b/>
        <w:sz w:val="18"/>
      </w:rPr>
    </w:pPr>
    <w:r>
      <w:t>GE.16-15052</w:t>
    </w:r>
    <w:r>
      <w:tab/>
    </w:r>
    <w:r w:rsidRPr="0027400A">
      <w:rPr>
        <w:b/>
        <w:sz w:val="18"/>
      </w:rPr>
      <w:fldChar w:fldCharType="begin"/>
    </w:r>
    <w:r w:rsidRPr="0027400A">
      <w:rPr>
        <w:b/>
        <w:sz w:val="18"/>
      </w:rPr>
      <w:instrText xml:space="preserve"> PAGE  \* MERGEFORMAT </w:instrText>
    </w:r>
    <w:r w:rsidRPr="0027400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0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7400A" w:rsidRDefault="0027400A" w:rsidP="0027400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5EB9AC3" wp14:editId="2A9D066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16-15052  (F)</w:t>
    </w:r>
    <w:r w:rsidR="00792B99">
      <w:rPr>
        <w:sz w:val="20"/>
      </w:rPr>
      <w:t xml:space="preserve">    260916    300916</w:t>
    </w:r>
    <w:r>
      <w:rPr>
        <w:sz w:val="20"/>
      </w:rPr>
      <w:br/>
    </w:r>
    <w:r w:rsidRPr="0027400A">
      <w:rPr>
        <w:rFonts w:ascii="C39T30Lfz" w:hAnsi="C39T30Lfz"/>
        <w:sz w:val="56"/>
      </w:rPr>
      <w:t></w:t>
    </w:r>
    <w:r w:rsidRPr="0027400A">
      <w:rPr>
        <w:rFonts w:ascii="C39T30Lfz" w:hAnsi="C39T30Lfz"/>
        <w:sz w:val="56"/>
      </w:rPr>
      <w:t></w:t>
    </w:r>
    <w:r w:rsidRPr="0027400A">
      <w:rPr>
        <w:rFonts w:ascii="C39T30Lfz" w:hAnsi="C39T30Lfz"/>
        <w:sz w:val="56"/>
      </w:rPr>
      <w:t></w:t>
    </w:r>
    <w:r w:rsidRPr="0027400A">
      <w:rPr>
        <w:rFonts w:ascii="C39T30Lfz" w:hAnsi="C39T30Lfz"/>
        <w:sz w:val="56"/>
      </w:rPr>
      <w:t></w:t>
    </w:r>
    <w:r w:rsidRPr="0027400A">
      <w:rPr>
        <w:rFonts w:ascii="C39T30Lfz" w:hAnsi="C39T30Lfz"/>
        <w:sz w:val="56"/>
      </w:rPr>
      <w:t></w:t>
    </w:r>
    <w:r w:rsidRPr="0027400A">
      <w:rPr>
        <w:rFonts w:ascii="C39T30Lfz" w:hAnsi="C39T30Lfz"/>
        <w:sz w:val="56"/>
      </w:rPr>
      <w:t></w:t>
    </w:r>
    <w:r w:rsidRPr="0027400A">
      <w:rPr>
        <w:rFonts w:ascii="C39T30Lfz" w:hAnsi="C39T30Lfz"/>
        <w:sz w:val="56"/>
      </w:rPr>
      <w:t></w:t>
    </w:r>
    <w:r w:rsidRPr="0027400A">
      <w:rPr>
        <w:rFonts w:ascii="C39T30Lfz" w:hAnsi="C39T30Lfz"/>
        <w:sz w:val="56"/>
      </w:rPr>
      <w:t></w:t>
    </w:r>
    <w:r w:rsidRPr="0027400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8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8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12" w:rsidRPr="00AC3823" w:rsidRDefault="00384F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4F12" w:rsidRPr="00AC3823" w:rsidRDefault="00384F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4F12" w:rsidRPr="00AC3823" w:rsidRDefault="00384F12">
      <w:pPr>
        <w:spacing w:line="240" w:lineRule="auto"/>
        <w:rPr>
          <w:sz w:val="2"/>
          <w:szCs w:val="2"/>
        </w:rPr>
      </w:pPr>
    </w:p>
  </w:footnote>
  <w:footnote w:id="2">
    <w:p w:rsidR="0027400A" w:rsidRPr="0027400A" w:rsidRDefault="0027400A">
      <w:pPr>
        <w:pStyle w:val="FootnoteText"/>
      </w:pPr>
      <w:r>
        <w:rPr>
          <w:rStyle w:val="FootnoteReference"/>
        </w:rPr>
        <w:tab/>
      </w:r>
      <w:r w:rsidRPr="0027400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</w:t>
      </w:r>
      <w:r w:rsidR="00000763">
        <w:t xml:space="preserve"> 2016</w:t>
      </w:r>
      <w:r w:rsidR="00000763">
        <w:noBreakHyphen/>
        <w:t>2017 (ECE/TRANS/254, par. </w:t>
      </w:r>
      <w:r>
        <w:t>159, et EC</w:t>
      </w:r>
      <w:r w:rsidR="00000763">
        <w:t>E/TRANS/2016/28/Add.1, activité </w:t>
      </w:r>
      <w:r>
        <w:t>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0A" w:rsidRPr="0027400A" w:rsidRDefault="0027400A">
    <w:pPr>
      <w:pStyle w:val="Header"/>
    </w:pPr>
    <w:r>
      <w:t>ECE/TRANS/WP.29/2016/84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0A" w:rsidRPr="0027400A" w:rsidRDefault="0027400A" w:rsidP="0027400A">
    <w:pPr>
      <w:pStyle w:val="Header"/>
      <w:jc w:val="right"/>
    </w:pPr>
    <w:r>
      <w:t>ECE/TRANS/WP.29/2016/84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2"/>
    <w:rsid w:val="00000763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1F5D52"/>
    <w:rsid w:val="00223272"/>
    <w:rsid w:val="0024779E"/>
    <w:rsid w:val="00257168"/>
    <w:rsid w:val="0027400A"/>
    <w:rsid w:val="002744B8"/>
    <w:rsid w:val="002832AC"/>
    <w:rsid w:val="00297408"/>
    <w:rsid w:val="002D7C93"/>
    <w:rsid w:val="00305801"/>
    <w:rsid w:val="00384F12"/>
    <w:rsid w:val="003916DE"/>
    <w:rsid w:val="00441C3B"/>
    <w:rsid w:val="00446FE5"/>
    <w:rsid w:val="00452396"/>
    <w:rsid w:val="004837D8"/>
    <w:rsid w:val="004E468C"/>
    <w:rsid w:val="0052373F"/>
    <w:rsid w:val="005505B7"/>
    <w:rsid w:val="00573BE5"/>
    <w:rsid w:val="00586ED3"/>
    <w:rsid w:val="00596AA9"/>
    <w:rsid w:val="00611F01"/>
    <w:rsid w:val="0071601D"/>
    <w:rsid w:val="00792B99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D182F"/>
    <w:rsid w:val="00AE323C"/>
    <w:rsid w:val="00AF0CB5"/>
    <w:rsid w:val="00B00181"/>
    <w:rsid w:val="00B00B0D"/>
    <w:rsid w:val="00B765F7"/>
    <w:rsid w:val="00BA0CA9"/>
    <w:rsid w:val="00C02897"/>
    <w:rsid w:val="00CF0C9A"/>
    <w:rsid w:val="00D3439C"/>
    <w:rsid w:val="00D95DA6"/>
    <w:rsid w:val="00DB1831"/>
    <w:rsid w:val="00DD3BFD"/>
    <w:rsid w:val="00DF6678"/>
    <w:rsid w:val="00E03A3C"/>
    <w:rsid w:val="00E80223"/>
    <w:rsid w:val="00E85C74"/>
    <w:rsid w:val="00EA6547"/>
    <w:rsid w:val="00EA7AA3"/>
    <w:rsid w:val="00EF2E22"/>
    <w:rsid w:val="00F008E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E621EA-46EC-47E5-A704-59FB6C4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ECE/TRANS/WP.29/2016/84</vt:lpstr>
      <vt:lpstr>ECE/TRANS/WP.29/2016/84</vt:lpstr>
    </vt:vector>
  </TitlesOfParts>
  <Company>DCM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ECE/TRANS/WP.29/2016/84</dc:title>
  <dc:subject>Final</dc:subject>
  <dc:creator>Julien OKRZESIK</dc:creator>
  <cp:keywords/>
  <dc:description/>
  <cp:lastModifiedBy>Caillot</cp:lastModifiedBy>
  <cp:revision>2</cp:revision>
  <cp:lastPrinted>2016-09-30T13:12:00Z</cp:lastPrinted>
  <dcterms:created xsi:type="dcterms:W3CDTF">2016-10-10T15:24:00Z</dcterms:created>
  <dcterms:modified xsi:type="dcterms:W3CDTF">2016-10-10T15:24:00Z</dcterms:modified>
</cp:coreProperties>
</file>