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EE7630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EE7630" w:rsidRDefault="00F35BAF" w:rsidP="003923F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EE7630" w:rsidRDefault="00F35BAF" w:rsidP="00892A2F">
            <w:pPr>
              <w:spacing w:after="80" w:line="300" w:lineRule="exact"/>
              <w:rPr>
                <w:sz w:val="28"/>
              </w:rPr>
            </w:pPr>
            <w:r w:rsidRPr="00EE7630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EE7630" w:rsidRDefault="003923F5" w:rsidP="003923F5">
            <w:pPr>
              <w:jc w:val="right"/>
            </w:pPr>
            <w:r w:rsidRPr="00EE7630">
              <w:rPr>
                <w:sz w:val="40"/>
              </w:rPr>
              <w:t>ECE</w:t>
            </w:r>
            <w:r w:rsidRPr="00EE7630">
              <w:t>/TRANS/WP.29/GRSP/2016/11</w:t>
            </w:r>
          </w:p>
        </w:tc>
      </w:tr>
      <w:tr w:rsidR="00F35BAF" w:rsidRPr="00EE7630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EE7630" w:rsidRDefault="00F35BAF" w:rsidP="00892A2F">
            <w:pPr>
              <w:spacing w:before="120"/>
              <w:jc w:val="center"/>
            </w:pPr>
            <w:r w:rsidRPr="00EE7630">
              <w:rPr>
                <w:noProof/>
                <w:lang w:val="fr-FR" w:eastAsia="fr-FR"/>
              </w:rPr>
              <w:drawing>
                <wp:inline distT="0" distB="0" distL="0" distR="0" wp14:anchorId="2F6799ED" wp14:editId="3488F1D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EE7630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EE7630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EE7630" w:rsidRDefault="003923F5" w:rsidP="00892A2F">
            <w:pPr>
              <w:spacing w:before="240"/>
            </w:pPr>
            <w:r w:rsidRPr="00EE7630">
              <w:t>Distr. générale</w:t>
            </w:r>
          </w:p>
          <w:p w:rsidR="003923F5" w:rsidRPr="00EE7630" w:rsidRDefault="003923F5" w:rsidP="003923F5">
            <w:pPr>
              <w:spacing w:line="240" w:lineRule="exact"/>
            </w:pPr>
            <w:r w:rsidRPr="00EE7630">
              <w:t>26 février 2016</w:t>
            </w:r>
          </w:p>
          <w:p w:rsidR="003923F5" w:rsidRPr="00EE7630" w:rsidRDefault="003923F5" w:rsidP="003923F5">
            <w:pPr>
              <w:spacing w:line="240" w:lineRule="exact"/>
            </w:pPr>
            <w:r w:rsidRPr="00EE7630">
              <w:t>Français</w:t>
            </w:r>
          </w:p>
          <w:p w:rsidR="003923F5" w:rsidRPr="00EE7630" w:rsidRDefault="003923F5" w:rsidP="003923F5">
            <w:pPr>
              <w:spacing w:line="240" w:lineRule="exact"/>
            </w:pPr>
            <w:r w:rsidRPr="00EE7630">
              <w:t>Original : anglais</w:t>
            </w:r>
          </w:p>
        </w:tc>
      </w:tr>
    </w:tbl>
    <w:p w:rsidR="007F20FA" w:rsidRPr="00EE7630" w:rsidRDefault="007F20FA" w:rsidP="007F20FA">
      <w:pPr>
        <w:spacing w:before="120"/>
        <w:rPr>
          <w:b/>
          <w:sz w:val="28"/>
          <w:szCs w:val="28"/>
        </w:rPr>
      </w:pPr>
      <w:r w:rsidRPr="00EE7630">
        <w:rPr>
          <w:b/>
          <w:sz w:val="28"/>
          <w:szCs w:val="28"/>
        </w:rPr>
        <w:t>Commission économique pour l’Europe</w:t>
      </w:r>
    </w:p>
    <w:p w:rsidR="007F20FA" w:rsidRPr="00EE7630" w:rsidRDefault="007F20FA" w:rsidP="002C28ED">
      <w:pPr>
        <w:spacing w:before="120" w:after="120"/>
        <w:rPr>
          <w:sz w:val="28"/>
          <w:szCs w:val="28"/>
        </w:rPr>
      </w:pPr>
      <w:r w:rsidRPr="00EE7630">
        <w:rPr>
          <w:sz w:val="28"/>
          <w:szCs w:val="28"/>
        </w:rPr>
        <w:t>Comité des transports intérieurs</w:t>
      </w:r>
    </w:p>
    <w:p w:rsidR="001A615C" w:rsidRPr="00EE7630" w:rsidRDefault="001A615C" w:rsidP="002C28ED">
      <w:pPr>
        <w:spacing w:after="120"/>
        <w:rPr>
          <w:b/>
          <w:sz w:val="26"/>
          <w:szCs w:val="26"/>
        </w:rPr>
      </w:pPr>
      <w:r w:rsidRPr="00EE7630">
        <w:rPr>
          <w:b/>
          <w:sz w:val="26"/>
          <w:szCs w:val="26"/>
        </w:rPr>
        <w:t xml:space="preserve">Forum mondial de l’harmonisation des Règlements </w:t>
      </w:r>
      <w:r w:rsidRPr="00EE7630">
        <w:rPr>
          <w:b/>
          <w:sz w:val="26"/>
          <w:szCs w:val="26"/>
        </w:rPr>
        <w:br/>
        <w:t xml:space="preserve">concernant les véhicules </w:t>
      </w:r>
    </w:p>
    <w:p w:rsidR="001A615C" w:rsidRPr="00EE7630" w:rsidRDefault="001A615C" w:rsidP="002C28ED">
      <w:pPr>
        <w:spacing w:after="120"/>
        <w:rPr>
          <w:b/>
          <w:bCs/>
          <w:szCs w:val="24"/>
        </w:rPr>
      </w:pPr>
      <w:r w:rsidRPr="00EE7630">
        <w:rPr>
          <w:b/>
          <w:bCs/>
          <w:szCs w:val="24"/>
        </w:rPr>
        <w:t xml:space="preserve">Groupe de travail de la sécurité passive </w:t>
      </w:r>
    </w:p>
    <w:p w:rsidR="001A615C" w:rsidRPr="00EE7630" w:rsidRDefault="001A615C" w:rsidP="001A615C">
      <w:pPr>
        <w:rPr>
          <w:b/>
          <w:szCs w:val="24"/>
        </w:rPr>
      </w:pPr>
      <w:r w:rsidRPr="00EE7630">
        <w:rPr>
          <w:b/>
          <w:szCs w:val="24"/>
        </w:rPr>
        <w:t>Cinquante-neuvième session</w:t>
      </w:r>
    </w:p>
    <w:p w:rsidR="001A615C" w:rsidRPr="00EE7630" w:rsidRDefault="001A615C" w:rsidP="001A615C">
      <w:pPr>
        <w:rPr>
          <w:szCs w:val="24"/>
        </w:rPr>
      </w:pPr>
      <w:r w:rsidRPr="00EE7630">
        <w:rPr>
          <w:szCs w:val="24"/>
        </w:rPr>
        <w:t>Genève, 9-13 mai 2016</w:t>
      </w:r>
    </w:p>
    <w:p w:rsidR="001A615C" w:rsidRPr="00EE7630" w:rsidRDefault="001A615C" w:rsidP="001A615C">
      <w:pPr>
        <w:rPr>
          <w:bCs/>
          <w:szCs w:val="24"/>
        </w:rPr>
      </w:pPr>
      <w:r w:rsidRPr="00EE7630">
        <w:rPr>
          <w:bCs/>
          <w:szCs w:val="24"/>
        </w:rPr>
        <w:t>Point 14 de l’ordre du jour provisoire</w:t>
      </w:r>
    </w:p>
    <w:p w:rsidR="001A615C" w:rsidRPr="00EE7630" w:rsidRDefault="001A615C" w:rsidP="001A615C">
      <w:pPr>
        <w:rPr>
          <w:szCs w:val="24"/>
        </w:rPr>
      </w:pPr>
      <w:r w:rsidRPr="00EE7630">
        <w:rPr>
          <w:b/>
          <w:szCs w:val="24"/>
        </w:rPr>
        <w:t xml:space="preserve">Règlement </w:t>
      </w:r>
      <w:r w:rsidR="00C57011" w:rsidRPr="00EE7630">
        <w:rPr>
          <w:rFonts w:eastAsia="MS Mincho"/>
          <w:b/>
          <w:szCs w:val="24"/>
        </w:rPr>
        <w:t>n</w:t>
      </w:r>
      <w:r w:rsidR="00C57011" w:rsidRPr="00EE7630">
        <w:rPr>
          <w:rFonts w:eastAsia="MS Mincho"/>
          <w:b/>
          <w:szCs w:val="24"/>
          <w:vertAlign w:val="superscript"/>
        </w:rPr>
        <w:t>o</w:t>
      </w:r>
      <w:r w:rsidR="00C57011" w:rsidRPr="00EE7630">
        <w:rPr>
          <w:b/>
          <w:szCs w:val="24"/>
        </w:rPr>
        <w:t> </w:t>
      </w:r>
      <w:r w:rsidRPr="00EE7630">
        <w:rPr>
          <w:b/>
          <w:szCs w:val="24"/>
        </w:rPr>
        <w:t>44 (Dispositifs de retenue pour enfants)</w:t>
      </w:r>
    </w:p>
    <w:p w:rsidR="001A615C" w:rsidRPr="00EE7630" w:rsidRDefault="001A615C" w:rsidP="001A615C">
      <w:pPr>
        <w:pStyle w:val="HChG"/>
      </w:pPr>
      <w:r w:rsidRPr="00EE7630">
        <w:tab/>
      </w:r>
      <w:r w:rsidRPr="00EE7630">
        <w:tab/>
        <w:t xml:space="preserve">Proposition de série 05 d’amendements au Règlement </w:t>
      </w:r>
      <w:r w:rsidR="00426333" w:rsidRPr="00EE7630">
        <w:rPr>
          <w:rFonts w:eastAsia="MS Mincho"/>
        </w:rPr>
        <w:t>n</w:t>
      </w:r>
      <w:r w:rsidR="00426333" w:rsidRPr="00EE7630">
        <w:rPr>
          <w:rFonts w:eastAsia="MS Mincho"/>
          <w:vertAlign w:val="superscript"/>
        </w:rPr>
        <w:t>o</w:t>
      </w:r>
      <w:r w:rsidR="00426333" w:rsidRPr="00EE7630">
        <w:t> </w:t>
      </w:r>
      <w:r w:rsidRPr="00EE7630">
        <w:t>44 (Dispositifs de retenue pour enfants)</w:t>
      </w:r>
    </w:p>
    <w:p w:rsidR="001A615C" w:rsidRPr="00EE7630" w:rsidRDefault="001A615C" w:rsidP="001A615C">
      <w:pPr>
        <w:pStyle w:val="H1G"/>
      </w:pPr>
      <w:r w:rsidRPr="00EE7630">
        <w:tab/>
      </w:r>
      <w:r w:rsidRPr="00EE7630">
        <w:tab/>
        <w:t xml:space="preserve">Communication de l’expert de </w:t>
      </w:r>
      <w:r w:rsidRPr="00EE7630">
        <w:rPr>
          <w:szCs w:val="24"/>
        </w:rPr>
        <w:t xml:space="preserve">Consumers </w:t>
      </w:r>
      <w:r w:rsidRPr="00EE7630">
        <w:t>International</w:t>
      </w:r>
      <w:r w:rsidRPr="00EE7630">
        <w:rPr>
          <w:b w:val="0"/>
          <w:sz w:val="20"/>
        </w:rPr>
        <w:footnoteReference w:customMarkFollows="1" w:id="2"/>
        <w:t>*</w:t>
      </w:r>
    </w:p>
    <w:p w:rsidR="00F9573C" w:rsidRPr="00EE7630" w:rsidRDefault="001A615C" w:rsidP="001A4F7C">
      <w:pPr>
        <w:pStyle w:val="SingleTxtG"/>
        <w:ind w:firstLine="567"/>
        <w:rPr>
          <w:spacing w:val="-2"/>
        </w:rPr>
      </w:pPr>
      <w:r w:rsidRPr="00EE7630">
        <w:rPr>
          <w:spacing w:val="-2"/>
        </w:rPr>
        <w:t xml:space="preserve">Le texte ci-après, établi par l’expert de Consumers International, vise à apporter des modifications au Règlement </w:t>
      </w:r>
      <w:r w:rsidR="00426333" w:rsidRPr="00EE7630">
        <w:rPr>
          <w:rFonts w:eastAsia="MS Mincho"/>
          <w:spacing w:val="-2"/>
        </w:rPr>
        <w:t>n</w:t>
      </w:r>
      <w:r w:rsidR="00426333" w:rsidRPr="00EE7630">
        <w:rPr>
          <w:rFonts w:eastAsia="MS Mincho"/>
          <w:spacing w:val="-2"/>
          <w:vertAlign w:val="superscript"/>
        </w:rPr>
        <w:t>o</w:t>
      </w:r>
      <w:r w:rsidR="00426333" w:rsidRPr="00EE7630">
        <w:rPr>
          <w:spacing w:val="-2"/>
        </w:rPr>
        <w:t> </w:t>
      </w:r>
      <w:r w:rsidRPr="00EE7630">
        <w:rPr>
          <w:spacing w:val="-2"/>
        </w:rPr>
        <w:t>44 (Dispositifs de retenue pour enfants (DRE)). Il est fondé sur les documents informels GRSP-58-9 et GRSP-58-10 distribués à la cinquante-huitième session du Groupe de travail de la sécurité passive (GRSP</w:t>
      </w:r>
      <w:r w:rsidR="00426333" w:rsidRPr="00EE7630">
        <w:rPr>
          <w:spacing w:val="-2"/>
        </w:rPr>
        <w:t>) (ECE/TRANS/WP.29/GRSP/58</w:t>
      </w:r>
      <w:r w:rsidR="00603F15" w:rsidRPr="00EE7630">
        <w:rPr>
          <w:spacing w:val="-2"/>
        </w:rPr>
        <w:t>,</w:t>
      </w:r>
      <w:r w:rsidR="00426333" w:rsidRPr="00EE7630">
        <w:rPr>
          <w:spacing w:val="-2"/>
        </w:rPr>
        <w:t xml:space="preserve"> par. </w:t>
      </w:r>
      <w:r w:rsidRPr="00EE7630">
        <w:rPr>
          <w:spacing w:val="-2"/>
        </w:rPr>
        <w:t>35). Les modifications qu’il est proposé d’apporter au texte actuel du Règlement sont indiquées en caractères gras pour les ajouts et en caractères biffés pour les suppressions.</w:t>
      </w:r>
    </w:p>
    <w:p w:rsidR="001A615C" w:rsidRPr="00EE7630" w:rsidRDefault="001A615C" w:rsidP="001A615C">
      <w:pPr>
        <w:pStyle w:val="HChG"/>
      </w:pPr>
      <w:r w:rsidRPr="00EE7630">
        <w:br w:type="page"/>
      </w:r>
      <w:r w:rsidRPr="00EE7630">
        <w:rPr>
          <w:snapToGrid w:val="0"/>
          <w:lang w:eastAsia="ja-JP"/>
        </w:rPr>
        <w:lastRenderedPageBreak/>
        <w:tab/>
        <w:t>I.</w:t>
      </w:r>
      <w:r w:rsidRPr="00EE7630">
        <w:rPr>
          <w:snapToGrid w:val="0"/>
          <w:lang w:eastAsia="ja-JP"/>
        </w:rPr>
        <w:tab/>
      </w:r>
      <w:r w:rsidRPr="00EE7630">
        <w:t>Proposition</w:t>
      </w:r>
    </w:p>
    <w:p w:rsidR="001A615C" w:rsidRPr="00EE7630" w:rsidRDefault="001A615C" w:rsidP="001A615C">
      <w:pPr>
        <w:pStyle w:val="SingleTxtG"/>
      </w:pPr>
      <w:r w:rsidRPr="00EE7630">
        <w:rPr>
          <w:i/>
        </w:rPr>
        <w:t>Paragraphe 6.1.3</w:t>
      </w:r>
      <w:r w:rsidRPr="00EE7630">
        <w:t>, modifier comme suit :</w:t>
      </w:r>
    </w:p>
    <w:p w:rsidR="001A615C" w:rsidRPr="00EE7630" w:rsidRDefault="003546F0" w:rsidP="001A615C">
      <w:pPr>
        <w:pStyle w:val="SingleTxtG"/>
        <w:ind w:left="2268" w:hanging="1134"/>
        <w:rPr>
          <w:lang w:eastAsia="en-GB"/>
        </w:rPr>
      </w:pPr>
      <w:r w:rsidRPr="00EE7630">
        <w:t>« </w:t>
      </w:r>
      <w:r w:rsidR="001A615C" w:rsidRPr="00EE7630">
        <w:rPr>
          <w:lang w:eastAsia="en-GB"/>
        </w:rPr>
        <w:t>6.1.3</w:t>
      </w:r>
      <w:r w:rsidR="001A615C" w:rsidRPr="00EE7630">
        <w:rPr>
          <w:lang w:eastAsia="en-GB"/>
        </w:rPr>
        <w:tab/>
        <w:t>Selon la catégorie à laquelle il appartient, le dispositif de retenue pour enfants doit être assujetti à la structure du véhicule ou à la structure du siège.</w:t>
      </w:r>
    </w:p>
    <w:p w:rsidR="001A615C" w:rsidRPr="00EE7630" w:rsidRDefault="001A615C" w:rsidP="001A615C">
      <w:pPr>
        <w:pStyle w:val="H23G"/>
      </w:pPr>
      <w:r w:rsidRPr="00EE7630">
        <w:tab/>
      </w:r>
      <w:r w:rsidRPr="00EE7630">
        <w:tab/>
        <w:t>Configurations possibles pour approbation</w:t>
      </w:r>
    </w:p>
    <w:p w:rsidR="001A615C" w:rsidRPr="00EE7630" w:rsidRDefault="001A615C" w:rsidP="001A615C">
      <w:pPr>
        <w:pStyle w:val="Titre1"/>
        <w:spacing w:after="120"/>
        <w:rPr>
          <w:b/>
        </w:rPr>
      </w:pPr>
      <w:r w:rsidRPr="00EE7630">
        <w:rPr>
          <w:b/>
        </w:rPr>
        <w:t>Tableau des groupes par catégorie</w:t>
      </w:r>
    </w:p>
    <w:tbl>
      <w:tblPr>
        <w:tblW w:w="8507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567"/>
        <w:gridCol w:w="850"/>
        <w:gridCol w:w="568"/>
        <w:gridCol w:w="849"/>
        <w:gridCol w:w="568"/>
        <w:gridCol w:w="849"/>
        <w:gridCol w:w="569"/>
        <w:gridCol w:w="852"/>
      </w:tblGrid>
      <w:tr w:rsidR="003546F0" w:rsidRPr="00EE7630" w:rsidTr="004374DE">
        <w:trPr>
          <w:tblHeader/>
        </w:trPr>
        <w:tc>
          <w:tcPr>
            <w:tcW w:w="2835" w:type="dxa"/>
            <w:gridSpan w:val="2"/>
            <w:vMerge w:val="restart"/>
            <w:shd w:val="clear" w:color="auto" w:fill="auto"/>
            <w:vAlign w:val="bottom"/>
          </w:tcPr>
          <w:p w:rsidR="003546F0" w:rsidRPr="00EE7630" w:rsidRDefault="003546F0" w:rsidP="004374DE">
            <w:pPr>
              <w:spacing w:before="80" w:after="80" w:line="200" w:lineRule="exact"/>
              <w:ind w:left="57" w:right="57"/>
              <w:rPr>
                <w:i/>
                <w:sz w:val="14"/>
                <w:szCs w:val="14"/>
              </w:rPr>
            </w:pPr>
            <w:r w:rsidRPr="00EE7630">
              <w:rPr>
                <w:i/>
                <w:sz w:val="14"/>
                <w:szCs w:val="14"/>
              </w:rPr>
              <w:t>Catégorie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3546F0" w:rsidRPr="00EE7630" w:rsidRDefault="003546F0" w:rsidP="00EE7630">
            <w:pPr>
              <w:spacing w:before="80" w:after="80" w:line="200" w:lineRule="exact"/>
              <w:ind w:left="57" w:right="57"/>
              <w:jc w:val="center"/>
              <w:rPr>
                <w:i/>
                <w:sz w:val="14"/>
                <w:szCs w:val="14"/>
              </w:rPr>
            </w:pPr>
            <w:r w:rsidRPr="00EE7630">
              <w:rPr>
                <w:i/>
                <w:sz w:val="14"/>
                <w:szCs w:val="14"/>
              </w:rPr>
              <w:t>Universel</w:t>
            </w:r>
            <w:r w:rsidRPr="00EE7630">
              <w:rPr>
                <w:iCs/>
                <w:sz w:val="14"/>
                <w:szCs w:val="14"/>
                <w:vertAlign w:val="superscript"/>
              </w:rPr>
              <w:t>(1)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3546F0" w:rsidRPr="00EE7630" w:rsidRDefault="003546F0" w:rsidP="004374DE">
            <w:pPr>
              <w:spacing w:before="80" w:after="80" w:line="200" w:lineRule="exact"/>
              <w:ind w:left="57" w:right="57"/>
              <w:jc w:val="center"/>
              <w:rPr>
                <w:i/>
                <w:sz w:val="14"/>
                <w:szCs w:val="14"/>
              </w:rPr>
            </w:pPr>
            <w:r w:rsidRPr="00EE7630">
              <w:rPr>
                <w:i/>
                <w:sz w:val="14"/>
                <w:szCs w:val="14"/>
              </w:rPr>
              <w:t>Semi-universel</w:t>
            </w:r>
            <w:r w:rsidRPr="00EE7630">
              <w:rPr>
                <w:iCs/>
                <w:sz w:val="14"/>
                <w:szCs w:val="14"/>
                <w:vertAlign w:val="superscript"/>
              </w:rPr>
              <w:t>(2)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3546F0" w:rsidRPr="00EE7630" w:rsidRDefault="003546F0" w:rsidP="004374DE">
            <w:pPr>
              <w:spacing w:before="80" w:after="80" w:line="200" w:lineRule="exact"/>
              <w:ind w:left="57" w:right="57"/>
              <w:jc w:val="center"/>
              <w:rPr>
                <w:i/>
                <w:sz w:val="14"/>
                <w:szCs w:val="14"/>
              </w:rPr>
            </w:pPr>
            <w:r w:rsidRPr="00EE7630">
              <w:rPr>
                <w:i/>
                <w:sz w:val="14"/>
                <w:szCs w:val="14"/>
              </w:rPr>
              <w:t>Usage restreint</w:t>
            </w:r>
          </w:p>
        </w:tc>
        <w:tc>
          <w:tcPr>
            <w:tcW w:w="1421" w:type="dxa"/>
            <w:gridSpan w:val="2"/>
            <w:shd w:val="clear" w:color="auto" w:fill="auto"/>
            <w:vAlign w:val="bottom"/>
          </w:tcPr>
          <w:p w:rsidR="003546F0" w:rsidRPr="00EE7630" w:rsidRDefault="003546F0" w:rsidP="004374DE">
            <w:pPr>
              <w:spacing w:before="80" w:after="80" w:line="200" w:lineRule="exact"/>
              <w:ind w:left="57" w:right="57"/>
              <w:jc w:val="center"/>
              <w:rPr>
                <w:i/>
                <w:sz w:val="14"/>
                <w:szCs w:val="14"/>
              </w:rPr>
            </w:pPr>
            <w:r w:rsidRPr="00EE7630">
              <w:rPr>
                <w:i/>
                <w:sz w:val="14"/>
                <w:szCs w:val="14"/>
              </w:rPr>
              <w:t>Spécifique à un véhicule</w:t>
            </w:r>
          </w:p>
        </w:tc>
      </w:tr>
      <w:tr w:rsidR="003546F0" w:rsidRPr="00EE7630" w:rsidTr="004374DE">
        <w:trPr>
          <w:tblHeader/>
        </w:trPr>
        <w:tc>
          <w:tcPr>
            <w:tcW w:w="2835" w:type="dxa"/>
            <w:gridSpan w:val="2"/>
            <w:vMerge/>
            <w:shd w:val="clear" w:color="auto" w:fill="auto"/>
            <w:vAlign w:val="bottom"/>
          </w:tcPr>
          <w:p w:rsidR="003546F0" w:rsidRPr="00EE7630" w:rsidRDefault="003546F0" w:rsidP="004374DE">
            <w:pPr>
              <w:spacing w:before="80" w:after="80" w:line="200" w:lineRule="exact"/>
              <w:ind w:left="57" w:right="57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546F0" w:rsidRPr="00EE7630" w:rsidRDefault="003546F0" w:rsidP="004374DE">
            <w:pPr>
              <w:spacing w:before="80" w:after="80" w:line="200" w:lineRule="exact"/>
              <w:ind w:left="57" w:right="57"/>
              <w:rPr>
                <w:i/>
                <w:sz w:val="14"/>
                <w:szCs w:val="14"/>
              </w:rPr>
            </w:pPr>
            <w:r w:rsidRPr="00EE7630">
              <w:rPr>
                <w:i/>
                <w:sz w:val="14"/>
                <w:szCs w:val="14"/>
              </w:rPr>
              <w:t>DRE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46F0" w:rsidRPr="00EE7630" w:rsidRDefault="003546F0" w:rsidP="004374DE">
            <w:pPr>
              <w:spacing w:before="80" w:after="80" w:line="200" w:lineRule="exact"/>
              <w:ind w:left="57" w:right="57"/>
              <w:rPr>
                <w:i/>
                <w:sz w:val="14"/>
                <w:szCs w:val="14"/>
              </w:rPr>
            </w:pPr>
            <w:r w:rsidRPr="00EE7630">
              <w:rPr>
                <w:i/>
                <w:sz w:val="14"/>
                <w:szCs w:val="14"/>
              </w:rPr>
              <w:t xml:space="preserve">DRE ISOFIX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546F0" w:rsidRPr="00EE7630" w:rsidRDefault="003546F0" w:rsidP="004374DE">
            <w:pPr>
              <w:spacing w:before="80" w:after="80" w:line="200" w:lineRule="exact"/>
              <w:ind w:left="57" w:right="57"/>
              <w:rPr>
                <w:i/>
                <w:sz w:val="14"/>
                <w:szCs w:val="14"/>
              </w:rPr>
            </w:pPr>
            <w:r w:rsidRPr="00EE7630">
              <w:rPr>
                <w:i/>
                <w:sz w:val="14"/>
                <w:szCs w:val="14"/>
              </w:rPr>
              <w:t>DRE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3546F0" w:rsidRPr="00EE7630" w:rsidRDefault="003546F0" w:rsidP="004374DE">
            <w:pPr>
              <w:spacing w:before="80" w:after="80" w:line="200" w:lineRule="exact"/>
              <w:ind w:left="57" w:right="57"/>
              <w:rPr>
                <w:i/>
                <w:sz w:val="14"/>
                <w:szCs w:val="14"/>
              </w:rPr>
            </w:pPr>
            <w:r w:rsidRPr="00EE7630">
              <w:rPr>
                <w:i/>
                <w:sz w:val="14"/>
                <w:szCs w:val="14"/>
              </w:rPr>
              <w:t>DRE ISOFIX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546F0" w:rsidRPr="00EE7630" w:rsidRDefault="003546F0" w:rsidP="004374DE">
            <w:pPr>
              <w:spacing w:before="80" w:after="80" w:line="200" w:lineRule="exact"/>
              <w:ind w:left="57" w:right="57"/>
              <w:rPr>
                <w:i/>
                <w:sz w:val="14"/>
                <w:szCs w:val="14"/>
              </w:rPr>
            </w:pPr>
            <w:r w:rsidRPr="00EE7630">
              <w:rPr>
                <w:i/>
                <w:sz w:val="14"/>
                <w:szCs w:val="14"/>
              </w:rPr>
              <w:t>DRE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3546F0" w:rsidRPr="00EE7630" w:rsidRDefault="003546F0" w:rsidP="004374DE">
            <w:pPr>
              <w:spacing w:before="80" w:after="80" w:line="200" w:lineRule="exact"/>
              <w:ind w:left="57" w:right="57"/>
              <w:rPr>
                <w:i/>
                <w:sz w:val="14"/>
                <w:szCs w:val="14"/>
              </w:rPr>
            </w:pPr>
            <w:r w:rsidRPr="00EE7630">
              <w:rPr>
                <w:i/>
                <w:sz w:val="14"/>
                <w:szCs w:val="14"/>
              </w:rPr>
              <w:t xml:space="preserve">DRE ISOFIX 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3546F0" w:rsidRPr="00EE7630" w:rsidRDefault="003546F0" w:rsidP="004374DE">
            <w:pPr>
              <w:spacing w:before="80" w:after="80" w:line="200" w:lineRule="exact"/>
              <w:ind w:left="57" w:right="57"/>
              <w:rPr>
                <w:i/>
                <w:sz w:val="14"/>
                <w:szCs w:val="14"/>
              </w:rPr>
            </w:pPr>
            <w:r w:rsidRPr="00EE7630">
              <w:rPr>
                <w:i/>
                <w:sz w:val="14"/>
                <w:szCs w:val="14"/>
              </w:rPr>
              <w:t>DRE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3546F0" w:rsidRPr="00EE7630" w:rsidRDefault="003546F0" w:rsidP="004374DE">
            <w:pPr>
              <w:spacing w:before="80" w:after="80" w:line="200" w:lineRule="exact"/>
              <w:ind w:left="57" w:right="57"/>
              <w:rPr>
                <w:i/>
                <w:sz w:val="14"/>
                <w:szCs w:val="14"/>
              </w:rPr>
            </w:pPr>
            <w:r w:rsidRPr="00EE7630">
              <w:rPr>
                <w:i/>
                <w:sz w:val="14"/>
                <w:szCs w:val="14"/>
              </w:rPr>
              <w:t xml:space="preserve">DRE ISOFIX </w:t>
            </w:r>
          </w:p>
        </w:tc>
      </w:tr>
      <w:tr w:rsidR="003546F0" w:rsidRPr="00EE7630" w:rsidTr="004374DE">
        <w:tc>
          <w:tcPr>
            <w:tcW w:w="426" w:type="dxa"/>
            <w:vMerge w:val="restart"/>
            <w:shd w:val="clear" w:color="auto" w:fill="auto"/>
            <w:vAlign w:val="center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Nacelle</w:t>
            </w:r>
          </w:p>
        </w:tc>
        <w:tc>
          <w:tcPr>
            <w:tcW w:w="567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8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4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  <w:r w:rsidRPr="00EE7630">
              <w:rPr>
                <w:b/>
                <w:sz w:val="18"/>
                <w:szCs w:val="18"/>
              </w:rPr>
              <w:t>/NA</w:t>
            </w:r>
            <w:r w:rsidRPr="00EE7630">
              <w:rPr>
                <w:b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568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4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52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  <w:r w:rsidRPr="00EE7630">
              <w:rPr>
                <w:b/>
                <w:sz w:val="18"/>
                <w:szCs w:val="18"/>
              </w:rPr>
              <w:t>/NA</w:t>
            </w:r>
            <w:r w:rsidRPr="00EE7630">
              <w:rPr>
                <w:b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</w:tr>
      <w:tr w:rsidR="003546F0" w:rsidRPr="00EE7630" w:rsidTr="004374DE">
        <w:tc>
          <w:tcPr>
            <w:tcW w:w="426" w:type="dxa"/>
            <w:vMerge/>
            <w:shd w:val="clear" w:color="auto" w:fill="auto"/>
            <w:vAlign w:val="center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 xml:space="preserve">Dos à la route </w:t>
            </w:r>
          </w:p>
        </w:tc>
        <w:tc>
          <w:tcPr>
            <w:tcW w:w="567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8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4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  <w:r w:rsidRPr="00EE7630">
              <w:rPr>
                <w:b/>
                <w:sz w:val="18"/>
                <w:szCs w:val="18"/>
              </w:rPr>
              <w:t>/NA</w:t>
            </w:r>
            <w:r w:rsidRPr="00EE7630">
              <w:rPr>
                <w:b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568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4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52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  <w:r w:rsidRPr="00EE7630">
              <w:rPr>
                <w:b/>
                <w:sz w:val="18"/>
                <w:szCs w:val="18"/>
              </w:rPr>
              <w:t>/NA</w:t>
            </w:r>
            <w:r w:rsidRPr="00EE7630">
              <w:rPr>
                <w:b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</w:tr>
      <w:tr w:rsidR="003546F0" w:rsidRPr="00EE7630" w:rsidTr="004374DE">
        <w:tc>
          <w:tcPr>
            <w:tcW w:w="426" w:type="dxa"/>
            <w:shd w:val="clear" w:color="auto" w:fill="auto"/>
            <w:vAlign w:val="center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0+</w:t>
            </w:r>
          </w:p>
        </w:tc>
        <w:tc>
          <w:tcPr>
            <w:tcW w:w="240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 xml:space="preserve">Dos à la route </w:t>
            </w:r>
          </w:p>
        </w:tc>
        <w:tc>
          <w:tcPr>
            <w:tcW w:w="567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8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4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  <w:r w:rsidRPr="00EE7630">
              <w:rPr>
                <w:b/>
                <w:sz w:val="18"/>
                <w:szCs w:val="18"/>
              </w:rPr>
              <w:t>/NA</w:t>
            </w:r>
            <w:r w:rsidRPr="00EE7630">
              <w:rPr>
                <w:b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568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4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52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  <w:r w:rsidRPr="00EE7630">
              <w:rPr>
                <w:b/>
                <w:sz w:val="18"/>
                <w:szCs w:val="18"/>
              </w:rPr>
              <w:t>/NA</w:t>
            </w:r>
            <w:r w:rsidRPr="00EE7630">
              <w:rPr>
                <w:b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</w:tr>
      <w:tr w:rsidR="003546F0" w:rsidRPr="00EE7630" w:rsidTr="004374DE">
        <w:tc>
          <w:tcPr>
            <w:tcW w:w="426" w:type="dxa"/>
            <w:vMerge w:val="restart"/>
            <w:shd w:val="clear" w:color="auto" w:fill="auto"/>
            <w:vAlign w:val="center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I</w:t>
            </w:r>
          </w:p>
        </w:tc>
        <w:tc>
          <w:tcPr>
            <w:tcW w:w="240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 xml:space="preserve">Dos à la route </w:t>
            </w:r>
          </w:p>
        </w:tc>
        <w:tc>
          <w:tcPr>
            <w:tcW w:w="567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8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4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  <w:r w:rsidRPr="00EE7630">
              <w:rPr>
                <w:b/>
                <w:sz w:val="18"/>
                <w:szCs w:val="18"/>
              </w:rPr>
              <w:t>/NA</w:t>
            </w:r>
            <w:r w:rsidRPr="00EE7630">
              <w:rPr>
                <w:b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568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4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52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  <w:r w:rsidRPr="00EE7630">
              <w:rPr>
                <w:b/>
                <w:sz w:val="18"/>
                <w:szCs w:val="18"/>
              </w:rPr>
              <w:t>/NA</w:t>
            </w:r>
            <w:r w:rsidRPr="00EE7630">
              <w:rPr>
                <w:b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</w:tr>
      <w:tr w:rsidR="003546F0" w:rsidRPr="00EE7630" w:rsidTr="004374DE">
        <w:tc>
          <w:tcPr>
            <w:tcW w:w="426" w:type="dxa"/>
            <w:vMerge/>
            <w:shd w:val="clear" w:color="auto" w:fill="auto"/>
            <w:vAlign w:val="center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Face à la route (intégral)</w:t>
            </w:r>
          </w:p>
        </w:tc>
        <w:tc>
          <w:tcPr>
            <w:tcW w:w="567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  <w:r w:rsidR="007B1C5A" w:rsidRPr="00EE7630">
              <w:rPr>
                <w:b/>
                <w:sz w:val="18"/>
                <w:szCs w:val="18"/>
              </w:rPr>
              <w:t>/</w:t>
            </w:r>
            <w:r w:rsidRPr="00EE7630">
              <w:rPr>
                <w:b/>
                <w:sz w:val="18"/>
                <w:szCs w:val="18"/>
              </w:rPr>
              <w:t>NA</w:t>
            </w:r>
            <w:r w:rsidRPr="00EE7630">
              <w:rPr>
                <w:b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568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4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  <w:r w:rsidRPr="00EE7630">
              <w:rPr>
                <w:b/>
                <w:sz w:val="18"/>
                <w:szCs w:val="18"/>
              </w:rPr>
              <w:t>/NA</w:t>
            </w:r>
            <w:r w:rsidRPr="00EE7630">
              <w:rPr>
                <w:b/>
                <w:i/>
                <w:iCs/>
                <w:sz w:val="18"/>
                <w:szCs w:val="18"/>
                <w:vertAlign w:val="superscript"/>
              </w:rPr>
              <w:t>(3</w:t>
            </w:r>
            <w:r w:rsidRPr="00EE7630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68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4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52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  <w:r w:rsidRPr="00EE7630">
              <w:rPr>
                <w:b/>
                <w:sz w:val="18"/>
                <w:szCs w:val="18"/>
              </w:rPr>
              <w:t>/NA</w:t>
            </w:r>
            <w:r w:rsidRPr="00EE7630">
              <w:rPr>
                <w:b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</w:tr>
      <w:tr w:rsidR="003546F0" w:rsidRPr="00EE7630" w:rsidTr="004374DE">
        <w:tc>
          <w:tcPr>
            <w:tcW w:w="426" w:type="dxa"/>
            <w:vMerge/>
            <w:shd w:val="clear" w:color="auto" w:fill="auto"/>
            <w:vAlign w:val="center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Face à la route (non intégral)</w:t>
            </w:r>
          </w:p>
        </w:tc>
        <w:tc>
          <w:tcPr>
            <w:tcW w:w="567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850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8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84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8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84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852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</w:tr>
      <w:tr w:rsidR="003546F0" w:rsidRPr="00EE7630" w:rsidTr="004374DE">
        <w:tc>
          <w:tcPr>
            <w:tcW w:w="426" w:type="dxa"/>
            <w:vMerge/>
            <w:shd w:val="clear" w:color="auto" w:fill="auto"/>
            <w:vAlign w:val="center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 xml:space="preserve">Face à la route (non intégral </w:t>
            </w:r>
            <w:r w:rsidR="007B1C5A" w:rsidRPr="00EE7630">
              <w:rPr>
                <w:sz w:val="18"/>
                <w:szCs w:val="18"/>
              </w:rPr>
              <w:t>−</w:t>
            </w:r>
            <w:r w:rsidRPr="00EE7630">
              <w:rPr>
                <w:sz w:val="18"/>
                <w:szCs w:val="18"/>
              </w:rPr>
              <w:t xml:space="preserve"> voir le paragraphe 6.1.12)</w:t>
            </w:r>
          </w:p>
        </w:tc>
        <w:tc>
          <w:tcPr>
            <w:tcW w:w="567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8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4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8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4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52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  <w:r w:rsidRPr="00EE7630">
              <w:rPr>
                <w:b/>
                <w:sz w:val="18"/>
                <w:szCs w:val="18"/>
              </w:rPr>
              <w:t>/NA</w:t>
            </w:r>
            <w:r w:rsidRPr="00EE7630">
              <w:rPr>
                <w:b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</w:tr>
      <w:tr w:rsidR="003546F0" w:rsidRPr="00EE7630" w:rsidTr="004374DE">
        <w:tc>
          <w:tcPr>
            <w:tcW w:w="426" w:type="dxa"/>
            <w:vMerge w:val="restart"/>
            <w:shd w:val="clear" w:color="auto" w:fill="auto"/>
            <w:vAlign w:val="center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  <w:u w:val="single"/>
              </w:rPr>
            </w:pPr>
            <w:r w:rsidRPr="00EE7630">
              <w:rPr>
                <w:sz w:val="18"/>
                <w:szCs w:val="18"/>
              </w:rPr>
              <w:t>II</w:t>
            </w:r>
          </w:p>
        </w:tc>
        <w:tc>
          <w:tcPr>
            <w:tcW w:w="240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 xml:space="preserve">Dos à la route </w:t>
            </w:r>
          </w:p>
        </w:tc>
        <w:tc>
          <w:tcPr>
            <w:tcW w:w="567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8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4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8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4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52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</w:tr>
      <w:tr w:rsidR="003546F0" w:rsidRPr="00EE7630" w:rsidTr="004374DE">
        <w:tc>
          <w:tcPr>
            <w:tcW w:w="426" w:type="dxa"/>
            <w:vMerge/>
            <w:shd w:val="clear" w:color="auto" w:fill="auto"/>
            <w:vAlign w:val="center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Face à la route (intégral)</w:t>
            </w:r>
          </w:p>
        </w:tc>
        <w:tc>
          <w:tcPr>
            <w:tcW w:w="567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8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4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8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4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52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</w:tr>
      <w:tr w:rsidR="003546F0" w:rsidRPr="00EE7630" w:rsidTr="004374DE">
        <w:tc>
          <w:tcPr>
            <w:tcW w:w="426" w:type="dxa"/>
            <w:vMerge/>
            <w:shd w:val="clear" w:color="auto" w:fill="auto"/>
            <w:vAlign w:val="center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Face à la route (non intégral)</w:t>
            </w:r>
          </w:p>
        </w:tc>
        <w:tc>
          <w:tcPr>
            <w:tcW w:w="567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8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4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8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4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52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</w:tr>
      <w:tr w:rsidR="003546F0" w:rsidRPr="00EE7630" w:rsidTr="004374DE">
        <w:tc>
          <w:tcPr>
            <w:tcW w:w="426" w:type="dxa"/>
            <w:vMerge w:val="restart"/>
            <w:shd w:val="clear" w:color="auto" w:fill="auto"/>
            <w:vAlign w:val="center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b/>
                <w:bCs/>
                <w:sz w:val="18"/>
                <w:szCs w:val="18"/>
                <w:u w:val="single"/>
              </w:rPr>
            </w:pPr>
            <w:r w:rsidRPr="00EE7630">
              <w:rPr>
                <w:sz w:val="18"/>
                <w:szCs w:val="18"/>
              </w:rPr>
              <w:t>III</w:t>
            </w:r>
          </w:p>
        </w:tc>
        <w:tc>
          <w:tcPr>
            <w:tcW w:w="240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 xml:space="preserve">Dos à la route </w:t>
            </w:r>
          </w:p>
        </w:tc>
        <w:tc>
          <w:tcPr>
            <w:tcW w:w="567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8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4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8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4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52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</w:tr>
      <w:tr w:rsidR="003546F0" w:rsidRPr="00EE7630" w:rsidTr="004374DE">
        <w:tc>
          <w:tcPr>
            <w:tcW w:w="426" w:type="dxa"/>
            <w:vMerge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Face à la route (intégral)</w:t>
            </w:r>
          </w:p>
        </w:tc>
        <w:tc>
          <w:tcPr>
            <w:tcW w:w="567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8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4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8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4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9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52" w:type="dxa"/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</w:tr>
      <w:tr w:rsidR="003546F0" w:rsidRPr="00EE7630" w:rsidTr="004374DE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Face à la route (non intégral)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1A615C" w:rsidRPr="00EE7630" w:rsidRDefault="001A615C" w:rsidP="004374DE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</w:p>
        </w:tc>
      </w:tr>
      <w:tr w:rsidR="001A615C" w:rsidRPr="00EE7630" w:rsidTr="004374DE">
        <w:trPr>
          <w:trHeight w:val="465"/>
        </w:trPr>
        <w:tc>
          <w:tcPr>
            <w:tcW w:w="8507" w:type="dxa"/>
            <w:gridSpan w:val="10"/>
            <w:tcBorders>
              <w:bottom w:val="nil"/>
            </w:tcBorders>
            <w:shd w:val="clear" w:color="auto" w:fill="auto"/>
          </w:tcPr>
          <w:p w:rsidR="001A615C" w:rsidRPr="00EE7630" w:rsidRDefault="001A615C" w:rsidP="004374DE">
            <w:pPr>
              <w:spacing w:before="120" w:line="220" w:lineRule="atLeast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Où</w:t>
            </w:r>
            <w:r w:rsidR="007B1C5A" w:rsidRPr="00EE7630">
              <w:rPr>
                <w:sz w:val="18"/>
                <w:szCs w:val="18"/>
              </w:rPr>
              <w:t> :</w:t>
            </w:r>
          </w:p>
          <w:p w:rsidR="001A615C" w:rsidRPr="00EE7630" w:rsidRDefault="001A615C" w:rsidP="00EE7630">
            <w:pPr>
              <w:spacing w:line="220" w:lineRule="atLeast"/>
              <w:ind w:left="567" w:right="57" w:hanging="510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DRE</w:t>
            </w:r>
            <w:r w:rsidR="007B1C5A" w:rsidRPr="00EE7630">
              <w:rPr>
                <w:sz w:val="18"/>
                <w:szCs w:val="18"/>
              </w:rPr>
              <w:t> :</w:t>
            </w:r>
            <w:r w:rsidR="007B1C5A" w:rsidRPr="00EE7630">
              <w:rPr>
                <w:sz w:val="18"/>
                <w:szCs w:val="18"/>
              </w:rPr>
              <w:tab/>
            </w:r>
            <w:r w:rsidRPr="00EE7630">
              <w:rPr>
                <w:sz w:val="18"/>
                <w:szCs w:val="18"/>
              </w:rPr>
              <w:t>Dispositif de retenue pour enfants</w:t>
            </w:r>
          </w:p>
          <w:p w:rsidR="001A615C" w:rsidRPr="00EE7630" w:rsidRDefault="001A615C" w:rsidP="00EE7630">
            <w:pPr>
              <w:spacing w:line="220" w:lineRule="atLeast"/>
              <w:ind w:left="567" w:right="57" w:hanging="510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A</w:t>
            </w:r>
            <w:r w:rsidR="007B1C5A" w:rsidRPr="00EE7630">
              <w:rPr>
                <w:sz w:val="18"/>
                <w:szCs w:val="18"/>
              </w:rPr>
              <w:t> </w:t>
            </w:r>
            <w:r w:rsidRPr="00EE7630">
              <w:rPr>
                <w:sz w:val="18"/>
                <w:szCs w:val="18"/>
              </w:rPr>
              <w:t xml:space="preserve">: </w:t>
            </w:r>
            <w:r w:rsidRPr="00EE7630">
              <w:rPr>
                <w:sz w:val="18"/>
                <w:szCs w:val="18"/>
              </w:rPr>
              <w:tab/>
              <w:t>Applicable</w:t>
            </w:r>
          </w:p>
          <w:p w:rsidR="001A615C" w:rsidRPr="00EE7630" w:rsidRDefault="001A615C" w:rsidP="00EE7630">
            <w:pPr>
              <w:spacing w:line="220" w:lineRule="atLeast"/>
              <w:ind w:left="567" w:right="57" w:hanging="510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NA</w:t>
            </w:r>
            <w:r w:rsidR="007B1C5A" w:rsidRPr="00EE7630">
              <w:rPr>
                <w:sz w:val="18"/>
                <w:szCs w:val="18"/>
              </w:rPr>
              <w:t> </w:t>
            </w:r>
            <w:r w:rsidRPr="00EE7630">
              <w:rPr>
                <w:sz w:val="18"/>
                <w:szCs w:val="18"/>
              </w:rPr>
              <w:t xml:space="preserve">: </w:t>
            </w:r>
            <w:r w:rsidRPr="00EE7630">
              <w:rPr>
                <w:sz w:val="18"/>
                <w:szCs w:val="18"/>
              </w:rPr>
              <w:tab/>
              <w:t>Non applicable</w:t>
            </w:r>
          </w:p>
          <w:p w:rsidR="001A615C" w:rsidRPr="00EE7630" w:rsidRDefault="007B1C5A" w:rsidP="004374DE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_____________</w:t>
            </w:r>
          </w:p>
          <w:p w:rsidR="001A615C" w:rsidRPr="00EE7630" w:rsidRDefault="001A615C" w:rsidP="004374DE">
            <w:pPr>
              <w:spacing w:before="60" w:line="220" w:lineRule="atLeast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  <w:vertAlign w:val="superscript"/>
              </w:rPr>
              <w:t>(1)</w:t>
            </w:r>
            <w:r w:rsidRPr="00EE7630">
              <w:rPr>
                <w:sz w:val="18"/>
                <w:szCs w:val="18"/>
              </w:rPr>
              <w:tab/>
              <w:t>Un DRE ISOFIX universel est un dispositif de retenue pour enfants faisant face à la route pour utilisation dans des véhicules avec des positions ISOFIX munies d’un ancrage de fixation supérieure ISOFIX.</w:t>
            </w:r>
          </w:p>
          <w:p w:rsidR="001A615C" w:rsidRPr="00EE7630" w:rsidRDefault="001A615C" w:rsidP="004374DE">
            <w:pPr>
              <w:spacing w:line="220" w:lineRule="atLeast"/>
              <w:ind w:left="57" w:right="57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  <w:vertAlign w:val="superscript"/>
              </w:rPr>
              <w:t>(2)</w:t>
            </w:r>
            <w:r w:rsidRPr="00EE7630">
              <w:rPr>
                <w:sz w:val="18"/>
                <w:szCs w:val="18"/>
              </w:rPr>
              <w:tab/>
              <w:t>Un DRE ISOFIX semi universel est</w:t>
            </w:r>
            <w:r w:rsidR="007B1C5A" w:rsidRPr="00EE7630">
              <w:rPr>
                <w:sz w:val="18"/>
                <w:szCs w:val="18"/>
              </w:rPr>
              <w:t> </w:t>
            </w:r>
            <w:r w:rsidRPr="00EE7630">
              <w:rPr>
                <w:sz w:val="18"/>
                <w:szCs w:val="18"/>
              </w:rPr>
              <w:t>:</w:t>
            </w:r>
          </w:p>
          <w:p w:rsidR="001A615C" w:rsidRPr="00EE7630" w:rsidRDefault="001A615C" w:rsidP="004374DE">
            <w:pPr>
              <w:pStyle w:val="Bullet1G"/>
              <w:spacing w:after="0" w:line="220" w:lineRule="atLeast"/>
              <w:ind w:left="567" w:right="57" w:hanging="510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Un dispositif de retenue pour enfants face à la route équipé d’une jambe de force</w:t>
            </w:r>
            <w:r w:rsidR="005E08B1" w:rsidRPr="00EE7630">
              <w:rPr>
                <w:sz w:val="18"/>
                <w:szCs w:val="18"/>
              </w:rPr>
              <w:t> </w:t>
            </w:r>
            <w:r w:rsidRPr="00EE7630">
              <w:rPr>
                <w:sz w:val="18"/>
                <w:szCs w:val="18"/>
              </w:rPr>
              <w:t xml:space="preserve">; ou </w:t>
            </w:r>
          </w:p>
          <w:p w:rsidR="001A615C" w:rsidRPr="00EE7630" w:rsidRDefault="001A615C" w:rsidP="004374DE">
            <w:pPr>
              <w:pStyle w:val="Bullet1G"/>
              <w:spacing w:after="0" w:line="220" w:lineRule="atLeast"/>
              <w:ind w:left="567" w:right="57" w:hanging="510"/>
              <w:rPr>
                <w:spacing w:val="-2"/>
                <w:sz w:val="18"/>
                <w:szCs w:val="18"/>
              </w:rPr>
            </w:pPr>
            <w:r w:rsidRPr="00EE7630">
              <w:rPr>
                <w:spacing w:val="-2"/>
                <w:sz w:val="18"/>
                <w:szCs w:val="18"/>
              </w:rPr>
              <w:t>Un dispositif de retenue pour enfants dos à la route équipé d’une jambe de force ou d’une sangle de fixation</w:t>
            </w:r>
            <w:r w:rsidR="005E08B1" w:rsidRPr="00EE7630">
              <w:rPr>
                <w:spacing w:val="-2"/>
                <w:sz w:val="18"/>
                <w:szCs w:val="18"/>
              </w:rPr>
              <w:t xml:space="preserve"> </w:t>
            </w:r>
            <w:r w:rsidRPr="00EE7630">
              <w:rPr>
                <w:spacing w:val="-2"/>
                <w:sz w:val="18"/>
                <w:szCs w:val="18"/>
              </w:rPr>
              <w:t xml:space="preserve">supérieure ISOFIX, pour utilisation dans des véhicules </w:t>
            </w:r>
            <w:r w:rsidRPr="00EE7630">
              <w:rPr>
                <w:sz w:val="18"/>
                <w:szCs w:val="18"/>
              </w:rPr>
              <w:t>avec</w:t>
            </w:r>
            <w:r w:rsidRPr="00EE7630">
              <w:rPr>
                <w:spacing w:val="-2"/>
                <w:sz w:val="18"/>
                <w:szCs w:val="18"/>
              </w:rPr>
              <w:t xml:space="preserve"> des positions ISOFIX munies d’un ancrage de fixation supérieure ISOFIX si nécessaire</w:t>
            </w:r>
            <w:r w:rsidR="005E08B1" w:rsidRPr="00EE7630">
              <w:rPr>
                <w:spacing w:val="-2"/>
                <w:sz w:val="18"/>
                <w:szCs w:val="18"/>
              </w:rPr>
              <w:t> </w:t>
            </w:r>
            <w:r w:rsidRPr="00EE7630">
              <w:rPr>
                <w:spacing w:val="-2"/>
                <w:sz w:val="18"/>
                <w:szCs w:val="18"/>
              </w:rPr>
              <w:t>; ou</w:t>
            </w:r>
          </w:p>
          <w:p w:rsidR="001A615C" w:rsidRPr="00EE7630" w:rsidRDefault="001A615C" w:rsidP="004374DE">
            <w:pPr>
              <w:pStyle w:val="Bullet1G"/>
              <w:spacing w:after="0" w:line="220" w:lineRule="atLeast"/>
              <w:ind w:left="567" w:right="57" w:hanging="510"/>
              <w:rPr>
                <w:b/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t>Un dispositif de retenue pour enfants dos à la route, appuyé sur la planche de bord du véhicule, pour utilisation sur le siège passager avant équipé d’un système d’</w:t>
            </w:r>
            <w:r w:rsidR="005E08B1" w:rsidRPr="00EE7630">
              <w:rPr>
                <w:sz w:val="18"/>
                <w:szCs w:val="18"/>
              </w:rPr>
              <w:t>ancrages ISOFIX ;</w:t>
            </w:r>
          </w:p>
        </w:tc>
      </w:tr>
      <w:tr w:rsidR="003546F0" w:rsidRPr="00EE7630" w:rsidTr="004374DE">
        <w:trPr>
          <w:trHeight w:val="465"/>
        </w:trPr>
        <w:tc>
          <w:tcPr>
            <w:tcW w:w="8507" w:type="dxa"/>
            <w:gridSpan w:val="10"/>
            <w:tcBorders>
              <w:top w:val="nil"/>
            </w:tcBorders>
            <w:shd w:val="clear" w:color="auto" w:fill="auto"/>
          </w:tcPr>
          <w:p w:rsidR="003546F0" w:rsidRPr="00EE7630" w:rsidRDefault="003546F0" w:rsidP="00270DFD">
            <w:pPr>
              <w:pStyle w:val="Bullet1G"/>
              <w:spacing w:before="60" w:after="0" w:line="220" w:lineRule="atLeast"/>
              <w:ind w:left="567" w:right="57" w:hanging="510"/>
              <w:rPr>
                <w:sz w:val="18"/>
                <w:szCs w:val="18"/>
              </w:rPr>
            </w:pPr>
            <w:r w:rsidRPr="00EE7630">
              <w:rPr>
                <w:sz w:val="18"/>
                <w:szCs w:val="18"/>
              </w:rPr>
              <w:lastRenderedPageBreak/>
              <w:t xml:space="preserve">Un dispositif de retenue pour enfants latéral équipé si besoin d’un dispositif antirotation, pour utilisation dans des véhicules avec des positions ISOFIX </w:t>
            </w:r>
            <w:r w:rsidRPr="00EE7630">
              <w:t>munies</w:t>
            </w:r>
            <w:r w:rsidRPr="00EE7630">
              <w:rPr>
                <w:sz w:val="18"/>
                <w:szCs w:val="18"/>
              </w:rPr>
              <w:t xml:space="preserve"> d’un ancrage de fixation supérieure si nécessaire.</w:t>
            </w:r>
          </w:p>
          <w:p w:rsidR="003546F0" w:rsidRPr="00EE7630" w:rsidRDefault="003546F0" w:rsidP="004374DE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EE7630">
              <w:rPr>
                <w:b/>
                <w:sz w:val="18"/>
                <w:szCs w:val="18"/>
                <w:vertAlign w:val="superscript"/>
              </w:rPr>
              <w:t>(3)</w:t>
            </w:r>
            <w:r w:rsidRPr="00EE7630">
              <w:rPr>
                <w:b/>
                <w:sz w:val="18"/>
                <w:szCs w:val="18"/>
              </w:rPr>
              <w:tab/>
              <w:t xml:space="preserve">Aucune homologation nouvelle ne doit être accordée pour un DRE ISOFIX universel, semi-universel ou spécifiques à un véhicule du groupe 0, du groupe 0+ et du groupe I à compter du [16 novembre 2016]. Les extensions d’homologation ne peuvent être refusées pour un DRE homologué avant cette date. </w:t>
            </w:r>
          </w:p>
        </w:tc>
      </w:tr>
    </w:tbl>
    <w:p w:rsidR="00BF0960" w:rsidRPr="00EE7630" w:rsidRDefault="007D075E" w:rsidP="001A615C">
      <w:pPr>
        <w:pStyle w:val="SingleTxtG"/>
        <w:spacing w:before="120"/>
        <w:ind w:right="0"/>
        <w:jc w:val="right"/>
      </w:pPr>
      <w:r w:rsidRPr="00EE7630">
        <w:t>.</w:t>
      </w:r>
      <w:r w:rsidR="001A615C" w:rsidRPr="00EE7630">
        <w:t> ».</w:t>
      </w:r>
    </w:p>
    <w:p w:rsidR="00BF0960" w:rsidRPr="00EE7630" w:rsidRDefault="007D075E" w:rsidP="001A615C">
      <w:pPr>
        <w:pStyle w:val="SingleTxtG"/>
      </w:pPr>
      <w:r w:rsidRPr="00EE7630">
        <w:rPr>
          <w:i/>
        </w:rPr>
        <w:t>Ajouter de nouveaux paragraphes 17.16 et 17.17</w:t>
      </w:r>
      <w:r w:rsidRPr="00EE7630">
        <w:t>, ainsi conçus</w:t>
      </w:r>
      <w:r w:rsidR="001A615C" w:rsidRPr="00EE7630">
        <w:t> </w:t>
      </w:r>
      <w:r w:rsidRPr="00EE7630">
        <w:t>:</w:t>
      </w:r>
    </w:p>
    <w:p w:rsidR="00BF0960" w:rsidRPr="00EE7630" w:rsidRDefault="001A615C" w:rsidP="001A615C">
      <w:pPr>
        <w:pStyle w:val="SingleTxtG"/>
        <w:ind w:left="2268" w:hanging="1134"/>
        <w:rPr>
          <w:b/>
        </w:rPr>
      </w:pPr>
      <w:r w:rsidRPr="00EE7630">
        <w:t>« </w:t>
      </w:r>
      <w:r w:rsidR="007D075E" w:rsidRPr="00EE7630">
        <w:rPr>
          <w:b/>
        </w:rPr>
        <w:t>17.16</w:t>
      </w:r>
      <w:r w:rsidR="007D075E" w:rsidRPr="00EE7630">
        <w:rPr>
          <w:b/>
        </w:rPr>
        <w:tab/>
        <w:t>À compter du [16 novembre 2016], aucune nouvelle homologation ne doit être accordée au titre du présent Règlement pour un DRE du groupe 0, du groupe 0+ ou du groupe I équipé d</w:t>
      </w:r>
      <w:r w:rsidRPr="00EE7630">
        <w:rPr>
          <w:b/>
        </w:rPr>
        <w:t>’</w:t>
      </w:r>
      <w:r w:rsidR="007D075E" w:rsidRPr="00EE7630">
        <w:rPr>
          <w:b/>
        </w:rPr>
        <w:t>attaches ISOFIX conformément au paragraphe 6.1.3 du prés</w:t>
      </w:r>
      <w:r w:rsidRPr="00EE7630">
        <w:rPr>
          <w:b/>
        </w:rPr>
        <w:t>ent Règlement.</w:t>
      </w:r>
    </w:p>
    <w:p w:rsidR="00BF0960" w:rsidRPr="00EE7630" w:rsidRDefault="001A615C" w:rsidP="001A615C">
      <w:pPr>
        <w:pStyle w:val="SingleTxtG"/>
        <w:ind w:left="2268" w:hanging="1134"/>
      </w:pPr>
      <w:r w:rsidRPr="00EE7630">
        <w:rPr>
          <w:b/>
        </w:rPr>
        <w:t>17.17</w:t>
      </w:r>
      <w:r w:rsidR="007D075E" w:rsidRPr="00EE7630">
        <w:rPr>
          <w:b/>
        </w:rPr>
        <w:tab/>
        <w:t>Les Parties contractantes appliquant le présent Règlement ne doivent pas refuser d</w:t>
      </w:r>
      <w:r w:rsidRPr="00EE7630">
        <w:rPr>
          <w:b/>
        </w:rPr>
        <w:t>’</w:t>
      </w:r>
      <w:r w:rsidR="007D075E" w:rsidRPr="00EE7630">
        <w:rPr>
          <w:b/>
        </w:rPr>
        <w:t>accorder des extensions d</w:t>
      </w:r>
      <w:r w:rsidRPr="00EE7630">
        <w:rPr>
          <w:b/>
        </w:rPr>
        <w:t>’</w:t>
      </w:r>
      <w:r w:rsidR="007D075E" w:rsidRPr="00EE7630">
        <w:rPr>
          <w:b/>
        </w:rPr>
        <w:t>homologation pour un type de DRE homologué en vertu du présent Règlement avant le [16 novembre 2016].</w:t>
      </w:r>
      <w:r w:rsidRPr="00EE7630">
        <w:t> ».</w:t>
      </w:r>
    </w:p>
    <w:p w:rsidR="00BF0960" w:rsidRPr="00EE7630" w:rsidRDefault="007D075E" w:rsidP="001A615C">
      <w:pPr>
        <w:pStyle w:val="SingleTxtG"/>
      </w:pPr>
      <w:r w:rsidRPr="00EE7630">
        <w:rPr>
          <w:i/>
        </w:rPr>
        <w:t>Annexe 2</w:t>
      </w:r>
      <w:r w:rsidRPr="00EE7630">
        <w:t>, modifier comme suit</w:t>
      </w:r>
      <w:r w:rsidR="001A615C" w:rsidRPr="00EE7630">
        <w:t> </w:t>
      </w:r>
      <w:r w:rsidRPr="00EE7630">
        <w:t>:</w:t>
      </w:r>
    </w:p>
    <w:p w:rsidR="00BF0960" w:rsidRPr="00EE7630" w:rsidRDefault="001A615C" w:rsidP="00426333">
      <w:pPr>
        <w:pStyle w:val="HChG"/>
      </w:pPr>
      <w:bookmarkStart w:id="1" w:name="_Toc352838565"/>
      <w:bookmarkStart w:id="2" w:name="_Toc352852735"/>
      <w:bookmarkStart w:id="3" w:name="_Toc367372579"/>
      <w:r w:rsidRPr="00EE7630">
        <w:rPr>
          <w:b w:val="0"/>
          <w:sz w:val="20"/>
        </w:rPr>
        <w:t>« </w:t>
      </w:r>
      <w:r w:rsidR="007D075E" w:rsidRPr="00EE7630">
        <w:t>Annexe 2</w:t>
      </w:r>
      <w:bookmarkEnd w:id="1"/>
      <w:bookmarkEnd w:id="2"/>
      <w:bookmarkEnd w:id="3"/>
    </w:p>
    <w:p w:rsidR="001A615C" w:rsidRPr="00EE7630" w:rsidRDefault="007D075E" w:rsidP="00426333">
      <w:pPr>
        <w:pStyle w:val="HChG"/>
      </w:pPr>
      <w:r w:rsidRPr="00EE7630">
        <w:tab/>
      </w:r>
      <w:r w:rsidRPr="00EE7630">
        <w:tab/>
      </w:r>
      <w:bookmarkStart w:id="4" w:name="_Toc352838566"/>
      <w:bookmarkStart w:id="5" w:name="_Toc352852736"/>
      <w:bookmarkStart w:id="6" w:name="_Toc367372580"/>
      <w:r w:rsidRPr="00EE7630">
        <w:t>Exemples de marques d</w:t>
      </w:r>
      <w:r w:rsidR="001A615C" w:rsidRPr="00EE7630">
        <w:t>’</w:t>
      </w:r>
      <w:r w:rsidRPr="00EE7630">
        <w:t>homologation</w:t>
      </w:r>
      <w:bookmarkEnd w:id="4"/>
      <w:bookmarkEnd w:id="5"/>
      <w:bookmarkEnd w:id="6"/>
    </w:p>
    <w:p w:rsidR="001A615C" w:rsidRPr="00EE7630" w:rsidRDefault="001A615C" w:rsidP="00426333">
      <w:pPr>
        <w:pStyle w:val="SingleTxtG"/>
        <w:spacing w:after="240"/>
      </w:pPr>
      <w:r w:rsidRPr="00EE7630">
        <w:rPr>
          <w:noProof/>
          <w:lang w:val="fr-FR" w:eastAsia="fr-FR"/>
        </w:rPr>
        <w:drawing>
          <wp:inline distT="0" distB="0" distL="0" distR="0" wp14:anchorId="04B194CE" wp14:editId="2BA646F4">
            <wp:extent cx="4699350" cy="17640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1" t="-3919" r="-36617" b="-3603"/>
                    <a:stretch/>
                  </pic:blipFill>
                  <pic:spPr bwMode="auto">
                    <a:xfrm>
                      <a:off x="0" y="0"/>
                      <a:ext cx="4743468" cy="178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15C" w:rsidRPr="00EE7630" w:rsidRDefault="001A615C" w:rsidP="004374DE">
      <w:pPr>
        <w:pStyle w:val="SingleTxtG"/>
        <w:ind w:firstLine="567"/>
      </w:pPr>
      <w:r w:rsidRPr="00EE7630">
        <w:t>Le dispositif de retenue pour enfants portant la marque d’homologation ci-dessus est un dispositif pouvant être monté dans n’importe quel véhicule</w:t>
      </w:r>
      <w:r w:rsidR="00426333" w:rsidRPr="00EE7630">
        <w:t> </w:t>
      </w:r>
      <w:r w:rsidRPr="00EE7630">
        <w:t>; il peut être utilisé pour la gamme de masse de</w:t>
      </w:r>
      <w:r w:rsidR="00426333" w:rsidRPr="00EE7630">
        <w:t xml:space="preserve"> 9-36 </w:t>
      </w:r>
      <w:r w:rsidRPr="00EE7630">
        <w:t>kg (groupes I à III) et il est homologué aux Pays-Bas (E</w:t>
      </w:r>
      <w:r w:rsidR="004374DE" w:rsidRPr="00EE7630">
        <w:t> </w:t>
      </w:r>
      <w:r w:rsidRPr="00EE7630">
        <w:t>4) sous le numéro 0</w:t>
      </w:r>
      <w:r w:rsidRPr="00EE7630">
        <w:rPr>
          <w:b/>
        </w:rPr>
        <w:t>5</w:t>
      </w:r>
      <w:r w:rsidRPr="00EE7630">
        <w:t>2439. Le numéro d’homologation indique que l’homologation a été accordée conformément aux prescriptions du Règlement relatif à l’homologation des dispositifs de retenue pour enfants à bord des véhicules à moteur, tel qu’</w:t>
      </w:r>
      <w:r w:rsidR="00426333" w:rsidRPr="00EE7630">
        <w:t>il a été amendé par la série </w:t>
      </w:r>
      <w:r w:rsidRPr="00EE7630">
        <w:t>0</w:t>
      </w:r>
      <w:r w:rsidRPr="00EE7630">
        <w:rPr>
          <w:b/>
        </w:rPr>
        <w:t>5</w:t>
      </w:r>
      <w:r w:rsidRPr="00EE7630">
        <w:t xml:space="preserve"> d’amendements.</w:t>
      </w:r>
    </w:p>
    <w:p w:rsidR="001A615C" w:rsidRPr="00EE7630" w:rsidRDefault="00426333" w:rsidP="00426333">
      <w:pPr>
        <w:pStyle w:val="SingleTxtG"/>
        <w:spacing w:after="240"/>
      </w:pPr>
      <w:r w:rsidRPr="00EE7630">
        <w:rPr>
          <w:noProof/>
          <w:lang w:val="fr-FR" w:eastAsia="fr-FR"/>
        </w:rPr>
        <w:lastRenderedPageBreak/>
        <w:drawing>
          <wp:inline distT="0" distB="0" distL="0" distR="0" wp14:anchorId="24FCC740" wp14:editId="1074961B">
            <wp:extent cx="4676742" cy="17907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42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960" w:rsidRPr="00EE7630" w:rsidRDefault="007D075E" w:rsidP="004374DE">
      <w:pPr>
        <w:pStyle w:val="SingleTxtG"/>
        <w:ind w:firstLine="567"/>
      </w:pPr>
      <w:bookmarkStart w:id="7" w:name="_Toc352838569"/>
      <w:bookmarkStart w:id="8" w:name="_Toc352852741"/>
      <w:r w:rsidRPr="00EE7630">
        <w:rPr>
          <w:bCs/>
        </w:rPr>
        <w:t>Le dispositif de retenue pour enfants portant la marque d</w:t>
      </w:r>
      <w:r w:rsidR="001A615C" w:rsidRPr="00EE7630">
        <w:rPr>
          <w:bCs/>
        </w:rPr>
        <w:t>’</w:t>
      </w:r>
      <w:r w:rsidRPr="00EE7630">
        <w:rPr>
          <w:bCs/>
        </w:rPr>
        <w:t>homologation ci-dessus est un dispositif qui ne peut pas être monté dans n</w:t>
      </w:r>
      <w:r w:rsidR="001A615C" w:rsidRPr="00EE7630">
        <w:rPr>
          <w:bCs/>
        </w:rPr>
        <w:t>’</w:t>
      </w:r>
      <w:r w:rsidRPr="00EE7630">
        <w:rPr>
          <w:bCs/>
        </w:rPr>
        <w:t>importe quel véhicule</w:t>
      </w:r>
      <w:r w:rsidR="005E08B1" w:rsidRPr="00EE7630">
        <w:rPr>
          <w:bCs/>
        </w:rPr>
        <w:t> </w:t>
      </w:r>
      <w:r w:rsidRPr="00EE7630">
        <w:rPr>
          <w:bCs/>
        </w:rPr>
        <w:t>; il peut être utilisé pour la gamme de masse de 9-25</w:t>
      </w:r>
      <w:r w:rsidR="001A615C" w:rsidRPr="00EE7630">
        <w:rPr>
          <w:bCs/>
        </w:rPr>
        <w:t> kg (groupes </w:t>
      </w:r>
      <w:r w:rsidRPr="00EE7630">
        <w:rPr>
          <w:bCs/>
        </w:rPr>
        <w:t>I et II) et il est homologué aux Pays-Bas (E</w:t>
      </w:r>
      <w:r w:rsidR="004374DE" w:rsidRPr="00EE7630">
        <w:rPr>
          <w:bCs/>
        </w:rPr>
        <w:t> </w:t>
      </w:r>
      <w:r w:rsidRPr="00EE7630">
        <w:rPr>
          <w:bCs/>
        </w:rPr>
        <w:t xml:space="preserve">4) sous le numéro </w:t>
      </w:r>
      <w:r w:rsidRPr="00EE7630">
        <w:t>0</w:t>
      </w:r>
      <w:r w:rsidRPr="00EE7630">
        <w:rPr>
          <w:b/>
        </w:rPr>
        <w:t>5</w:t>
      </w:r>
      <w:r w:rsidRPr="00EE7630">
        <w:t>2450. Le numéro d</w:t>
      </w:r>
      <w:r w:rsidR="001A615C" w:rsidRPr="00EE7630">
        <w:t>’</w:t>
      </w:r>
      <w:r w:rsidRPr="00EE7630">
        <w:t>homologation indique que l</w:t>
      </w:r>
      <w:r w:rsidR="001A615C" w:rsidRPr="00EE7630">
        <w:t>’</w:t>
      </w:r>
      <w:r w:rsidRPr="00EE7630">
        <w:t>homologation a été accordée conformément aux prescriptions du Règlement relatif à l</w:t>
      </w:r>
      <w:r w:rsidR="001A615C" w:rsidRPr="00EE7630">
        <w:t>’</w:t>
      </w:r>
      <w:r w:rsidRPr="00EE7630">
        <w:t>homologation des dispositifs de retenue pour enfants à bord des véhicules à moteur, tel qu</w:t>
      </w:r>
      <w:r w:rsidR="001A615C" w:rsidRPr="00EE7630">
        <w:t>’il a été amendé par la série </w:t>
      </w:r>
      <w:r w:rsidRPr="00EE7630">
        <w:t>0</w:t>
      </w:r>
      <w:r w:rsidRPr="00EE7630">
        <w:rPr>
          <w:b/>
        </w:rPr>
        <w:t>5</w:t>
      </w:r>
      <w:r w:rsidRPr="00EE7630">
        <w:t xml:space="preserve"> d</w:t>
      </w:r>
      <w:r w:rsidR="001A615C" w:rsidRPr="00EE7630">
        <w:t>’</w:t>
      </w:r>
      <w:r w:rsidRPr="00EE7630">
        <w:t>amendements. Le symbole Y indique que le dispositif comporte une sangle d</w:t>
      </w:r>
      <w:r w:rsidR="001A615C" w:rsidRPr="00EE7630">
        <w:t>’</w:t>
      </w:r>
      <w:r w:rsidRPr="00EE7630">
        <w:t>entre-jambe.</w:t>
      </w:r>
    </w:p>
    <w:p w:rsidR="00BF0960" w:rsidRPr="00EE7630" w:rsidRDefault="007D075E" w:rsidP="001A615C">
      <w:pPr>
        <w:pStyle w:val="SingleTxtG"/>
      </w:pPr>
      <w:r w:rsidRPr="00EE7630">
        <w:rPr>
          <w:i/>
        </w:rPr>
        <w:t>Note</w:t>
      </w:r>
      <w:r w:rsidR="001A615C" w:rsidRPr="00EE7630">
        <w:rPr>
          <w:i/>
        </w:rPr>
        <w:t> </w:t>
      </w:r>
      <w:r w:rsidRPr="00EE7630">
        <w:t>:</w:t>
      </w:r>
      <w:r w:rsidR="001A615C" w:rsidRPr="00EE7630">
        <w:t xml:space="preserve"> </w:t>
      </w:r>
      <w:r w:rsidRPr="00EE7630">
        <w:t>Le numéro d</w:t>
      </w:r>
      <w:r w:rsidR="001A615C" w:rsidRPr="00EE7630">
        <w:t>’</w:t>
      </w:r>
      <w:r w:rsidRPr="00EE7630">
        <w:t>homologation et le(s) symbole(s) additionnel(s) doivent être placés à proximité du cercle et être disposés soit au-dessus ou au-dessous de la lettre «</w:t>
      </w:r>
      <w:r w:rsidR="001A615C" w:rsidRPr="00EE7630">
        <w:t> </w:t>
      </w:r>
      <w:r w:rsidRPr="00EE7630">
        <w:t>E</w:t>
      </w:r>
      <w:r w:rsidR="001A615C" w:rsidRPr="00EE7630">
        <w:t> </w:t>
      </w:r>
      <w:r w:rsidRPr="00EE7630">
        <w:t>», soit à gauche ou à droite de cette lettre. Les chiffres du numéro d</w:t>
      </w:r>
      <w:r w:rsidR="001A615C" w:rsidRPr="00EE7630">
        <w:t>’</w:t>
      </w:r>
      <w:r w:rsidRPr="00EE7630">
        <w:t>homologation doivent être disposés du même côté de la lettre «</w:t>
      </w:r>
      <w:r w:rsidR="001A615C" w:rsidRPr="00EE7630">
        <w:t> </w:t>
      </w:r>
      <w:r w:rsidRPr="00EE7630">
        <w:t>E</w:t>
      </w:r>
      <w:r w:rsidR="001A615C" w:rsidRPr="00EE7630">
        <w:t> </w:t>
      </w:r>
      <w:r w:rsidRPr="00EE7630">
        <w:t>» et orientés dans la même sens. Le(s) symbole(s) additionnel(s) doit (doivent) être diamétralement opposé(s) au numéro d</w:t>
      </w:r>
      <w:r w:rsidR="001A615C" w:rsidRPr="00EE7630">
        <w:t>’</w:t>
      </w:r>
      <w:r w:rsidRPr="00EE7630">
        <w:t>homologation. L</w:t>
      </w:r>
      <w:r w:rsidR="001A615C" w:rsidRPr="00EE7630">
        <w:t>’</w:t>
      </w:r>
      <w:r w:rsidRPr="00EE7630">
        <w:t>utilisation de chiffres romains pour les autres numéros d</w:t>
      </w:r>
      <w:r w:rsidR="001A615C" w:rsidRPr="00EE7630">
        <w:t>’</w:t>
      </w:r>
      <w:r w:rsidRPr="00EE7630">
        <w:t>homologation doit être évitée afin d</w:t>
      </w:r>
      <w:r w:rsidR="001A615C" w:rsidRPr="00EE7630">
        <w:t>’</w:t>
      </w:r>
      <w:r w:rsidRPr="00EE7630">
        <w:t>exclure toute confusion avec d</w:t>
      </w:r>
      <w:r w:rsidR="001A615C" w:rsidRPr="00EE7630">
        <w:t>’</w:t>
      </w:r>
      <w:r w:rsidRPr="00EE7630">
        <w:t>autres symboles.</w:t>
      </w:r>
      <w:bookmarkEnd w:id="7"/>
      <w:bookmarkEnd w:id="8"/>
      <w:r w:rsidR="001A615C" w:rsidRPr="00EE7630">
        <w:t> »</w:t>
      </w:r>
      <w:r w:rsidRPr="00EE7630">
        <w:t>.</w:t>
      </w:r>
    </w:p>
    <w:p w:rsidR="00BF0960" w:rsidRPr="00EE7630" w:rsidRDefault="007D075E" w:rsidP="001A615C">
      <w:pPr>
        <w:pStyle w:val="HChG"/>
      </w:pPr>
      <w:r w:rsidRPr="00EE7630">
        <w:tab/>
        <w:t>II.</w:t>
      </w:r>
      <w:r w:rsidRPr="00EE7630">
        <w:tab/>
        <w:t>Justification</w:t>
      </w:r>
    </w:p>
    <w:p w:rsidR="00BF0960" w:rsidRPr="00EE7630" w:rsidRDefault="007D075E" w:rsidP="001A615C">
      <w:pPr>
        <w:pStyle w:val="SingleTxtG"/>
      </w:pPr>
      <w:r w:rsidRPr="00EE7630">
        <w:t>1.</w:t>
      </w:r>
      <w:r w:rsidRPr="00EE7630">
        <w:tab/>
        <w:t>La p</w:t>
      </w:r>
      <w:r w:rsidR="001A615C" w:rsidRPr="00EE7630">
        <w:t>hase </w:t>
      </w:r>
      <w:r w:rsidRPr="00EE7630">
        <w:t xml:space="preserve">1 du Règlement </w:t>
      </w:r>
      <w:r w:rsidR="001A615C" w:rsidRPr="00EE7630">
        <w:rPr>
          <w:rFonts w:eastAsia="MS Mincho"/>
        </w:rPr>
        <w:t>n</w:t>
      </w:r>
      <w:r w:rsidR="001A615C" w:rsidRPr="00EE7630">
        <w:rPr>
          <w:rFonts w:eastAsia="MS Mincho"/>
          <w:vertAlign w:val="superscript"/>
        </w:rPr>
        <w:t>o</w:t>
      </w:r>
      <w:r w:rsidR="001A615C" w:rsidRPr="00EE7630">
        <w:t> </w:t>
      </w:r>
      <w:r w:rsidRPr="00EE7630">
        <w:t xml:space="preserve">129 (DRE ISOFIX universel intégral) est entrée en vigueur </w:t>
      </w:r>
      <w:r w:rsidR="001A615C" w:rsidRPr="00EE7630">
        <w:t>9 </w:t>
      </w:r>
      <w:r w:rsidRPr="00EE7630">
        <w:t>juillet 2013. À ce stade, l</w:t>
      </w:r>
      <w:r w:rsidR="001A615C" w:rsidRPr="00EE7630">
        <w:t>’</w:t>
      </w:r>
      <w:r w:rsidRPr="00EE7630">
        <w:t>intent</w:t>
      </w:r>
      <w:r w:rsidR="001A615C" w:rsidRPr="00EE7630">
        <w:t>ion était de finaliser la phase </w:t>
      </w:r>
      <w:r w:rsidRPr="00EE7630">
        <w:t xml:space="preserve">2 (DRE non-intégral) </w:t>
      </w:r>
      <w:r w:rsidR="001A615C" w:rsidRPr="00EE7630">
        <w:t>et la phase </w:t>
      </w:r>
      <w:r w:rsidRPr="00EE7630">
        <w:t xml:space="preserve">3 (DRE avec ceinture de sécurité), et de supprimer le Règlement </w:t>
      </w:r>
      <w:r w:rsidR="001A615C" w:rsidRPr="00EE7630">
        <w:rPr>
          <w:rFonts w:eastAsia="MS Mincho"/>
        </w:rPr>
        <w:t>n</w:t>
      </w:r>
      <w:r w:rsidR="001A615C" w:rsidRPr="00EE7630">
        <w:rPr>
          <w:rFonts w:eastAsia="MS Mincho"/>
          <w:vertAlign w:val="superscript"/>
        </w:rPr>
        <w:t>o</w:t>
      </w:r>
      <w:r w:rsidR="001A615C" w:rsidRPr="00EE7630">
        <w:t> </w:t>
      </w:r>
      <w:r w:rsidRPr="00EE7630">
        <w:t>44 (pas de nouvelle homologation de type) une fois que toutes les phases seraient entrées en vigueur (voir aussi GRSP-52-17).</w:t>
      </w:r>
    </w:p>
    <w:p w:rsidR="00BF0960" w:rsidRPr="00EE7630" w:rsidRDefault="007D075E" w:rsidP="001A615C">
      <w:pPr>
        <w:pStyle w:val="SingleTxtG"/>
      </w:pPr>
      <w:r w:rsidRPr="00EE7630">
        <w:t>2.</w:t>
      </w:r>
      <w:r w:rsidRPr="00EE7630">
        <w:tab/>
        <w:t xml:space="preserve">Le changement de plan survenu en 2015, impliquant une </w:t>
      </w:r>
      <w:r w:rsidR="001A615C" w:rsidRPr="00EE7630">
        <w:t>nouvelle approche pour la phase </w:t>
      </w:r>
      <w:r w:rsidRPr="00EE7630">
        <w:t>2 et laissant en susp</w:t>
      </w:r>
      <w:r w:rsidR="001A615C" w:rsidRPr="00EE7630">
        <w:t>end la finalisation de la phase </w:t>
      </w:r>
      <w:r w:rsidRPr="00EE7630">
        <w:t xml:space="preserve">3 (et peut </w:t>
      </w:r>
      <w:r w:rsidR="001A615C" w:rsidRPr="00EE7630">
        <w:t>être même une phase </w:t>
      </w:r>
      <w:r w:rsidRPr="00EE7630">
        <w:t>4) donne la possibilité d</w:t>
      </w:r>
      <w:r w:rsidR="001A615C" w:rsidRPr="00EE7630">
        <w:t>’</w:t>
      </w:r>
      <w:r w:rsidRPr="00EE7630">
        <w:t xml:space="preserve">homologuer un nouveau DRE avec attaches ISOFIX en vertu du Règlement </w:t>
      </w:r>
      <w:r w:rsidR="001A615C" w:rsidRPr="00EE7630">
        <w:rPr>
          <w:rFonts w:eastAsia="MS Mincho"/>
        </w:rPr>
        <w:t>n</w:t>
      </w:r>
      <w:r w:rsidR="001A615C" w:rsidRPr="00EE7630">
        <w:rPr>
          <w:rFonts w:eastAsia="MS Mincho"/>
          <w:vertAlign w:val="superscript"/>
        </w:rPr>
        <w:t>o</w:t>
      </w:r>
      <w:r w:rsidR="001A615C" w:rsidRPr="00EE7630">
        <w:t> </w:t>
      </w:r>
      <w:r w:rsidRPr="00EE7630">
        <w:t xml:space="preserve">44 pendant une période indéterminée. </w:t>
      </w:r>
    </w:p>
    <w:p w:rsidR="00BF0960" w:rsidRPr="00EE7630" w:rsidRDefault="007D075E" w:rsidP="001A615C">
      <w:pPr>
        <w:pStyle w:val="SingleTxtG"/>
      </w:pPr>
      <w:r w:rsidRPr="00EE7630">
        <w:t>3.</w:t>
      </w:r>
      <w:r w:rsidRPr="00EE7630">
        <w:tab/>
        <w:t>Consumers International considère qu</w:t>
      </w:r>
      <w:r w:rsidR="001A615C" w:rsidRPr="00EE7630">
        <w:t>’</w:t>
      </w:r>
      <w:r w:rsidRPr="00EE7630">
        <w:t>il n</w:t>
      </w:r>
      <w:r w:rsidR="001A615C" w:rsidRPr="00EE7630">
        <w:t>’</w:t>
      </w:r>
      <w:r w:rsidRPr="00EE7630">
        <w:t xml:space="preserve">est pas souhaitable que les fabricants de DRE soient toujours autorisés pendant une période indéterminée à mettre au point de nouveaux produits conformément au Règlement </w:t>
      </w:r>
      <w:r w:rsidR="001A615C" w:rsidRPr="00EE7630">
        <w:rPr>
          <w:rFonts w:eastAsia="MS Mincho"/>
        </w:rPr>
        <w:t>n</w:t>
      </w:r>
      <w:r w:rsidR="001A615C" w:rsidRPr="00EE7630">
        <w:rPr>
          <w:rFonts w:eastAsia="MS Mincho"/>
          <w:vertAlign w:val="superscript"/>
        </w:rPr>
        <w:t>o</w:t>
      </w:r>
      <w:r w:rsidR="001A615C" w:rsidRPr="00EE7630">
        <w:t> </w:t>
      </w:r>
      <w:r w:rsidRPr="00EE7630">
        <w:t>44, ce qui aurait pour conséquences</w:t>
      </w:r>
      <w:r w:rsidR="005E08B1" w:rsidRPr="00EE7630">
        <w:t> </w:t>
      </w:r>
      <w:r w:rsidRPr="00EE7630">
        <w:t xml:space="preserve">: </w:t>
      </w:r>
    </w:p>
    <w:p w:rsidR="00BF0960" w:rsidRPr="00EE7630" w:rsidRDefault="007D075E" w:rsidP="004374DE">
      <w:pPr>
        <w:pStyle w:val="SingleTxtG"/>
        <w:ind w:firstLine="567"/>
      </w:pPr>
      <w:r w:rsidRPr="00EE7630">
        <w:t>a)</w:t>
      </w:r>
      <w:r w:rsidRPr="00EE7630">
        <w:tab/>
        <w:t xml:space="preserve">La possibilité de mettre sur le marché deux catégories de produits offrant deux niveaux de protection </w:t>
      </w:r>
      <w:r w:rsidR="001A615C" w:rsidRPr="00EE7630">
        <w:t xml:space="preserve">différents (Règlement </w:t>
      </w:r>
      <w:r w:rsidR="001A615C" w:rsidRPr="00EE7630">
        <w:rPr>
          <w:rFonts w:eastAsia="MS Mincho"/>
        </w:rPr>
        <w:t>n</w:t>
      </w:r>
      <w:r w:rsidR="001A615C" w:rsidRPr="00EE7630">
        <w:rPr>
          <w:rFonts w:eastAsia="MS Mincho"/>
          <w:vertAlign w:val="superscript"/>
        </w:rPr>
        <w:t>o</w:t>
      </w:r>
      <w:r w:rsidR="001A615C" w:rsidRPr="00EE7630">
        <w:t> </w:t>
      </w:r>
      <w:r w:rsidRPr="00EE7630">
        <w:t>44</w:t>
      </w:r>
      <w:r w:rsidR="005E08B1" w:rsidRPr="00EE7630">
        <w:t> </w:t>
      </w:r>
      <w:r w:rsidRPr="00EE7630">
        <w:t>: aucun essai de choc latéral requis, installation faisant face vers l</w:t>
      </w:r>
      <w:r w:rsidR="001A615C" w:rsidRPr="00EE7630">
        <w:t>’</w:t>
      </w:r>
      <w:r w:rsidRPr="00EE7630">
        <w:t>avant autorisée dès 9</w:t>
      </w:r>
      <w:r w:rsidR="001A615C" w:rsidRPr="00EE7630">
        <w:t> </w:t>
      </w:r>
      <w:r w:rsidRPr="00EE7630">
        <w:t>kg)</w:t>
      </w:r>
      <w:r w:rsidR="005E08B1" w:rsidRPr="00EE7630">
        <w:t> </w:t>
      </w:r>
      <w:r w:rsidRPr="00EE7630">
        <w:t>;</w:t>
      </w:r>
    </w:p>
    <w:p w:rsidR="00BF0960" w:rsidRPr="00EE7630" w:rsidRDefault="007D075E" w:rsidP="004374DE">
      <w:pPr>
        <w:pStyle w:val="SingleTxtG"/>
        <w:ind w:firstLine="567"/>
      </w:pPr>
      <w:r w:rsidRPr="00EE7630">
        <w:t>b)</w:t>
      </w:r>
      <w:r w:rsidRPr="00EE7630">
        <w:tab/>
        <w:t>Une certaine confusion parmi les consommateurs (critère de masse contre critère de taille)</w:t>
      </w:r>
      <w:r w:rsidR="005E08B1" w:rsidRPr="00EE7630">
        <w:t> </w:t>
      </w:r>
      <w:r w:rsidRPr="00EE7630">
        <w:t xml:space="preserve">; </w:t>
      </w:r>
    </w:p>
    <w:p w:rsidR="00BF0960" w:rsidRPr="00EE7630" w:rsidRDefault="007D075E" w:rsidP="004374DE">
      <w:pPr>
        <w:pStyle w:val="SingleTxtG"/>
        <w:ind w:firstLine="567"/>
      </w:pPr>
      <w:r w:rsidRPr="00EE7630">
        <w:t>c)</w:t>
      </w:r>
      <w:r w:rsidRPr="00EE7630">
        <w:tab/>
        <w:t>Moins d</w:t>
      </w:r>
      <w:r w:rsidR="001A615C" w:rsidRPr="00EE7630">
        <w:t>’</w:t>
      </w:r>
      <w:r w:rsidRPr="00EE7630">
        <w:t xml:space="preserve">incitation des fabricants à mettre au point des produits aux normes les plus récentes. </w:t>
      </w:r>
    </w:p>
    <w:p w:rsidR="00BF0960" w:rsidRPr="00EE7630" w:rsidRDefault="007D075E" w:rsidP="001A615C">
      <w:pPr>
        <w:pStyle w:val="SingleTxtG"/>
      </w:pPr>
      <w:r w:rsidRPr="00EE7630">
        <w:lastRenderedPageBreak/>
        <w:t>4.</w:t>
      </w:r>
      <w:r w:rsidRPr="00EE7630">
        <w:tab/>
        <w:t xml:space="preserve">À ce jour, </w:t>
      </w:r>
      <w:r w:rsidR="001A615C" w:rsidRPr="00EE7630">
        <w:t>43 </w:t>
      </w:r>
      <w:r w:rsidRPr="00EE7630">
        <w:t>Parties contractantes à l</w:t>
      </w:r>
      <w:r w:rsidR="001A615C" w:rsidRPr="00EE7630">
        <w:t>’</w:t>
      </w:r>
      <w:r w:rsidRPr="00EE7630">
        <w:t xml:space="preserve">Accord de 1958 ont signé le Règlement </w:t>
      </w:r>
      <w:r w:rsidR="001A615C" w:rsidRPr="00EE7630">
        <w:rPr>
          <w:rFonts w:eastAsia="MS Mincho"/>
        </w:rPr>
        <w:t>n</w:t>
      </w:r>
      <w:r w:rsidR="001A615C" w:rsidRPr="00EE7630">
        <w:rPr>
          <w:rFonts w:eastAsia="MS Mincho"/>
          <w:vertAlign w:val="superscript"/>
        </w:rPr>
        <w:t>o</w:t>
      </w:r>
      <w:r w:rsidR="001A615C" w:rsidRPr="00EE7630">
        <w:t> </w:t>
      </w:r>
      <w:r w:rsidRPr="00EE7630">
        <w:t xml:space="preserve">44 et 52 le Règlement </w:t>
      </w:r>
      <w:r w:rsidR="001A615C" w:rsidRPr="00EE7630">
        <w:rPr>
          <w:rFonts w:eastAsia="MS Mincho"/>
        </w:rPr>
        <w:t>n</w:t>
      </w:r>
      <w:r w:rsidR="001A615C" w:rsidRPr="00EE7630">
        <w:rPr>
          <w:rFonts w:eastAsia="MS Mincho"/>
          <w:vertAlign w:val="superscript"/>
        </w:rPr>
        <w:t>o</w:t>
      </w:r>
      <w:r w:rsidR="001A615C" w:rsidRPr="00EE7630">
        <w:t> </w:t>
      </w:r>
      <w:r w:rsidRPr="00EE7630">
        <w:t>129. Aucune Partie contractante n</w:t>
      </w:r>
      <w:r w:rsidR="001A615C" w:rsidRPr="00EE7630">
        <w:t>’</w:t>
      </w:r>
      <w:r w:rsidRPr="00EE7630">
        <w:t xml:space="preserve">a signé que le Règlement </w:t>
      </w:r>
      <w:r w:rsidR="001A615C" w:rsidRPr="00EE7630">
        <w:rPr>
          <w:rFonts w:eastAsia="MS Mincho"/>
        </w:rPr>
        <w:t>n</w:t>
      </w:r>
      <w:r w:rsidR="001A615C" w:rsidRPr="00EE7630">
        <w:rPr>
          <w:rFonts w:eastAsia="MS Mincho"/>
          <w:vertAlign w:val="superscript"/>
        </w:rPr>
        <w:t>o</w:t>
      </w:r>
      <w:r w:rsidR="001A615C" w:rsidRPr="00EE7630">
        <w:t> </w:t>
      </w:r>
      <w:r w:rsidRPr="00EE7630">
        <w:t xml:space="preserve">44 sans signer également le Règlement </w:t>
      </w:r>
      <w:r w:rsidR="001A615C" w:rsidRPr="00EE7630">
        <w:rPr>
          <w:rFonts w:eastAsia="MS Mincho"/>
        </w:rPr>
        <w:t>n</w:t>
      </w:r>
      <w:r w:rsidR="001A615C" w:rsidRPr="00EE7630">
        <w:rPr>
          <w:rFonts w:eastAsia="MS Mincho"/>
          <w:vertAlign w:val="superscript"/>
        </w:rPr>
        <w:t>o</w:t>
      </w:r>
      <w:r w:rsidR="001A615C" w:rsidRPr="00EE7630">
        <w:t> </w:t>
      </w:r>
      <w:r w:rsidRPr="00EE7630">
        <w:t>129. Il n</w:t>
      </w:r>
      <w:r w:rsidR="001A615C" w:rsidRPr="00EE7630">
        <w:t>’</w:t>
      </w:r>
      <w:r w:rsidRPr="00EE7630">
        <w:t>y a donc pas de risque qu</w:t>
      </w:r>
      <w:r w:rsidR="001A615C" w:rsidRPr="00EE7630">
        <w:t>’</w:t>
      </w:r>
      <w:r w:rsidRPr="00EE7630">
        <w:t>un DRE ISOFIX intégral soit refusé sur certains marchés.</w:t>
      </w:r>
      <w:r w:rsidR="005E08B1" w:rsidRPr="00EE7630">
        <w:t xml:space="preserve"> </w:t>
      </w:r>
    </w:p>
    <w:p w:rsidR="001A615C" w:rsidRPr="00EE7630" w:rsidRDefault="007D075E" w:rsidP="001A615C">
      <w:pPr>
        <w:pStyle w:val="SingleTxtG"/>
      </w:pPr>
      <w:r w:rsidRPr="00EE7630">
        <w:t>5.</w:t>
      </w:r>
      <w:r w:rsidRPr="00EE7630">
        <w:tab/>
        <w:t>Consumers International propose donc qu</w:t>
      </w:r>
      <w:r w:rsidR="001A615C" w:rsidRPr="00EE7630">
        <w:t>’</w:t>
      </w:r>
      <w:r w:rsidRPr="00EE7630">
        <w:t xml:space="preserve">aucune nouvelle homologation au titre du Règlement </w:t>
      </w:r>
      <w:r w:rsidR="001A615C" w:rsidRPr="00EE7630">
        <w:rPr>
          <w:rFonts w:eastAsia="MS Mincho"/>
        </w:rPr>
        <w:t>n</w:t>
      </w:r>
      <w:r w:rsidR="001A615C" w:rsidRPr="00EE7630">
        <w:rPr>
          <w:rFonts w:eastAsia="MS Mincho"/>
          <w:vertAlign w:val="superscript"/>
        </w:rPr>
        <w:t>o</w:t>
      </w:r>
      <w:r w:rsidR="001A615C" w:rsidRPr="00EE7630">
        <w:t> </w:t>
      </w:r>
      <w:r w:rsidRPr="00EE7630">
        <w:t xml:space="preserve">44 ne soit accordée à un DRE ISOFIX intégral à compter du </w:t>
      </w:r>
      <w:r w:rsidR="001A615C" w:rsidRPr="00EE7630">
        <w:t>[16 </w:t>
      </w:r>
      <w:r w:rsidRPr="00EE7630">
        <w:t>novembre 2016] et que les dispositions transitoires soient modifiées en conséquence.</w:t>
      </w:r>
    </w:p>
    <w:p w:rsidR="001A615C" w:rsidRPr="00EE7630" w:rsidRDefault="001A615C" w:rsidP="001A615C">
      <w:pPr>
        <w:pStyle w:val="SingleTxtG"/>
        <w:spacing w:before="240" w:after="0"/>
        <w:jc w:val="center"/>
        <w:rPr>
          <w:u w:val="single"/>
        </w:rPr>
      </w:pPr>
      <w:r w:rsidRPr="00EE7630">
        <w:rPr>
          <w:u w:val="single"/>
        </w:rPr>
        <w:tab/>
      </w:r>
      <w:r w:rsidRPr="00EE7630">
        <w:rPr>
          <w:u w:val="single"/>
        </w:rPr>
        <w:tab/>
      </w:r>
      <w:r w:rsidRPr="00EE7630">
        <w:rPr>
          <w:u w:val="single"/>
        </w:rPr>
        <w:tab/>
      </w:r>
    </w:p>
    <w:sectPr w:rsidR="001A615C" w:rsidRPr="00EE7630" w:rsidSect="003923F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1E3" w:rsidRDefault="004311E3" w:rsidP="00F95C08">
      <w:pPr>
        <w:spacing w:line="240" w:lineRule="auto"/>
      </w:pPr>
    </w:p>
  </w:endnote>
  <w:endnote w:type="continuationSeparator" w:id="0">
    <w:p w:rsidR="004311E3" w:rsidRPr="00AC3823" w:rsidRDefault="004311E3" w:rsidP="00AC3823">
      <w:pPr>
        <w:pStyle w:val="Pieddepage"/>
      </w:pPr>
    </w:p>
  </w:endnote>
  <w:endnote w:type="continuationNotice" w:id="1">
    <w:p w:rsidR="004311E3" w:rsidRDefault="004311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F5" w:rsidRPr="003923F5" w:rsidRDefault="003923F5" w:rsidP="003923F5">
    <w:pPr>
      <w:pStyle w:val="Pieddepage"/>
      <w:tabs>
        <w:tab w:val="right" w:pos="9638"/>
      </w:tabs>
    </w:pPr>
    <w:r w:rsidRPr="003923F5">
      <w:rPr>
        <w:b/>
        <w:sz w:val="18"/>
      </w:rPr>
      <w:fldChar w:fldCharType="begin"/>
    </w:r>
    <w:r w:rsidRPr="003923F5">
      <w:rPr>
        <w:b/>
        <w:sz w:val="18"/>
      </w:rPr>
      <w:instrText xml:space="preserve"> PAGE  \* MERGEFORMAT </w:instrText>
    </w:r>
    <w:r w:rsidRPr="003923F5">
      <w:rPr>
        <w:b/>
        <w:sz w:val="18"/>
      </w:rPr>
      <w:fldChar w:fldCharType="separate"/>
    </w:r>
    <w:r w:rsidR="00200858">
      <w:rPr>
        <w:b/>
        <w:noProof/>
        <w:sz w:val="18"/>
      </w:rPr>
      <w:t>2</w:t>
    </w:r>
    <w:r w:rsidRPr="003923F5">
      <w:rPr>
        <w:b/>
        <w:sz w:val="18"/>
      </w:rPr>
      <w:fldChar w:fldCharType="end"/>
    </w:r>
    <w:r>
      <w:rPr>
        <w:b/>
        <w:sz w:val="18"/>
      </w:rPr>
      <w:tab/>
    </w:r>
    <w:r>
      <w:t>GE.16-03099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F5" w:rsidRPr="003923F5" w:rsidRDefault="003923F5" w:rsidP="003923F5">
    <w:pPr>
      <w:pStyle w:val="Pieddepage"/>
      <w:tabs>
        <w:tab w:val="right" w:pos="9638"/>
      </w:tabs>
      <w:rPr>
        <w:b/>
        <w:sz w:val="18"/>
      </w:rPr>
    </w:pPr>
    <w:r>
      <w:t>GE.16-03099</w:t>
    </w:r>
    <w:r>
      <w:tab/>
    </w:r>
    <w:r w:rsidRPr="003923F5">
      <w:rPr>
        <w:b/>
        <w:sz w:val="18"/>
      </w:rPr>
      <w:fldChar w:fldCharType="begin"/>
    </w:r>
    <w:r w:rsidRPr="003923F5">
      <w:rPr>
        <w:b/>
        <w:sz w:val="18"/>
      </w:rPr>
      <w:instrText xml:space="preserve"> PAGE  \* MERGEFORMAT </w:instrText>
    </w:r>
    <w:r w:rsidRPr="003923F5">
      <w:rPr>
        <w:b/>
        <w:sz w:val="18"/>
      </w:rPr>
      <w:fldChar w:fldCharType="separate"/>
    </w:r>
    <w:r w:rsidR="00200858">
      <w:rPr>
        <w:b/>
        <w:noProof/>
        <w:sz w:val="18"/>
      </w:rPr>
      <w:t>5</w:t>
    </w:r>
    <w:r w:rsidRPr="003923F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3923F5" w:rsidRDefault="003923F5" w:rsidP="003923F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 wp14:anchorId="6A77C60C" wp14:editId="0FF5B279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16-03099  (F)    140316    </w:t>
    </w:r>
    <w:r w:rsidR="00E05D01">
      <w:rPr>
        <w:sz w:val="20"/>
      </w:rPr>
      <w:t>290316</w:t>
    </w:r>
    <w:r>
      <w:rPr>
        <w:sz w:val="20"/>
      </w:rPr>
      <w:br/>
    </w:r>
    <w:r w:rsidRPr="003923F5">
      <w:rPr>
        <w:rFonts w:ascii="C39T30Lfz" w:hAnsi="C39T30Lfz"/>
        <w:sz w:val="56"/>
      </w:rPr>
      <w:t></w:t>
    </w:r>
    <w:r w:rsidRPr="003923F5">
      <w:rPr>
        <w:rFonts w:ascii="C39T30Lfz" w:hAnsi="C39T30Lfz"/>
        <w:sz w:val="56"/>
      </w:rPr>
      <w:t></w:t>
    </w:r>
    <w:r w:rsidRPr="003923F5">
      <w:rPr>
        <w:rFonts w:ascii="C39T30Lfz" w:hAnsi="C39T30Lfz"/>
        <w:sz w:val="56"/>
      </w:rPr>
      <w:t></w:t>
    </w:r>
    <w:r w:rsidRPr="003923F5">
      <w:rPr>
        <w:rFonts w:ascii="C39T30Lfz" w:hAnsi="C39T30Lfz"/>
        <w:sz w:val="56"/>
      </w:rPr>
      <w:t></w:t>
    </w:r>
    <w:r w:rsidRPr="003923F5">
      <w:rPr>
        <w:rFonts w:ascii="C39T30Lfz" w:hAnsi="C39T30Lfz"/>
        <w:sz w:val="56"/>
      </w:rPr>
      <w:t></w:t>
    </w:r>
    <w:r w:rsidRPr="003923F5">
      <w:rPr>
        <w:rFonts w:ascii="C39T30Lfz" w:hAnsi="C39T30Lfz"/>
        <w:sz w:val="56"/>
      </w:rPr>
      <w:t></w:t>
    </w:r>
    <w:r w:rsidRPr="003923F5">
      <w:rPr>
        <w:rFonts w:ascii="C39T30Lfz" w:hAnsi="C39T30Lfz"/>
        <w:sz w:val="56"/>
      </w:rPr>
      <w:t></w:t>
    </w:r>
    <w:r w:rsidRPr="003923F5">
      <w:rPr>
        <w:rFonts w:ascii="C39T30Lfz" w:hAnsi="C39T30Lfz"/>
        <w:sz w:val="56"/>
      </w:rPr>
      <w:t></w:t>
    </w:r>
    <w:r w:rsidRPr="003923F5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SP/2016/1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P/2016/1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1E3" w:rsidRPr="00AC3823" w:rsidRDefault="004311E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11E3" w:rsidRPr="00AC3823" w:rsidRDefault="004311E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311E3" w:rsidRPr="00AC3823" w:rsidRDefault="004311E3">
      <w:pPr>
        <w:spacing w:line="240" w:lineRule="auto"/>
        <w:rPr>
          <w:sz w:val="2"/>
          <w:szCs w:val="2"/>
        </w:rPr>
      </w:pPr>
    </w:p>
  </w:footnote>
  <w:footnote w:id="2">
    <w:p w:rsidR="001A615C" w:rsidRPr="000D7EFA" w:rsidRDefault="001A615C" w:rsidP="001A615C">
      <w:pPr>
        <w:pStyle w:val="Notedebasdepage"/>
      </w:pPr>
      <w:r>
        <w:tab/>
      </w:r>
      <w:r w:rsidRPr="001A615C">
        <w:rPr>
          <w:rStyle w:val="Appelnotedebasdep"/>
          <w:vertAlign w:val="baseline"/>
        </w:rPr>
        <w:t>*</w:t>
      </w:r>
      <w:r w:rsidRPr="000D7EFA">
        <w:tab/>
        <w:t>Conformément au programme de travail du Comité des transports intérieurs pour la période 2014-2018 (ECE/TRANS/240, par.105, et ECE/TRANS/2014/26 activité 02.4), le Forum mondial élabore, harmonise et actualise les Règlements, afin d’améliorer les caractéristiques fonctionnelles des véhicules.</w:t>
      </w:r>
      <w:r>
        <w:t xml:space="preserve"> </w:t>
      </w:r>
      <w:r w:rsidRPr="000D7EFA">
        <w:t>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F5" w:rsidRPr="003923F5" w:rsidRDefault="003923F5">
    <w:pPr>
      <w:pStyle w:val="En-tte"/>
    </w:pPr>
    <w:r>
      <w:t>ECE/TRANS/WP.29/GRSP/2016/11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F5" w:rsidRPr="003923F5" w:rsidRDefault="003923F5" w:rsidP="003923F5">
    <w:pPr>
      <w:pStyle w:val="En-tte"/>
      <w:jc w:val="right"/>
    </w:pPr>
    <w:r>
      <w:t>ECE/TRANS/WP.29/GRSP/2016/11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E2E67"/>
    <w:multiLevelType w:val="hybridMultilevel"/>
    <w:tmpl w:val="CE449FBA"/>
    <w:lvl w:ilvl="0" w:tplc="10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F5"/>
    <w:rsid w:val="00017F94"/>
    <w:rsid w:val="00023842"/>
    <w:rsid w:val="000334F9"/>
    <w:rsid w:val="0007796D"/>
    <w:rsid w:val="00090DA1"/>
    <w:rsid w:val="000B7790"/>
    <w:rsid w:val="00111F2F"/>
    <w:rsid w:val="0014365E"/>
    <w:rsid w:val="00143C66"/>
    <w:rsid w:val="00176178"/>
    <w:rsid w:val="001A4F7C"/>
    <w:rsid w:val="001A615C"/>
    <w:rsid w:val="001F525A"/>
    <w:rsid w:val="00200858"/>
    <w:rsid w:val="00223272"/>
    <w:rsid w:val="0024779E"/>
    <w:rsid w:val="00257168"/>
    <w:rsid w:val="00270DFD"/>
    <w:rsid w:val="002744B8"/>
    <w:rsid w:val="002832AC"/>
    <w:rsid w:val="002C28ED"/>
    <w:rsid w:val="002D7C93"/>
    <w:rsid w:val="00305801"/>
    <w:rsid w:val="003546F0"/>
    <w:rsid w:val="003916DE"/>
    <w:rsid w:val="003923F5"/>
    <w:rsid w:val="00426333"/>
    <w:rsid w:val="004311E3"/>
    <w:rsid w:val="004374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E08B1"/>
    <w:rsid w:val="00603F15"/>
    <w:rsid w:val="00712B61"/>
    <w:rsid w:val="0071601D"/>
    <w:rsid w:val="007A62E6"/>
    <w:rsid w:val="007B1C5A"/>
    <w:rsid w:val="007D075E"/>
    <w:rsid w:val="007F20FA"/>
    <w:rsid w:val="0080684C"/>
    <w:rsid w:val="00871C75"/>
    <w:rsid w:val="008776DC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57011"/>
    <w:rsid w:val="00D02EC7"/>
    <w:rsid w:val="00D3439C"/>
    <w:rsid w:val="00D3784C"/>
    <w:rsid w:val="00D7364F"/>
    <w:rsid w:val="00DB1831"/>
    <w:rsid w:val="00DD3BFD"/>
    <w:rsid w:val="00DF6678"/>
    <w:rsid w:val="00E05D01"/>
    <w:rsid w:val="00E85C74"/>
    <w:rsid w:val="00EA6547"/>
    <w:rsid w:val="00EE7630"/>
    <w:rsid w:val="00EF2E22"/>
    <w:rsid w:val="00F35BAF"/>
    <w:rsid w:val="00F660DF"/>
    <w:rsid w:val="00F902F5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198147-F1B8-4ECC-BFBD-9187E905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9FAB-84C6-4324-A318-AE5A9BDC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5</Pages>
  <Words>1230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ECE/TRANS/WP.29/GRSP/2016/11</vt:lpstr>
    </vt:vector>
  </TitlesOfParts>
  <Company>DCM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ECE/TRANS/WP.29/GRSP/2016/11</dc:title>
  <dc:subject>final</dc:subject>
  <dc:creator>Dariche Maud</dc:creator>
  <cp:keywords/>
  <dc:description/>
  <cp:lastModifiedBy>Bénédicte Boudol</cp:lastModifiedBy>
  <cp:revision>2</cp:revision>
  <cp:lastPrinted>2016-03-29T09:41:00Z</cp:lastPrinted>
  <dcterms:created xsi:type="dcterms:W3CDTF">2016-03-30T17:18:00Z</dcterms:created>
  <dcterms:modified xsi:type="dcterms:W3CDTF">2016-03-30T17:18:00Z</dcterms:modified>
</cp:coreProperties>
</file>