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984"/>
        <w:gridCol w:w="2693"/>
      </w:tblGrid>
      <w:tr w:rsidR="002D5AAC" w:rsidTr="00C119AE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74D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18649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74DDF" w:rsidP="00974DDF">
            <w:pPr>
              <w:jc w:val="right"/>
            </w:pPr>
            <w:r w:rsidRPr="00974DDF">
              <w:rPr>
                <w:sz w:val="40"/>
              </w:rPr>
              <w:t>ECE</w:t>
            </w:r>
            <w:r>
              <w:t>/TRANS/WP.15/2017/4</w:t>
            </w:r>
          </w:p>
        </w:tc>
      </w:tr>
      <w:tr w:rsidR="002D5AAC" w:rsidRPr="00974DDF" w:rsidTr="005E3B5C">
        <w:trPr>
          <w:trHeight w:val="2662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18649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81642A" wp14:editId="65EC61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8A37C8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74DDF" w:rsidP="0071289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 General</w:t>
            </w:r>
          </w:p>
          <w:p w:rsidR="00974DDF" w:rsidRDefault="00974DDF" w:rsidP="00974D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February 2017</w:t>
            </w:r>
          </w:p>
          <w:p w:rsidR="00974DDF" w:rsidRDefault="00974DDF" w:rsidP="00974D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74DDF" w:rsidRPr="008D53B6" w:rsidRDefault="00974DDF" w:rsidP="00974D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D2875" w:rsidRPr="00CD2875" w:rsidRDefault="00CD2875" w:rsidP="00CD2875">
      <w:pPr>
        <w:spacing w:before="120"/>
        <w:rPr>
          <w:sz w:val="28"/>
          <w:szCs w:val="28"/>
        </w:rPr>
      </w:pPr>
      <w:r w:rsidRPr="00CD2875">
        <w:rPr>
          <w:sz w:val="28"/>
          <w:szCs w:val="28"/>
        </w:rPr>
        <w:t>Комитет по внутреннему транспорту</w:t>
      </w:r>
    </w:p>
    <w:p w:rsidR="00CD2875" w:rsidRPr="00CD2875" w:rsidRDefault="00CD2875" w:rsidP="00CD2875">
      <w:pPr>
        <w:spacing w:before="120"/>
        <w:rPr>
          <w:b/>
          <w:sz w:val="24"/>
          <w:szCs w:val="24"/>
        </w:rPr>
      </w:pPr>
      <w:r w:rsidRPr="00CD2875">
        <w:rPr>
          <w:b/>
          <w:sz w:val="24"/>
          <w:szCs w:val="24"/>
        </w:rPr>
        <w:t>Рабочая группа по перевозкам опасных грузов</w:t>
      </w:r>
    </w:p>
    <w:p w:rsidR="00CD2875" w:rsidRPr="00CD2875" w:rsidRDefault="00CD2875" w:rsidP="00CD2875">
      <w:pPr>
        <w:spacing w:before="120"/>
        <w:rPr>
          <w:b/>
        </w:rPr>
      </w:pPr>
      <w:r w:rsidRPr="00CD2875">
        <w:rPr>
          <w:b/>
        </w:rPr>
        <w:t>102-я сессия</w:t>
      </w:r>
    </w:p>
    <w:p w:rsidR="00CD2875" w:rsidRPr="00CD2875" w:rsidRDefault="00CD2875" w:rsidP="00CD2875">
      <w:r w:rsidRPr="00CD2875">
        <w:t>Женева, 8–12 мая 2017 года</w:t>
      </w:r>
    </w:p>
    <w:p w:rsidR="00CD2875" w:rsidRPr="00CD2875" w:rsidRDefault="00CD2875" w:rsidP="00CD2875">
      <w:r w:rsidRPr="00CD2875">
        <w:t>Пункт 5 b) предварительной повестки дня</w:t>
      </w:r>
    </w:p>
    <w:p w:rsidR="00CD2875" w:rsidRPr="00CD2875" w:rsidRDefault="00CD2875" w:rsidP="00CD2875">
      <w:pPr>
        <w:rPr>
          <w:b/>
        </w:rPr>
      </w:pPr>
      <w:r w:rsidRPr="00CD2875">
        <w:rPr>
          <w:b/>
        </w:rPr>
        <w:t xml:space="preserve">Предложения о внесении поправок </w:t>
      </w:r>
      <w:r w:rsidRPr="00CD2875">
        <w:rPr>
          <w:b/>
        </w:rPr>
        <w:br/>
        <w:t xml:space="preserve">в приложения A и B к ДОПОГ: </w:t>
      </w:r>
      <w:r w:rsidRPr="00CD2875">
        <w:rPr>
          <w:b/>
        </w:rPr>
        <w:br/>
        <w:t>различные предложения</w:t>
      </w:r>
    </w:p>
    <w:p w:rsidR="00CD2875" w:rsidRPr="00CD2875" w:rsidRDefault="00CD2875" w:rsidP="001F1ACA">
      <w:pPr>
        <w:pStyle w:val="HChGR"/>
      </w:pPr>
      <w:r w:rsidRPr="00CD2875">
        <w:tab/>
      </w:r>
      <w:r w:rsidRPr="00CD2875">
        <w:tab/>
        <w:t xml:space="preserve">Применение № ООН 3166 и 3171 к транспортным средствам, </w:t>
      </w:r>
      <w:r w:rsidR="001F1ACA">
        <w:t>перевозимым в качестве груза, и</w:t>
      </w:r>
      <w:r w:rsidR="001F1ACA">
        <w:rPr>
          <w:lang w:val="en-US"/>
        </w:rPr>
        <w:t> </w:t>
      </w:r>
      <w:r w:rsidRPr="00CD2875">
        <w:t xml:space="preserve">предельные количества топлива для газожидкостных гибридных двигателей, </w:t>
      </w:r>
      <w:r w:rsidR="003F3363" w:rsidRPr="003F3363">
        <w:br/>
      </w:r>
      <w:r w:rsidRPr="00CD2875">
        <w:t>перевозимых на прицепах</w:t>
      </w:r>
    </w:p>
    <w:p w:rsidR="004C50FE" w:rsidRPr="004B326F" w:rsidRDefault="00CD2875" w:rsidP="004B326F">
      <w:pPr>
        <w:pStyle w:val="H1GR"/>
        <w:rPr>
          <w:b w:val="0"/>
          <w:sz w:val="20"/>
          <w:lang w:val="en-US"/>
        </w:rPr>
      </w:pPr>
      <w:r w:rsidRPr="00CD2875">
        <w:tab/>
      </w:r>
      <w:r w:rsidRPr="00CD2875">
        <w:tab/>
        <w:t>Передано правительством Швейцарии</w:t>
      </w:r>
      <w:r w:rsidR="003F3363" w:rsidRPr="003F336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0B7632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0B7632" w:rsidRPr="00D70504" w:rsidRDefault="000B7632" w:rsidP="00850215">
            <w:pPr>
              <w:tabs>
                <w:tab w:val="left" w:pos="255"/>
              </w:tabs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0504">
              <w:rPr>
                <w:rFonts w:ascii="Times New Roman" w:hAnsi="Times New Roman" w:cs="Times New Roman"/>
                <w:i/>
                <w:sz w:val="24"/>
                <w:szCs w:val="24"/>
              </w:rPr>
              <w:t>Резюме</w:t>
            </w:r>
          </w:p>
        </w:tc>
      </w:tr>
      <w:tr w:rsidR="000B7632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B7632" w:rsidRPr="00A16091" w:rsidRDefault="00A1542A" w:rsidP="004B326F">
            <w:pPr>
              <w:pStyle w:val="SingleTxtG"/>
              <w:ind w:left="3990" w:hanging="2856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A16091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Существо предложения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: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 xml:space="preserve">Топливо для газожидкостных гибридных двигателей и количества, разрешенные на прицепах, должны приниматься во внимание. Указать </w:t>
            </w:r>
            <w:r w:rsidR="00905106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в 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1.1.3.2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</w:rPr>
              <w:t>a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, 1.1.3.3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</w:rPr>
              <w:t>a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 и 1.1.3.7, что транспортные средства, перевозимые в качестве груза, перевозятся под №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</w:rPr>
              <w:t> 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ООН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</w:rPr>
              <w:t> 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3166 и 3171.</w:t>
            </w:r>
          </w:p>
        </w:tc>
      </w:tr>
      <w:tr w:rsidR="000B7632" w:rsidTr="00A1542A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3F3363" w:rsidRPr="00A16091" w:rsidRDefault="003F3363" w:rsidP="003F3363">
            <w:pPr>
              <w:pStyle w:val="SingleTxtG"/>
              <w:ind w:left="3990" w:hanging="2856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A16091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Предлагаемое решение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: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Указать в 1.1.3.2a, 1.1.3.3a и 1.1.3.7, что транспортные средства, освобожденные от действия требований согласно этим положениям, перевозятся в качестве груза под соответственно №</w:t>
            </w:r>
            <w:r w:rsidR="00A16091" w:rsidRPr="00A16091">
              <w:rPr>
                <w:rFonts w:ascii="Times New Roman" w:hAnsi="Times New Roman"/>
                <w:spacing w:val="4"/>
                <w:w w:val="103"/>
                <w:sz w:val="20"/>
                <w:lang w:val="en-US"/>
              </w:rPr>
              <w:t> 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ООН 3166 или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en-US"/>
              </w:rPr>
              <w:t> </w:t>
            </w: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3171.</w:t>
            </w:r>
          </w:p>
          <w:p w:rsidR="000B7632" w:rsidRPr="00A16091" w:rsidRDefault="003F3363" w:rsidP="004B326F">
            <w:pPr>
              <w:pStyle w:val="SingleTxtG"/>
              <w:ind w:left="3990" w:hanging="2856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A16091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Определить в 1.1.3.2a, примечании 2 к 1.1.3.3a и специальном положении 669 количество газожидкостного топлива для гибридных двигателей, перевозимых на прицепах.</w:t>
            </w:r>
          </w:p>
        </w:tc>
      </w:tr>
      <w:tr w:rsidR="00A1542A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A1542A" w:rsidRPr="00A1542A" w:rsidRDefault="00A1542A" w:rsidP="00850215">
            <w:pPr>
              <w:rPr>
                <w:rFonts w:cs="Times New Roman"/>
                <w:szCs w:val="20"/>
              </w:rPr>
            </w:pPr>
          </w:p>
        </w:tc>
      </w:tr>
    </w:tbl>
    <w:p w:rsidR="00CD2875" w:rsidRPr="00CD2875" w:rsidRDefault="00CD2875" w:rsidP="005E3B5C">
      <w:pPr>
        <w:pStyle w:val="HChGR"/>
      </w:pPr>
      <w:r w:rsidRPr="00CD2875">
        <w:tab/>
      </w:r>
      <w:r w:rsidRPr="00CD2875">
        <w:tab/>
        <w:t>Введение</w:t>
      </w:r>
    </w:p>
    <w:p w:rsidR="00CD2875" w:rsidRPr="00CD2875" w:rsidRDefault="00CD2875" w:rsidP="005E3B5C">
      <w:pPr>
        <w:pStyle w:val="H1GR"/>
      </w:pPr>
      <w:r w:rsidRPr="00CD2875">
        <w:tab/>
      </w:r>
      <w:r w:rsidRPr="00CD2875">
        <w:tab/>
        <w:t xml:space="preserve">Применение № ООН 3166 и </w:t>
      </w:r>
      <w:r w:rsidR="005E3B5C">
        <w:t>3171 к транспортным средствам и</w:t>
      </w:r>
      <w:r w:rsidR="005E3B5C">
        <w:rPr>
          <w:lang w:val="en-US"/>
        </w:rPr>
        <w:t> </w:t>
      </w:r>
      <w:r w:rsidRPr="00CD2875">
        <w:t>их оборудованию</w:t>
      </w:r>
    </w:p>
    <w:p w:rsidR="00CD2875" w:rsidRPr="00CD2875" w:rsidRDefault="00CD2875" w:rsidP="00D72353">
      <w:pPr>
        <w:pStyle w:val="SingleTxtGR"/>
      </w:pPr>
      <w:r w:rsidRPr="00CD2875">
        <w:t>1.</w:t>
      </w:r>
      <w:r w:rsidRPr="00CD2875">
        <w:tab/>
        <w:t>В 1.1.3.2a, 1.1.3.3a и 1.1.3.7 не уточняется, что эти транспортные средства относятся к № ООН 3166 и 3171, когда они перевозятся в качестве груза. Без этого уточнения пользователи транспортных средств могут не знать, что к их транспортным средствам все же применяются дополнительные положения, когда они перевозятся погруженными.</w:t>
      </w:r>
    </w:p>
    <w:p w:rsidR="00CD2875" w:rsidRPr="00CD2875" w:rsidRDefault="00CD2875" w:rsidP="00D72353">
      <w:pPr>
        <w:pStyle w:val="SingleTxtGR"/>
      </w:pPr>
      <w:r w:rsidRPr="00CD2875">
        <w:t>2.</w:t>
      </w:r>
      <w:r w:rsidRPr="00CD2875">
        <w:tab/>
        <w:t>Применительно к транспортным средствам, их оборудованию, а также контейнерам необходимо указать в примечаниях к 1.1.3.2, 1.1.3.3 и 1.1.3.7 в соответствующих местах текста что, когда они перевозятся в качестве груза на другом транспортом средстве или автомобиле, они относятся к позиции, предусмотренной соответственно для № ООН 3166 или 3171, и перевозятся в соответствии с требованиями, установленными для этой позиции (предложение 1).</w:t>
      </w:r>
    </w:p>
    <w:p w:rsidR="00CD2875" w:rsidRPr="00CD2875" w:rsidRDefault="00CD2875" w:rsidP="00D72353">
      <w:pPr>
        <w:pStyle w:val="H1GR"/>
      </w:pPr>
      <w:r w:rsidRPr="00CD2875">
        <w:tab/>
      </w:r>
      <w:r w:rsidRPr="00CD2875">
        <w:tab/>
        <w:t>Разрешенное количество газа на одну транспортную единицу согласно 1.1.3.2a и специальному положению 669 (СП 669)</w:t>
      </w:r>
    </w:p>
    <w:p w:rsidR="00CD2875" w:rsidRPr="00CD2875" w:rsidRDefault="00CD2875" w:rsidP="00D72353">
      <w:pPr>
        <w:pStyle w:val="SingleTxtGR"/>
      </w:pPr>
      <w:r w:rsidRPr="00CD2875">
        <w:t>3.</w:t>
      </w:r>
      <w:r w:rsidRPr="00CD2875">
        <w:tab/>
        <w:t>Вопрос о количестве газообразного топлива в случае прицепа с погруженными на него техническими средствами, которые снабжены гибридными двигателями, работающими на газообразном и/или жидком топливе, до сих пор в правилах не урегулирован.</w:t>
      </w:r>
    </w:p>
    <w:p w:rsidR="00CD2875" w:rsidRPr="00CD2875" w:rsidRDefault="00CD2875" w:rsidP="00D72353">
      <w:pPr>
        <w:pStyle w:val="SingleTxtGR"/>
      </w:pPr>
      <w:r w:rsidRPr="00CD2875">
        <w:t>4.</w:t>
      </w:r>
      <w:r w:rsidRPr="00CD2875">
        <w:tab/>
        <w:t>В 1.1.3.3a количество жидкого топлива, находящегося на одном прицепе, установлено на уровне 500 л</w:t>
      </w:r>
      <w:r w:rsidR="00AE112C">
        <w:t>итров</w:t>
      </w:r>
      <w:r w:rsidRPr="00CD2875">
        <w:t>. В примечании 2 к 1.1.3.3a принято во внимание существование газожидкостных гибридных двигателей и определен максимальный энергетический эквивалент в 54 000 МДж на транспортную единицу, соответствующий 1 500 л жидкого топлива. Это количество необходимо также учитывать в случае прицепов.</w:t>
      </w:r>
    </w:p>
    <w:p w:rsidR="00CD2875" w:rsidRPr="00CD2875" w:rsidRDefault="00CD2875" w:rsidP="00D72353">
      <w:pPr>
        <w:pStyle w:val="SingleTxtGR"/>
      </w:pPr>
      <w:r w:rsidRPr="00CD2875">
        <w:t>5.</w:t>
      </w:r>
      <w:r w:rsidRPr="00CD2875">
        <w:tab/>
        <w:t>СП 669 было введено для того, чтобы позволить применять к прицепам, которые не входят в определение транспортного средства, приведенное в специальном положении 385 (самоходный аппарат), положения, предусмотренные для транспортных средств, перевозимых в качестве груза (№ ООН </w:t>
      </w:r>
      <w:r w:rsidR="00D72353">
        <w:t>3166). В </w:t>
      </w:r>
      <w:r w:rsidRPr="00CD2875">
        <w:t>этом СП 669 также предусмотрен объем в 500 л, который указан и в 1.1.3.3a.</w:t>
      </w:r>
    </w:p>
    <w:p w:rsidR="00CD2875" w:rsidRPr="00CD2875" w:rsidRDefault="00CD2875" w:rsidP="00D72353">
      <w:pPr>
        <w:pStyle w:val="SingleTxtGR"/>
      </w:pPr>
      <w:r w:rsidRPr="00CD2875">
        <w:t>6.</w:t>
      </w:r>
      <w:r w:rsidRPr="00CD2875">
        <w:tab/>
        <w:t>В упомянутых двух случаях не установлено аналогичного предельного количества в том, что касается величины максимального энергетического эквивалента, перевозимого на одном прицепе, в случае гибридных двигателей (газ/жидкость). Рабочей группе следовало бы рассмотреть вопрос об ограничении соответствующих количеств также на прицепах, содержащих топливные баки, контейнеры и баллоны для гибридных двигателей, работающих как на газообразном, так и на жидком топливе.</w:t>
      </w:r>
    </w:p>
    <w:p w:rsidR="00CD2875" w:rsidRPr="00CD2875" w:rsidRDefault="00CD2875" w:rsidP="00D72353">
      <w:pPr>
        <w:pStyle w:val="SingleTxtGR"/>
      </w:pPr>
      <w:r w:rsidRPr="00CD2875">
        <w:t>7.</w:t>
      </w:r>
      <w:r w:rsidRPr="00CD2875">
        <w:tab/>
        <w:t>Отсутствие упоминания о таком предельном количестве в 1.1.3.2a</w:t>
      </w:r>
      <w:r w:rsidR="00905106">
        <w:t xml:space="preserve"> и </w:t>
      </w:r>
      <w:r w:rsidRPr="00CD2875">
        <w:t>1.1.3.3a может, по сути, означать следующее: либо прицепы, на которых совместно перевозятся такие виды топлива, не освобождены от действия требований согласно 1.1.3.2a и 1.1.3.3a; либо количество, соответствующее 54 000 МДж, может почти полностью находиться на прицепе и, таким образом, значительно превышать энергоемкость, равную 500 л, контейнеров с жидким топливом, находящихся на прицепе; либо прицеп, на котором перевозятся гибридные двигатели, не освобожден от действия требований согласно этим положениям.</w:t>
      </w:r>
    </w:p>
    <w:p w:rsidR="00CD2875" w:rsidRPr="00CD2875" w:rsidRDefault="00CD2875" w:rsidP="00D72353">
      <w:pPr>
        <w:pStyle w:val="SingleTxtGR"/>
      </w:pPr>
      <w:r w:rsidRPr="00CD2875">
        <w:t>8.</w:t>
      </w:r>
      <w:r w:rsidRPr="00CD2875">
        <w:tab/>
        <w:t xml:space="preserve">В случае СП 669 отсутствие упоминания об этих видах топлива для гибридных двигателей предполагает, что прицепы, содержащие такие смешанные </w:t>
      </w:r>
      <w:r w:rsidRPr="00CD2875">
        <w:lastRenderedPageBreak/>
        <w:t>грузы в виде газообразного и жидкого топлива, не могут перевозиться в соответствии с позицией, предусмотренной для № ООН 3166, и что эти прицепы либо подчиняются всем предписаниям ДОПОГ, либо запрещены в качестве груза.</w:t>
      </w:r>
    </w:p>
    <w:p w:rsidR="00CD2875" w:rsidRPr="00CD2875" w:rsidRDefault="00CD2875" w:rsidP="00D72353">
      <w:pPr>
        <w:pStyle w:val="SingleTxtGR"/>
      </w:pPr>
      <w:r w:rsidRPr="00CD2875">
        <w:t>9.</w:t>
      </w:r>
      <w:r w:rsidRPr="00CD2875">
        <w:tab/>
        <w:t>Учитывая, что ни один из этих вариантов не является желательным, следует установить конкретные пределы для энергетического эквивалента, перевозимого на прицепе.</w:t>
      </w:r>
    </w:p>
    <w:p w:rsidR="00CD2875" w:rsidRPr="00CD2875" w:rsidRDefault="00CD2875" w:rsidP="00D72353">
      <w:pPr>
        <w:pStyle w:val="SingleTxtGR"/>
      </w:pPr>
      <w:r w:rsidRPr="00CD2875">
        <w:t>10.</w:t>
      </w:r>
      <w:r w:rsidRPr="00CD2875">
        <w:tab/>
        <w:t xml:space="preserve">Величина энергии, эквивалентной 500 л жидкого топлива, составляет 18 000 МДж. Это значение необходимо указать в 1.1.3.2a, примечании 2 </w:t>
      </w:r>
      <w:r w:rsidR="00905106">
        <w:t>к </w:t>
      </w:r>
      <w:r w:rsidRPr="00CD2875">
        <w:t>1.1.3.3a и СП 669 (предложение 2).</w:t>
      </w:r>
    </w:p>
    <w:p w:rsidR="00CD2875" w:rsidRPr="00CD2875" w:rsidRDefault="00CD2875" w:rsidP="00D72353">
      <w:pPr>
        <w:pStyle w:val="H1GR"/>
      </w:pPr>
      <w:r w:rsidRPr="00CD2875">
        <w:tab/>
      </w:r>
      <w:r w:rsidRPr="00CD2875">
        <w:tab/>
        <w:t>Предложение 1</w:t>
      </w:r>
    </w:p>
    <w:p w:rsidR="00CD2875" w:rsidRPr="00CD2875" w:rsidRDefault="00CD2875" w:rsidP="00D72353">
      <w:pPr>
        <w:pStyle w:val="SingleTxtGR"/>
      </w:pPr>
      <w:r w:rsidRPr="00CD2875">
        <w:t>11.</w:t>
      </w:r>
      <w:r w:rsidRPr="00CD2875">
        <w:tab/>
        <w:t>Включить в 1.1.3.2a и 1.1.3.3a примечание 3 следующего содержания:</w:t>
      </w:r>
    </w:p>
    <w:p w:rsidR="00CD2875" w:rsidRPr="00CD2875" w:rsidRDefault="00CD2875" w:rsidP="00D72353">
      <w:pPr>
        <w:pStyle w:val="SingleTxtGR"/>
      </w:pPr>
      <w:r w:rsidRPr="00CD2875">
        <w:t>«ПРИМЕЧАНИЕ 3: Когда транспортные средства и оборудование перевозятся в качестве груза, они должны относиться к позиции, предусмотренной для № ООН 3166, и должны соблюдаться условия перевозки, применимые к этой позиции».</w:t>
      </w:r>
    </w:p>
    <w:p w:rsidR="00CD2875" w:rsidRPr="00CD2875" w:rsidRDefault="00CD2875" w:rsidP="00D72353">
      <w:pPr>
        <w:pStyle w:val="SingleTxtGR"/>
      </w:pPr>
      <w:r w:rsidRPr="00CD2875">
        <w:t>Включить в 1.1.3.2a, в конце примечания 2, и 1.1.3.3a, в конце примечания 1, следующий текст:</w:t>
      </w:r>
    </w:p>
    <w:p w:rsidR="00CD2875" w:rsidRPr="00CD2875" w:rsidRDefault="00CD2875" w:rsidP="00D72353">
      <w:pPr>
        <w:pStyle w:val="SingleTxtGR"/>
      </w:pPr>
      <w:r w:rsidRPr="00CD2875">
        <w:t>«Когда контейнеры перевозятся в качестве груза, они должны относиться к позиции, предусмотренной для № ООН 3166, и должны соблюдаться условия перевозки, применимые к этой позиции».</w:t>
      </w:r>
    </w:p>
    <w:p w:rsidR="00CD2875" w:rsidRPr="00CD2875" w:rsidRDefault="00CD2875" w:rsidP="00D72353">
      <w:pPr>
        <w:pStyle w:val="SingleTxtGR"/>
      </w:pPr>
      <w:r w:rsidRPr="00CD2875">
        <w:t>Включить в примечание 1.1.3.7 следующий текст:</w:t>
      </w:r>
    </w:p>
    <w:p w:rsidR="00CD2875" w:rsidRPr="00CD2875" w:rsidRDefault="00CD2875" w:rsidP="00D72353">
      <w:pPr>
        <w:pStyle w:val="SingleTxtGR"/>
      </w:pPr>
      <w:r w:rsidRPr="00CD2875">
        <w:t>«ПРИМЕЧАНИЕ: Когда транспортные средства и оборудование перевозятся в качестве груза, они должны относиться к позиции, предусмотренной для № ООН 3171, и должны соблюдаться условия перевозки, применимые к этой позиции».</w:t>
      </w:r>
    </w:p>
    <w:p w:rsidR="00CD2875" w:rsidRPr="00CD2875" w:rsidRDefault="00CD2875" w:rsidP="00D72353">
      <w:pPr>
        <w:pStyle w:val="H1GR"/>
      </w:pPr>
      <w:r w:rsidRPr="00CD2875">
        <w:tab/>
      </w:r>
      <w:r w:rsidRPr="00CD2875">
        <w:tab/>
        <w:t>Предложение 2</w:t>
      </w:r>
    </w:p>
    <w:p w:rsidR="00CD2875" w:rsidRPr="00CD2875" w:rsidRDefault="00CD2875" w:rsidP="00D72353">
      <w:pPr>
        <w:pStyle w:val="SingleTxtGR"/>
      </w:pPr>
      <w:r w:rsidRPr="00CD2875">
        <w:t>12.</w:t>
      </w:r>
      <w:r w:rsidRPr="00CD2875">
        <w:tab/>
        <w:t>После «</w:t>
      </w:r>
      <w:r w:rsidRPr="00CD2875">
        <w:rPr>
          <w:i/>
          <w:iCs/>
        </w:rPr>
        <w:t>54 000 МДж</w:t>
      </w:r>
      <w:r w:rsidRPr="00CD2875">
        <w:t>» в третьем абзаце подпункта 1.1.3.2a и в примечании 2 к 1.1.3.3a, а также в конце СП 669 добавить следующее:</w:t>
      </w:r>
    </w:p>
    <w:p w:rsidR="00CD2875" w:rsidRPr="00CD2875" w:rsidRDefault="00CD2875" w:rsidP="00D72353">
      <w:pPr>
        <w:pStyle w:val="SingleTxtGR"/>
      </w:pPr>
      <w:r w:rsidRPr="00CD2875">
        <w:t>«...и вместимость топливных баков или баллонов, установленных на прицепе или в контейнере, которые содержат одновременно газообразное и жидкое топливо, не должна превышать энергетического эквивалента в 18 000 МДж».</w:t>
      </w:r>
    </w:p>
    <w:p w:rsidR="00CD2875" w:rsidRPr="00CD2875" w:rsidRDefault="00CD2875" w:rsidP="00D72353">
      <w:pPr>
        <w:pStyle w:val="SingleTxtGR"/>
      </w:pPr>
      <w:r w:rsidRPr="00CD2875">
        <w:t>В примечание 1 к 1.1.3.2a включить, после первого предложения, следующее предложение:</w:t>
      </w:r>
    </w:p>
    <w:p w:rsidR="00CD2875" w:rsidRDefault="00CD2875" w:rsidP="00D72353">
      <w:pPr>
        <w:pStyle w:val="SingleTxtGR"/>
      </w:pPr>
      <w:r w:rsidRPr="00CD2875">
        <w:t>«</w:t>
      </w:r>
      <w:r w:rsidRPr="00CD2875">
        <w:rPr>
          <w:i/>
          <w:iCs/>
        </w:rPr>
        <w:t>Значение энергетического эквивалента 18 000 МДж соответствует предельному значению для топлива, предусмотренному в пункте 1.1.3.3a для прицепов (500 литров)</w:t>
      </w:r>
      <w:r w:rsidRPr="00CD2875">
        <w:t>».</w:t>
      </w:r>
    </w:p>
    <w:p w:rsidR="00E12C5F" w:rsidRPr="00511939" w:rsidRDefault="00511939" w:rsidP="0051193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11939" w:rsidSect="00974D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E8" w:rsidRPr="00A312BC" w:rsidRDefault="001C6CE8" w:rsidP="00A312BC"/>
  </w:endnote>
  <w:endnote w:type="continuationSeparator" w:id="0">
    <w:p w:rsidR="001C6CE8" w:rsidRPr="00A312BC" w:rsidRDefault="001C6C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DF" w:rsidRPr="00A16091" w:rsidRDefault="00974DDF" w:rsidP="00A16091">
    <w:pPr>
      <w:tabs>
        <w:tab w:val="right" w:pos="9617"/>
      </w:tabs>
      <w:rPr>
        <w:rFonts w:eastAsia="Times New Roman" w:cs="Times New Roman"/>
        <w:sz w:val="16"/>
        <w:szCs w:val="20"/>
        <w:lang w:val="en-GB" w:eastAsia="ru-RU"/>
      </w:rPr>
    </w:pPr>
    <w:r w:rsidRPr="00974DDF">
      <w:rPr>
        <w:b/>
        <w:sz w:val="18"/>
      </w:rPr>
      <w:fldChar w:fldCharType="begin"/>
    </w:r>
    <w:r w:rsidRPr="00974DDF">
      <w:rPr>
        <w:b/>
        <w:sz w:val="18"/>
      </w:rPr>
      <w:instrText xml:space="preserve"> PAGE  \* MERGEFORMAT </w:instrText>
    </w:r>
    <w:r w:rsidRPr="00974DDF">
      <w:rPr>
        <w:b/>
        <w:sz w:val="18"/>
      </w:rPr>
      <w:fldChar w:fldCharType="separate"/>
    </w:r>
    <w:r w:rsidR="002E5EE8">
      <w:rPr>
        <w:b/>
        <w:noProof/>
        <w:sz w:val="18"/>
      </w:rPr>
      <w:t>2</w:t>
    </w:r>
    <w:r w:rsidRPr="00974DDF">
      <w:rPr>
        <w:b/>
        <w:sz w:val="18"/>
      </w:rPr>
      <w:fldChar w:fldCharType="end"/>
    </w:r>
    <w:r w:rsidR="004B326F">
      <w:rPr>
        <w:b/>
        <w:sz w:val="18"/>
        <w:lang w:val="en-US"/>
      </w:rPr>
      <w:tab/>
    </w:r>
    <w:r w:rsidRPr="00A16091">
      <w:rPr>
        <w:rFonts w:eastAsia="Times New Roman" w:cs="Times New Roman"/>
        <w:sz w:val="16"/>
        <w:szCs w:val="20"/>
        <w:lang w:val="en-GB" w:eastAsia="ru-RU"/>
      </w:rPr>
      <w:t>GE.17-02681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DF" w:rsidRPr="00974DDF" w:rsidRDefault="00974DDF" w:rsidP="00974DDF">
    <w:pPr>
      <w:tabs>
        <w:tab w:val="right" w:pos="9638"/>
      </w:tabs>
      <w:rPr>
        <w:b/>
        <w:sz w:val="18"/>
      </w:rPr>
    </w:pPr>
    <w:r w:rsidRPr="00A16091">
      <w:rPr>
        <w:rFonts w:eastAsia="Times New Roman" w:cs="Times New Roman"/>
        <w:sz w:val="16"/>
        <w:szCs w:val="20"/>
        <w:lang w:val="en-GB" w:eastAsia="ru-RU"/>
      </w:rPr>
      <w:t>GE.17-02681</w:t>
    </w:r>
    <w:r>
      <w:tab/>
    </w:r>
    <w:r w:rsidRPr="00974DDF">
      <w:rPr>
        <w:b/>
        <w:sz w:val="18"/>
      </w:rPr>
      <w:fldChar w:fldCharType="begin"/>
    </w:r>
    <w:r w:rsidRPr="00974DDF">
      <w:rPr>
        <w:b/>
        <w:sz w:val="18"/>
      </w:rPr>
      <w:instrText xml:space="preserve"> PAGE  \* MERGEFORMAT </w:instrText>
    </w:r>
    <w:r w:rsidRPr="00974DDF">
      <w:rPr>
        <w:b/>
        <w:sz w:val="18"/>
      </w:rPr>
      <w:fldChar w:fldCharType="separate"/>
    </w:r>
    <w:r w:rsidR="002E5EE8">
      <w:rPr>
        <w:b/>
        <w:noProof/>
        <w:sz w:val="18"/>
      </w:rPr>
      <w:t>3</w:t>
    </w:r>
    <w:r w:rsidRPr="00974D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74DDF" w:rsidRDefault="00974DDF" w:rsidP="00974DDF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6312BEA" wp14:editId="176E87D4">
          <wp:simplePos x="0" y="0"/>
          <wp:positionH relativeFrom="margin">
            <wp:posOffset>3420745</wp:posOffset>
          </wp:positionH>
          <wp:positionV relativeFrom="margin">
            <wp:posOffset>9109075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17-02681  (R)</w:t>
    </w:r>
    <w:r w:rsidR="003F3363">
      <w:rPr>
        <w:lang w:val="en-US"/>
      </w:rPr>
      <w:t xml:space="preserve">  280217  010317</w:t>
    </w:r>
    <w:r>
      <w:br/>
    </w:r>
    <w:r w:rsidRPr="00974DDF">
      <w:rPr>
        <w:rFonts w:ascii="C39T30Lfz" w:hAnsi="C39T30Lfz"/>
        <w:spacing w:val="0"/>
        <w:w w:val="100"/>
        <w:sz w:val="56"/>
      </w:rPr>
      <w:t></w:t>
    </w:r>
    <w:r w:rsidRPr="00974DDF">
      <w:rPr>
        <w:rFonts w:ascii="C39T30Lfz" w:hAnsi="C39T30Lfz"/>
        <w:spacing w:val="0"/>
        <w:w w:val="100"/>
        <w:sz w:val="56"/>
      </w:rPr>
      <w:t></w:t>
    </w:r>
    <w:r w:rsidRPr="00974DDF">
      <w:rPr>
        <w:rFonts w:ascii="C39T30Lfz" w:hAnsi="C39T30Lfz"/>
        <w:spacing w:val="0"/>
        <w:w w:val="100"/>
        <w:sz w:val="56"/>
      </w:rPr>
      <w:t></w:t>
    </w:r>
    <w:r w:rsidRPr="00974DDF">
      <w:rPr>
        <w:rFonts w:ascii="C39T30Lfz" w:hAnsi="C39T30Lfz"/>
        <w:spacing w:val="0"/>
        <w:w w:val="100"/>
        <w:sz w:val="56"/>
      </w:rPr>
      <w:t></w:t>
    </w:r>
    <w:r w:rsidRPr="00974DDF">
      <w:rPr>
        <w:rFonts w:ascii="C39T30Lfz" w:hAnsi="C39T30Lfz"/>
        <w:spacing w:val="0"/>
        <w:w w:val="100"/>
        <w:sz w:val="56"/>
      </w:rPr>
      <w:t></w:t>
    </w:r>
    <w:r w:rsidRPr="00974DDF">
      <w:rPr>
        <w:rFonts w:ascii="C39T30Lfz" w:hAnsi="C39T30Lfz"/>
        <w:spacing w:val="0"/>
        <w:w w:val="100"/>
        <w:sz w:val="56"/>
      </w:rPr>
      <w:t></w:t>
    </w:r>
    <w:r w:rsidRPr="00974DDF">
      <w:rPr>
        <w:rFonts w:ascii="C39T30Lfz" w:hAnsi="C39T30Lfz"/>
        <w:spacing w:val="0"/>
        <w:w w:val="100"/>
        <w:sz w:val="56"/>
      </w:rPr>
      <w:t></w:t>
    </w:r>
    <w:r w:rsidRPr="00974DDF">
      <w:rPr>
        <w:rFonts w:ascii="C39T30Lfz" w:hAnsi="C39T30Lfz"/>
        <w:spacing w:val="0"/>
        <w:w w:val="100"/>
        <w:sz w:val="56"/>
      </w:rPr>
      <w:t></w:t>
    </w:r>
    <w:r w:rsidRPr="00974DDF">
      <w:rPr>
        <w:rFonts w:ascii="C39T30Lfz" w:hAnsi="C39T30Lfz"/>
        <w:spacing w:val="0"/>
        <w:w w:val="100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E8" w:rsidRPr="001075E9" w:rsidRDefault="001C6C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6CE8" w:rsidRDefault="001C6C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F3363" w:rsidRPr="003F3363" w:rsidRDefault="003F3363">
      <w:pPr>
        <w:pStyle w:val="FootnoteText"/>
        <w:rPr>
          <w:sz w:val="20"/>
          <w:lang w:val="ru-RU"/>
        </w:rPr>
      </w:pPr>
      <w:r>
        <w:tab/>
      </w:r>
      <w:r w:rsidRPr="003F3363">
        <w:rPr>
          <w:rStyle w:val="FootnoteReference"/>
          <w:sz w:val="20"/>
          <w:vertAlign w:val="baseline"/>
          <w:lang w:val="ru-RU"/>
        </w:rPr>
        <w:t>*</w:t>
      </w:r>
      <w:r w:rsidRPr="003F3363">
        <w:rPr>
          <w:rStyle w:val="FootnoteReference"/>
          <w:vertAlign w:val="baseline"/>
          <w:lang w:val="ru-RU"/>
        </w:rPr>
        <w:tab/>
      </w:r>
      <w:r w:rsidRPr="00295ED0">
        <w:rPr>
          <w:lang w:val="ru-RU" w:eastAsia="en-GB"/>
        </w:rPr>
        <w:t xml:space="preserve">В соответствии с программой работы Комитета по внутреннему транспорту </w:t>
      </w:r>
      <w:r w:rsidR="005E3B5C" w:rsidRPr="005E3B5C">
        <w:rPr>
          <w:lang w:val="ru-RU" w:eastAsia="en-GB"/>
        </w:rPr>
        <w:br/>
      </w:r>
      <w:r>
        <w:rPr>
          <w:lang w:val="ru-RU" w:eastAsia="en-GB"/>
        </w:rPr>
        <w:t>на</w:t>
      </w:r>
      <w:r w:rsidRPr="00295ED0">
        <w:rPr>
          <w:lang w:val="ru-RU" w:eastAsia="en-GB"/>
        </w:rPr>
        <w:t xml:space="preserve"> 2016</w:t>
      </w:r>
      <w:r w:rsidR="005E3B5C" w:rsidRPr="005E3B5C">
        <w:rPr>
          <w:lang w:val="ru-RU" w:eastAsia="en-GB"/>
        </w:rPr>
        <w:t>–</w:t>
      </w:r>
      <w:r w:rsidRPr="00295ED0">
        <w:rPr>
          <w:lang w:val="ru-RU" w:eastAsia="en-GB"/>
        </w:rPr>
        <w:t>2017</w:t>
      </w:r>
      <w:r>
        <w:rPr>
          <w:lang w:val="ru-RU" w:eastAsia="en-GB"/>
        </w:rPr>
        <w:t xml:space="preserve"> годы </w:t>
      </w:r>
      <w:r w:rsidRPr="00295ED0">
        <w:rPr>
          <w:lang w:val="ru-RU" w:eastAsia="en-GB"/>
        </w:rPr>
        <w:t>(</w:t>
      </w:r>
      <w:r w:rsidRPr="00295ED0">
        <w:rPr>
          <w:lang w:eastAsia="en-GB"/>
        </w:rPr>
        <w:t>ECE</w:t>
      </w:r>
      <w:r w:rsidRPr="00295ED0">
        <w:rPr>
          <w:lang w:val="ru-RU" w:eastAsia="en-GB"/>
        </w:rPr>
        <w:t>/</w:t>
      </w:r>
      <w:r w:rsidRPr="00295ED0">
        <w:rPr>
          <w:lang w:eastAsia="en-GB"/>
        </w:rPr>
        <w:t>TRANS</w:t>
      </w:r>
      <w:r w:rsidRPr="00295ED0">
        <w:rPr>
          <w:lang w:val="ru-RU" w:eastAsia="en-GB"/>
        </w:rPr>
        <w:t>/2016/28/</w:t>
      </w:r>
      <w:r w:rsidRPr="00295ED0">
        <w:rPr>
          <w:lang w:eastAsia="en-GB"/>
        </w:rPr>
        <w:t>Add</w:t>
      </w:r>
      <w:r w:rsidRPr="00295ED0">
        <w:rPr>
          <w:lang w:val="ru-RU" w:eastAsia="en-GB"/>
        </w:rPr>
        <w:t xml:space="preserve">.1, </w:t>
      </w:r>
      <w:r w:rsidR="005E3B5C">
        <w:rPr>
          <w:lang w:val="ru-RU" w:eastAsia="en-GB"/>
        </w:rPr>
        <w:t xml:space="preserve">пункт </w:t>
      </w:r>
      <w:r w:rsidRPr="00295ED0">
        <w:rPr>
          <w:lang w:val="ru-RU" w:eastAsia="en-GB"/>
        </w:rPr>
        <w:t>9.2).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DF" w:rsidRPr="00974DDF" w:rsidRDefault="002E5EE8" w:rsidP="00A1609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15575">
      <w:t>ECE/TRANS/WP.15/2017/4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DF" w:rsidRPr="00974DDF" w:rsidRDefault="002E5EE8" w:rsidP="00A16091">
    <w:pPr>
      <w:pStyle w:val="Header"/>
      <w:jc w:val="right"/>
    </w:pPr>
    <w:r>
      <w:fldChar w:fldCharType="begin"/>
    </w:r>
    <w:r>
      <w:instrText xml:space="preserve"> TIT</w:instrText>
    </w:r>
    <w:r>
      <w:instrText xml:space="preserve">LE  \* MERGEFORMAT </w:instrText>
    </w:r>
    <w:r>
      <w:fldChar w:fldCharType="separate"/>
    </w:r>
    <w:r w:rsidR="00B15575">
      <w:t>ECE/TRANS/WP.15/2017/4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E8"/>
    <w:rsid w:val="00033EE1"/>
    <w:rsid w:val="00042B72"/>
    <w:rsid w:val="000558BD"/>
    <w:rsid w:val="000B57E7"/>
    <w:rsid w:val="000B6373"/>
    <w:rsid w:val="000B7632"/>
    <w:rsid w:val="000E4E5B"/>
    <w:rsid w:val="000F09DF"/>
    <w:rsid w:val="000F61B2"/>
    <w:rsid w:val="001075E9"/>
    <w:rsid w:val="00112B41"/>
    <w:rsid w:val="0014152F"/>
    <w:rsid w:val="00180183"/>
    <w:rsid w:val="0018024D"/>
    <w:rsid w:val="0018649F"/>
    <w:rsid w:val="00196389"/>
    <w:rsid w:val="001B3EF6"/>
    <w:rsid w:val="001C6CE8"/>
    <w:rsid w:val="001C7A89"/>
    <w:rsid w:val="001F1ACA"/>
    <w:rsid w:val="00255343"/>
    <w:rsid w:val="0027151D"/>
    <w:rsid w:val="002A2EFC"/>
    <w:rsid w:val="002B0106"/>
    <w:rsid w:val="002B74B1"/>
    <w:rsid w:val="002C0E18"/>
    <w:rsid w:val="002D5AAC"/>
    <w:rsid w:val="002E5067"/>
    <w:rsid w:val="002E5EE8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A48CE"/>
    <w:rsid w:val="003B00E5"/>
    <w:rsid w:val="003F3363"/>
    <w:rsid w:val="00407B78"/>
    <w:rsid w:val="00424203"/>
    <w:rsid w:val="00452493"/>
    <w:rsid w:val="00453318"/>
    <w:rsid w:val="00454AF2"/>
    <w:rsid w:val="00454E07"/>
    <w:rsid w:val="00472C5C"/>
    <w:rsid w:val="004B326F"/>
    <w:rsid w:val="004C50FE"/>
    <w:rsid w:val="004E05B7"/>
    <w:rsid w:val="0050108D"/>
    <w:rsid w:val="00511939"/>
    <w:rsid w:val="00513081"/>
    <w:rsid w:val="00517901"/>
    <w:rsid w:val="00526683"/>
    <w:rsid w:val="005639C1"/>
    <w:rsid w:val="005709E0"/>
    <w:rsid w:val="00572E19"/>
    <w:rsid w:val="005961C8"/>
    <w:rsid w:val="005966F1"/>
    <w:rsid w:val="005A1C95"/>
    <w:rsid w:val="005D7914"/>
    <w:rsid w:val="005E2B41"/>
    <w:rsid w:val="005E3B5C"/>
    <w:rsid w:val="005F0B42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7BC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5106"/>
    <w:rsid w:val="00906890"/>
    <w:rsid w:val="00911BE4"/>
    <w:rsid w:val="00951972"/>
    <w:rsid w:val="009608F3"/>
    <w:rsid w:val="00974DDF"/>
    <w:rsid w:val="009A24AC"/>
    <w:rsid w:val="00A14DA8"/>
    <w:rsid w:val="00A1542A"/>
    <w:rsid w:val="00A16091"/>
    <w:rsid w:val="00A312BC"/>
    <w:rsid w:val="00A71D0B"/>
    <w:rsid w:val="00A84021"/>
    <w:rsid w:val="00A84D35"/>
    <w:rsid w:val="00A917B3"/>
    <w:rsid w:val="00AB4B51"/>
    <w:rsid w:val="00AE112C"/>
    <w:rsid w:val="00AF7DFB"/>
    <w:rsid w:val="00B10CC7"/>
    <w:rsid w:val="00B15575"/>
    <w:rsid w:val="00B36DF7"/>
    <w:rsid w:val="00B539E7"/>
    <w:rsid w:val="00B62458"/>
    <w:rsid w:val="00BC18B2"/>
    <w:rsid w:val="00BD33EE"/>
    <w:rsid w:val="00C106D6"/>
    <w:rsid w:val="00C119AE"/>
    <w:rsid w:val="00C60F0C"/>
    <w:rsid w:val="00C805C9"/>
    <w:rsid w:val="00C92939"/>
    <w:rsid w:val="00CA1679"/>
    <w:rsid w:val="00CB151C"/>
    <w:rsid w:val="00CD2875"/>
    <w:rsid w:val="00CE5A1A"/>
    <w:rsid w:val="00CF55F6"/>
    <w:rsid w:val="00D208C2"/>
    <w:rsid w:val="00D33D63"/>
    <w:rsid w:val="00D5253A"/>
    <w:rsid w:val="00D70504"/>
    <w:rsid w:val="00D72353"/>
    <w:rsid w:val="00D750A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15DCD87-B7E8-4BFD-9016-3FD9AB5E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32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0B763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0B7632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0B7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0B76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0B76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0B7632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0B763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0B763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0B763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7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632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0B763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0B763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0B763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0B763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0B763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0B763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0B763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0B763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0B763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0B763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0B763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0B7632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0B7632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0B7632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0B7632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B7632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0B763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0B7632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0B7632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0B763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0B7632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0B7632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0B7632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0B763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0B763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0B7632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0B7632"/>
  </w:style>
  <w:style w:type="character" w:customStyle="1" w:styleId="EndnoteTextChar">
    <w:name w:val="Endnote Text Char"/>
    <w:aliases w:val="2_GR Char"/>
    <w:basedOn w:val="DefaultParagraphFont"/>
    <w:link w:val="EndnoteText"/>
    <w:rsid w:val="000B7632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0B7632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0B7632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0B7632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511939"/>
    <w:pPr>
      <w:spacing w:after="120"/>
      <w:ind w:left="1134" w:right="1134"/>
      <w:jc w:val="both"/>
    </w:pPr>
    <w:rPr>
      <w:rFonts w:eastAsiaTheme="minorEastAsia" w:cs="Times New Roman"/>
      <w:spacing w:val="0"/>
      <w:w w:val="100"/>
      <w:kern w:val="0"/>
      <w:szCs w:val="20"/>
      <w:lang w:val="es-ES" w:eastAsia="es-ES"/>
    </w:rPr>
  </w:style>
  <w:style w:type="character" w:customStyle="1" w:styleId="SingleTxtGChar">
    <w:name w:val="_ Single Txt_G Char"/>
    <w:link w:val="SingleTxtG"/>
    <w:rsid w:val="005119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5380</Characters>
  <Application>Microsoft Office Word</Application>
  <DocSecurity>0</DocSecurity>
  <Lines>114</Lines>
  <Paragraphs>67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ECE/TRANS/WP.15/2017/4</vt:lpstr>
      <vt:lpstr>ECE/TRANS/WP.15/2017/4</vt:lpstr>
      <vt:lpstr>A/</vt:lpstr>
    </vt:vector>
  </TitlesOfParts>
  <Company>DCM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ECE/TRANS/WP.15/2017/4</dc:title>
  <dc:creator>Izotova Elena</dc:creator>
  <cp:lastModifiedBy>Christine Barrio-Champeau</cp:lastModifiedBy>
  <cp:revision>2</cp:revision>
  <cp:lastPrinted>2017-03-01T09:57:00Z</cp:lastPrinted>
  <dcterms:created xsi:type="dcterms:W3CDTF">2017-03-10T10:37:00Z</dcterms:created>
  <dcterms:modified xsi:type="dcterms:W3CDTF">2017-03-10T10:37:00Z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