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1A573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26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26D52" w:rsidP="00326D52">
            <w:pPr>
              <w:jc w:val="right"/>
            </w:pPr>
            <w:r w:rsidRPr="00326D52">
              <w:rPr>
                <w:sz w:val="40"/>
              </w:rPr>
              <w:t>ECE</w:t>
            </w:r>
            <w:r>
              <w:t>/TRANS/WP.15/2017/5</w:t>
            </w:r>
          </w:p>
        </w:tc>
      </w:tr>
      <w:tr w:rsidR="002D5AAC" w:rsidRPr="002C22A6" w:rsidTr="002C22A6">
        <w:trPr>
          <w:trHeight w:hRule="exact" w:val="2835"/>
        </w:trPr>
        <w:tc>
          <w:tcPr>
            <w:tcW w:w="1280" w:type="dxa"/>
            <w:gridSpan w:val="2"/>
            <w:tcBorders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A8DC66" wp14:editId="3A1BE1D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D5AAC" w:rsidRDefault="00326D5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26D52" w:rsidRDefault="00326D52" w:rsidP="00326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326D52" w:rsidRDefault="00326D52" w:rsidP="00326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26D52" w:rsidRPr="00D62A45" w:rsidRDefault="00326D52" w:rsidP="00326D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D6BBD" w:rsidRPr="003D6BBD" w:rsidRDefault="003D6BBD" w:rsidP="003D6BBD">
      <w:pPr>
        <w:spacing w:before="120"/>
        <w:rPr>
          <w:b/>
          <w:sz w:val="28"/>
          <w:szCs w:val="28"/>
        </w:rPr>
      </w:pPr>
      <w:r w:rsidRPr="003D6BBD">
        <w:rPr>
          <w:b/>
          <w:sz w:val="28"/>
          <w:szCs w:val="28"/>
        </w:rPr>
        <w:t>Европейская экономическая комиссия</w:t>
      </w:r>
    </w:p>
    <w:p w:rsidR="00326D52" w:rsidRPr="003D6BBD" w:rsidRDefault="00326D52" w:rsidP="003D6BBD">
      <w:pPr>
        <w:spacing w:before="120"/>
        <w:rPr>
          <w:sz w:val="28"/>
          <w:szCs w:val="28"/>
        </w:rPr>
      </w:pPr>
      <w:r w:rsidRPr="003D6BBD">
        <w:rPr>
          <w:sz w:val="28"/>
          <w:szCs w:val="28"/>
        </w:rPr>
        <w:t>Комитет по внутреннему транспорту</w:t>
      </w:r>
    </w:p>
    <w:p w:rsidR="00326D52" w:rsidRPr="003D6BBD" w:rsidRDefault="00326D52" w:rsidP="003D6BBD">
      <w:pPr>
        <w:spacing w:before="120"/>
        <w:rPr>
          <w:b/>
          <w:bCs/>
          <w:sz w:val="24"/>
          <w:szCs w:val="24"/>
        </w:rPr>
      </w:pPr>
      <w:r w:rsidRPr="003D6BBD">
        <w:rPr>
          <w:b/>
          <w:bCs/>
          <w:sz w:val="24"/>
          <w:szCs w:val="24"/>
        </w:rPr>
        <w:t>Рабочая группа по перевозкам опасных грузов</w:t>
      </w:r>
    </w:p>
    <w:p w:rsidR="00326D52" w:rsidRPr="00326D52" w:rsidRDefault="00326D52" w:rsidP="003D6BBD">
      <w:pPr>
        <w:spacing w:before="120"/>
        <w:rPr>
          <w:b/>
        </w:rPr>
      </w:pPr>
      <w:r w:rsidRPr="00326D52">
        <w:rPr>
          <w:b/>
        </w:rPr>
        <w:t xml:space="preserve">102-я сессия </w:t>
      </w:r>
    </w:p>
    <w:p w:rsidR="00326D52" w:rsidRPr="00326D52" w:rsidRDefault="00326D52" w:rsidP="00326D52">
      <w:r w:rsidRPr="00326D52">
        <w:t xml:space="preserve">Женева, 8–12 мая 2017 года </w:t>
      </w:r>
    </w:p>
    <w:p w:rsidR="00326D52" w:rsidRPr="00326D52" w:rsidRDefault="00326D52" w:rsidP="00326D52">
      <w:r w:rsidRPr="00326D52">
        <w:t>Пункт 5 b) предварительной повестки дня</w:t>
      </w:r>
    </w:p>
    <w:p w:rsidR="00326D52" w:rsidRPr="00326D52" w:rsidRDefault="00326D52" w:rsidP="00326D52">
      <w:pPr>
        <w:rPr>
          <w:b/>
        </w:rPr>
      </w:pPr>
      <w:r w:rsidRPr="00326D52">
        <w:rPr>
          <w:b/>
          <w:bCs/>
        </w:rPr>
        <w:t xml:space="preserve">Предложения о внесении поправок в приложения А и В </w:t>
      </w:r>
      <w:r w:rsidRPr="00326D52">
        <w:rPr>
          <w:b/>
          <w:bCs/>
        </w:rPr>
        <w:br/>
        <w:t>к ДОПОГ: различные предложения</w:t>
      </w:r>
    </w:p>
    <w:p w:rsidR="00326D52" w:rsidRPr="00326D52" w:rsidRDefault="00326D52" w:rsidP="003D6BBD">
      <w:pPr>
        <w:pStyle w:val="HChGR"/>
      </w:pPr>
      <w:r w:rsidRPr="00326D52">
        <w:tab/>
      </w:r>
      <w:r w:rsidRPr="00326D52">
        <w:tab/>
        <w:t>Пункт 5.4.1.1.1 f) и перевозка в соответствии с</w:t>
      </w:r>
      <w:r w:rsidR="003D6BBD">
        <w:t> </w:t>
      </w:r>
      <w:r w:rsidRPr="00326D52">
        <w:t>подразделом 1.1.3.6</w:t>
      </w:r>
      <w:bookmarkStart w:id="1" w:name="OLE_LINK3"/>
      <w:bookmarkStart w:id="2" w:name="OLE_LINK4"/>
      <w:bookmarkEnd w:id="1"/>
      <w:bookmarkEnd w:id="2"/>
    </w:p>
    <w:p w:rsidR="00326D52" w:rsidRPr="0071547E" w:rsidRDefault="00326D52" w:rsidP="003D6BBD">
      <w:pPr>
        <w:pStyle w:val="H1GR"/>
        <w:rPr>
          <w:vertAlign w:val="superscript"/>
        </w:rPr>
      </w:pPr>
      <w:r w:rsidRPr="00326D52">
        <w:tab/>
      </w:r>
      <w:r w:rsidRPr="00326D52">
        <w:tab/>
        <w:t>Передано правительством Швеции и Международным союзом автомобильного транспорта (МСАТ)</w:t>
      </w:r>
      <w:r w:rsidRPr="003D6BBD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D6BBD" w:rsidRPr="003D6BB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D6BBD" w:rsidRPr="003D6BBD" w:rsidRDefault="003D6BB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6BBD">
              <w:rPr>
                <w:rFonts w:cs="Times New Roman"/>
              </w:rPr>
              <w:tab/>
            </w:r>
            <w:r w:rsidRPr="003D6BB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6BBD" w:rsidRPr="003D6BB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6BBD" w:rsidRPr="003D6BBD" w:rsidRDefault="003D6BBD" w:rsidP="003D6BBD">
            <w:pPr>
              <w:pStyle w:val="SingleTxtGR"/>
              <w:ind w:left="3686" w:hanging="2552"/>
            </w:pPr>
            <w:r w:rsidRPr="00326D52">
              <w:rPr>
                <w:b/>
              </w:rPr>
              <w:t>Существо предложения:</w:t>
            </w:r>
            <w:r w:rsidRPr="00326D52">
              <w:tab/>
              <w:t>В тех случаях, когда грузы перевозятся в соответствии с подразделом 1.1.3.6, для всех участников было бы проще иметь в транспортном документе сведения об общем количестве и рассчитанном значении</w:t>
            </w:r>
            <w:r w:rsidRPr="00326D52">
              <w:rPr>
                <w:rFonts w:eastAsiaTheme="minorEastAsia"/>
              </w:rPr>
              <w:t xml:space="preserve"> для каждой </w:t>
            </w:r>
            <w:r w:rsidRPr="00326D52">
              <w:t>транспортной категории.</w:t>
            </w:r>
          </w:p>
        </w:tc>
      </w:tr>
      <w:tr w:rsidR="003D6BBD" w:rsidRPr="003D6BBD" w:rsidTr="003D6BB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D6BBD" w:rsidRPr="003D6BBD" w:rsidRDefault="003D6BBD" w:rsidP="007A7913">
            <w:pPr>
              <w:pStyle w:val="SingleTxtGR"/>
              <w:ind w:left="3686" w:hanging="2552"/>
            </w:pPr>
            <w:r w:rsidRPr="00326D52">
              <w:rPr>
                <w:b/>
              </w:rPr>
              <w:t>Предлагаемое решение:</w:t>
            </w:r>
            <w:r w:rsidRPr="00326D52">
              <w:tab/>
              <w:t>Внести изменения в пункт 1.1.3.6.4 и в примечание к пункту 5.4.1.1.1 f). Для пояснения включить сноску к заголовку колонки 3 таблицы в пункте</w:t>
            </w:r>
            <w:r w:rsidR="007A7913">
              <w:t> </w:t>
            </w:r>
            <w:r w:rsidRPr="00326D52">
              <w:t>1.1.3.6.3.</w:t>
            </w:r>
          </w:p>
        </w:tc>
      </w:tr>
      <w:tr w:rsidR="003D6BBD" w:rsidRPr="003D6BB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D6BBD" w:rsidRPr="003D6BBD" w:rsidRDefault="003D6BBD" w:rsidP="00850215">
            <w:pPr>
              <w:rPr>
                <w:rFonts w:cs="Times New Roman"/>
              </w:rPr>
            </w:pPr>
          </w:p>
        </w:tc>
      </w:tr>
    </w:tbl>
    <w:p w:rsidR="00326D52" w:rsidRPr="00326D52" w:rsidRDefault="00326D52" w:rsidP="00326D52">
      <w:pPr>
        <w:pStyle w:val="HChGR"/>
      </w:pPr>
      <w:r w:rsidRPr="00326D52">
        <w:tab/>
      </w:r>
      <w:r w:rsidRPr="00326D52">
        <w:tab/>
        <w:t>Введение</w:t>
      </w:r>
    </w:p>
    <w:p w:rsidR="00326D52" w:rsidRPr="00326D52" w:rsidRDefault="00326D52" w:rsidP="00326D52">
      <w:pPr>
        <w:pStyle w:val="SingleTxtGR"/>
      </w:pPr>
      <w:r w:rsidRPr="00326D52">
        <w:t>1.</w:t>
      </w:r>
      <w:r w:rsidRPr="00326D52">
        <w:tab/>
        <w:t>На 101-й сессии Рабочей группы Швеция представила предложение о том, чтобы указывать в транспортном документе рассчитанное значение в случаях, когда применяется подраздел 1.1.3.6. Кроме того, аналогичное по смыслу предложение было представлено МСАТ в мае 2016 года. На майской сессии ряд делегаций поддержали цель данного предложения, однако существовала некоторая неопределенность в отношении того, необходимо ли будет вносить по</w:t>
      </w:r>
      <w:r w:rsidRPr="00326D52">
        <w:lastRenderedPageBreak/>
        <w:t>правки также и в другие части подраздела 1.1.3.6. По этой причине в ноябре был представлен новый документ, в котором была предпринята попытка согласовать различные мнения.</w:t>
      </w:r>
    </w:p>
    <w:p w:rsidR="00326D52" w:rsidRPr="00326D52" w:rsidRDefault="00326D52" w:rsidP="00326D52">
      <w:pPr>
        <w:pStyle w:val="SingleTxtGR"/>
      </w:pPr>
      <w:r w:rsidRPr="00326D52">
        <w:t>2.</w:t>
      </w:r>
      <w:r w:rsidRPr="00326D52">
        <w:tab/>
        <w:t>Однако на сессии, проходившей в мае, большинство делегаций, поддержавших в принципе требование об указании соответствующего значения в транспортном документе, согласились с тем, что полезнее будет внести в подраздел 1.1.3.6 менее значительные поправки. Чтобы учесть эти мнения, на предстоящей сессии должен быть представлен пересмотренный документ.</w:t>
      </w:r>
    </w:p>
    <w:p w:rsidR="00326D52" w:rsidRPr="00326D52" w:rsidRDefault="00326D52" w:rsidP="00BD242E">
      <w:pPr>
        <w:pStyle w:val="HChGR"/>
      </w:pPr>
      <w:r w:rsidRPr="00326D52">
        <w:tab/>
      </w:r>
      <w:r w:rsidRPr="00326D52">
        <w:tab/>
        <w:t>Справочная информация</w:t>
      </w:r>
    </w:p>
    <w:p w:rsidR="00326D52" w:rsidRPr="00326D52" w:rsidRDefault="00326D52" w:rsidP="00326D52">
      <w:pPr>
        <w:pStyle w:val="SingleTxtGR"/>
      </w:pPr>
      <w:r w:rsidRPr="00326D52">
        <w:t>3.</w:t>
      </w:r>
      <w:r w:rsidRPr="00326D52">
        <w:tab/>
        <w:t xml:space="preserve">Для водителей, не имеющих свидетельства ДОПОГ о подготовке, применение </w:t>
      </w:r>
      <w:r w:rsidRPr="00326D52">
        <w:rPr>
          <w:rFonts w:eastAsiaTheme="minorEastAsia"/>
        </w:rPr>
        <w:t>пункта 5.4.1.1.1 f) создает проблемы. Поскольку в соответствии с</w:t>
      </w:r>
      <w:r w:rsidRPr="00326D52">
        <w:t xml:space="preserve"> </w:t>
      </w:r>
      <w:r w:rsidRPr="00326D52">
        <w:rPr>
          <w:rFonts w:eastAsiaTheme="minorEastAsia"/>
        </w:rPr>
        <w:t>пунктом 5.4.1.1.1 f) в транспортном документе</w:t>
      </w:r>
      <w:r w:rsidRPr="00326D52">
        <w:t xml:space="preserve"> должно указываться только количество в килограммах или литрах, водитель сталкивается с трудностями при определении значения максимального количества </w:t>
      </w:r>
      <w:r w:rsidRPr="00326D52">
        <w:rPr>
          <w:rFonts w:eastAsiaTheme="minorEastAsia"/>
        </w:rPr>
        <w:t>согласно</w:t>
      </w:r>
      <w:r w:rsidRPr="00326D52">
        <w:t xml:space="preserve"> подразделу 1.1.3.6. Напротив, если в транспортном документе требовалось бы указывать «рассчитанное значение» для каждой транспортной категории, это облегчило бы осуществление расчетов водителем и тем самым обеспечило бы, чтобы сумма данных значений не превышала 1</w:t>
      </w:r>
      <w:r w:rsidR="00274B8B">
        <w:t xml:space="preserve"> </w:t>
      </w:r>
      <w:r w:rsidRPr="00326D52">
        <w:t>000.</w:t>
      </w:r>
    </w:p>
    <w:p w:rsidR="00326D52" w:rsidRPr="00326D52" w:rsidRDefault="00326D52" w:rsidP="00326D52">
      <w:pPr>
        <w:pStyle w:val="SingleTxtGR"/>
      </w:pPr>
      <w:r w:rsidRPr="00326D52">
        <w:t>4.</w:t>
      </w:r>
      <w:r w:rsidRPr="00326D52">
        <w:tab/>
        <w:t>В</w:t>
      </w:r>
      <w:r w:rsidRPr="00326D52">
        <w:rPr>
          <w:rFonts w:eastAsiaTheme="minorEastAsia"/>
        </w:rPr>
        <w:t>полне возможно, что водители, осуществляющие доставку многочисленных грузов на ежедневной основе, нарушают правила, так как они обычно не имеют в своем распоряжении правила ДОПОГ и, следовательно, сталкиваются с трудностями при вычислении значения согласно подразделу 1.1.3.6,</w:t>
      </w:r>
      <w:r w:rsidRPr="00326D52">
        <w:t xml:space="preserve"> даже если они выполняют требования главы 1.3.</w:t>
      </w:r>
    </w:p>
    <w:p w:rsidR="00326D52" w:rsidRPr="00326D52" w:rsidRDefault="00326D52" w:rsidP="00326D52">
      <w:pPr>
        <w:pStyle w:val="SingleTxtGR"/>
      </w:pPr>
      <w:r w:rsidRPr="00326D52">
        <w:rPr>
          <w:rFonts w:eastAsiaTheme="minorEastAsia"/>
        </w:rPr>
        <w:t>6.</w:t>
      </w:r>
      <w:r w:rsidRPr="00326D52">
        <w:rPr>
          <w:rFonts w:eastAsiaTheme="minorEastAsia"/>
        </w:rPr>
        <w:tab/>
        <w:t>Поэтому в транспортном документе должны указываться общее количество опасных грузов и рассчитанное значение для каждой транспортной категории.</w:t>
      </w:r>
    </w:p>
    <w:p w:rsidR="00326D52" w:rsidRPr="00326D52" w:rsidRDefault="00326D52" w:rsidP="00326D52">
      <w:pPr>
        <w:pStyle w:val="HChGR"/>
      </w:pPr>
      <w:r w:rsidRPr="00326D52">
        <w:tab/>
      </w:r>
      <w:r w:rsidRPr="00326D52">
        <w:tab/>
        <w:t>Предложения</w:t>
      </w:r>
    </w:p>
    <w:p w:rsidR="00326D52" w:rsidRPr="00326D52" w:rsidRDefault="00326D52" w:rsidP="00326D52">
      <w:pPr>
        <w:pStyle w:val="SingleTxtGR"/>
      </w:pPr>
      <w:r w:rsidRPr="00326D52">
        <w:t>7.</w:t>
      </w:r>
      <w:r w:rsidRPr="00326D52">
        <w:tab/>
        <w:t xml:space="preserve">Внесенные изменения выделены </w:t>
      </w:r>
      <w:r w:rsidRPr="00326D52">
        <w:rPr>
          <w:u w:val="single"/>
        </w:rPr>
        <w:t>подчеркиванием</w:t>
      </w:r>
      <w:r w:rsidRPr="00326D52">
        <w:t xml:space="preserve"> или </w:t>
      </w:r>
      <w:r w:rsidRPr="00274B8B">
        <w:rPr>
          <w:strike/>
        </w:rPr>
        <w:t>вычеркнуты</w:t>
      </w:r>
      <w:r w:rsidRPr="00326D52">
        <w:t>.</w:t>
      </w:r>
    </w:p>
    <w:p w:rsidR="00326D52" w:rsidRPr="00326D52" w:rsidRDefault="00326D52" w:rsidP="00BD242E">
      <w:pPr>
        <w:pStyle w:val="H1GR"/>
      </w:pPr>
      <w:r w:rsidRPr="00326D52">
        <w:tab/>
      </w:r>
      <w:r w:rsidRPr="00326D52">
        <w:tab/>
        <w:t>Предложение 1</w:t>
      </w:r>
    </w:p>
    <w:p w:rsidR="00326D52" w:rsidRPr="00326D52" w:rsidRDefault="00326D52" w:rsidP="00326D52">
      <w:pPr>
        <w:pStyle w:val="SingleTxtGR"/>
      </w:pPr>
      <w:r w:rsidRPr="00326D52">
        <w:t>8.</w:t>
      </w:r>
      <w:r w:rsidRPr="00326D52">
        <w:tab/>
        <w:t>Изменить текст в пункте 1.1.3.6.4 следующим образом:</w:t>
      </w:r>
    </w:p>
    <w:p w:rsidR="00326D52" w:rsidRPr="00326D52" w:rsidRDefault="00326D52" w:rsidP="00326D52">
      <w:pPr>
        <w:pStyle w:val="SingleTxtGR"/>
      </w:pPr>
      <w:r w:rsidRPr="00326D52">
        <w:t>«1.1.3.6.4</w:t>
      </w:r>
      <w:r w:rsidRPr="00326D52">
        <w:tab/>
        <w:t xml:space="preserve">Если </w:t>
      </w:r>
      <w:r w:rsidRPr="00615EE5">
        <w:rPr>
          <w:strike/>
        </w:rPr>
        <w:t>в одной и той же транспортной единице</w:t>
      </w:r>
      <w:r w:rsidRPr="00326D52">
        <w:t xml:space="preserve"> опасные грузы перевозятся в транспортной единице </w:t>
      </w:r>
      <w:r w:rsidRPr="00615EE5">
        <w:rPr>
          <w:strike/>
        </w:rPr>
        <w:t>опасные грузы, относящиеся к разным транспортным категориям</w:t>
      </w:r>
      <w:r w:rsidRPr="00326D52">
        <w:t>, сумма</w:t>
      </w:r>
    </w:p>
    <w:p w:rsidR="00326D52" w:rsidRPr="00326D52" w:rsidRDefault="00326D52" w:rsidP="00326D52">
      <w:pPr>
        <w:pStyle w:val="SingleTxtGR"/>
      </w:pPr>
      <w:r w:rsidRPr="00326D52">
        <w:t>-</w:t>
      </w:r>
      <w:r w:rsidRPr="00326D52">
        <w:tab/>
        <w:t>количества веществ и изделий транспортной категории 1, помноженного на "50"</w:t>
      </w:r>
      <w:r w:rsidR="00615EE5">
        <w:t>;</w:t>
      </w:r>
    </w:p>
    <w:p w:rsidR="00326D52" w:rsidRPr="00326D52" w:rsidRDefault="00326D52" w:rsidP="00326D52">
      <w:pPr>
        <w:pStyle w:val="SingleTxtGR"/>
      </w:pPr>
      <w:r w:rsidRPr="00326D52">
        <w:t>-</w:t>
      </w:r>
      <w:r w:rsidRPr="00326D52">
        <w:tab/>
        <w:t>количества упомянутых в примечании к таблице в пункте 1.1.3.6.3 веществ и изделий транспортной категории 1, помноженного на "20"</w:t>
      </w:r>
      <w:r w:rsidR="00615EE5">
        <w:t>;</w:t>
      </w:r>
    </w:p>
    <w:p w:rsidR="00326D52" w:rsidRPr="00326D52" w:rsidRDefault="00326D52" w:rsidP="00326D52">
      <w:pPr>
        <w:pStyle w:val="SingleTxtGR"/>
      </w:pPr>
      <w:r w:rsidRPr="00326D52">
        <w:t>-</w:t>
      </w:r>
      <w:r w:rsidRPr="00326D52">
        <w:tab/>
        <w:t>количества веществ и изделий транспортной категории 2, помноженного на "3"</w:t>
      </w:r>
      <w:r w:rsidR="00615EE5">
        <w:t>;</w:t>
      </w:r>
      <w:r w:rsidRPr="00326D52">
        <w:t xml:space="preserve"> и</w:t>
      </w:r>
    </w:p>
    <w:p w:rsidR="00326D52" w:rsidRPr="00326D52" w:rsidRDefault="00326D52" w:rsidP="00326D52">
      <w:pPr>
        <w:pStyle w:val="SingleTxtGR"/>
      </w:pPr>
      <w:r w:rsidRPr="00326D52">
        <w:t>-</w:t>
      </w:r>
      <w:r w:rsidRPr="00326D52">
        <w:tab/>
        <w:t>количества веществ и изделий транспортной категории 3</w:t>
      </w:r>
    </w:p>
    <w:p w:rsidR="00326D52" w:rsidRPr="00326D52" w:rsidRDefault="00326D52" w:rsidP="00326D52">
      <w:pPr>
        <w:pStyle w:val="SingleTxtGR"/>
      </w:pPr>
      <w:r w:rsidRPr="00326D52">
        <w:t xml:space="preserve">не должна превышать </w:t>
      </w:r>
      <w:r w:rsidRPr="00326D52">
        <w:rPr>
          <w:u w:val="single"/>
        </w:rPr>
        <w:t>рассчитанное значение</w:t>
      </w:r>
      <w:r w:rsidRPr="00326D52">
        <w:t xml:space="preserve"> "1 000"</w:t>
      </w:r>
      <w:r w:rsidR="00325078">
        <w:t>.</w:t>
      </w:r>
      <w:r w:rsidRPr="00326D52">
        <w:t>».</w:t>
      </w:r>
    </w:p>
    <w:p w:rsidR="00326D52" w:rsidRPr="00326D52" w:rsidRDefault="00326D52" w:rsidP="00BD242E">
      <w:pPr>
        <w:pStyle w:val="H1GR"/>
      </w:pPr>
      <w:r w:rsidRPr="00326D52">
        <w:tab/>
      </w:r>
      <w:r w:rsidRPr="00326D52">
        <w:tab/>
        <w:t>Предложение 2</w:t>
      </w:r>
    </w:p>
    <w:p w:rsidR="00326D52" w:rsidRPr="00326D52" w:rsidRDefault="00326D52" w:rsidP="00326D52">
      <w:pPr>
        <w:pStyle w:val="SingleTxtGR"/>
      </w:pPr>
      <w:r w:rsidRPr="00326D52">
        <w:t>9.</w:t>
      </w:r>
      <w:r w:rsidRPr="00326D52">
        <w:tab/>
        <w:t>Изменить пункт 5.4.1.1.1 f), ПРИМЕЧАНИЕ 1, следующим образом:</w:t>
      </w:r>
    </w:p>
    <w:p w:rsidR="00326D52" w:rsidRPr="00326D52" w:rsidRDefault="00326D52" w:rsidP="00326D52">
      <w:pPr>
        <w:pStyle w:val="SingleTxtGR"/>
        <w:rPr>
          <w:u w:val="single"/>
        </w:rPr>
      </w:pPr>
      <w:r w:rsidRPr="00326D52">
        <w:lastRenderedPageBreak/>
        <w:t xml:space="preserve">«ПРИМЕЧАНИЕ 1: Если предусматривается применение подраздела 1.1.3.6, общее количество опасных грузов </w:t>
      </w:r>
      <w:r w:rsidRPr="00326D52">
        <w:rPr>
          <w:u w:val="single"/>
        </w:rPr>
        <w:t>и рассчитанное значение для</w:t>
      </w:r>
      <w:r w:rsidRPr="00326D52">
        <w:t xml:space="preserve"> каждой транспортной категории должн</w:t>
      </w:r>
      <w:r w:rsidRPr="00326D52">
        <w:rPr>
          <w:u w:val="single"/>
        </w:rPr>
        <w:t>ы</w:t>
      </w:r>
      <w:r w:rsidRPr="007823A2">
        <w:rPr>
          <w:strike/>
        </w:rPr>
        <w:t>о</w:t>
      </w:r>
      <w:r w:rsidRPr="00326D52">
        <w:t xml:space="preserve"> указываться в транспортном документе в соответствии с пунктом 1.1.3.6.3 (</w:t>
      </w:r>
      <w:r w:rsidRPr="00326D52">
        <w:rPr>
          <w:u w:val="single"/>
        </w:rPr>
        <w:t>см. также пункт 1.1.3.6.4</w:t>
      </w:r>
      <w:r w:rsidRPr="00326D52">
        <w:t>)</w:t>
      </w:r>
      <w:r w:rsidR="00325078">
        <w:t>.</w:t>
      </w:r>
      <w:r w:rsidRPr="00326D52">
        <w:t>».</w:t>
      </w:r>
    </w:p>
    <w:p w:rsidR="00326D52" w:rsidRPr="00326D52" w:rsidRDefault="00326D52" w:rsidP="00BD242E">
      <w:pPr>
        <w:pStyle w:val="H1GR"/>
      </w:pPr>
      <w:r w:rsidRPr="00326D52">
        <w:tab/>
      </w:r>
      <w:r w:rsidRPr="00326D52">
        <w:tab/>
        <w:t>Предложение 3</w:t>
      </w:r>
    </w:p>
    <w:p w:rsidR="00326D52" w:rsidRPr="00326D52" w:rsidRDefault="00325078" w:rsidP="00326D52">
      <w:pPr>
        <w:pStyle w:val="SingleTxtGR"/>
      </w:pPr>
      <w:r>
        <w:tab/>
      </w:r>
      <w:r w:rsidR="00326D52" w:rsidRPr="00326D52">
        <w:t>Включить сноску к заголовку колонки 3 таблицы в пункте 1.1.3.6.3 следующего содержания:</w:t>
      </w:r>
    </w:p>
    <w:p w:rsidR="00326D52" w:rsidRPr="00326D52" w:rsidRDefault="00326D52" w:rsidP="00326D52">
      <w:pPr>
        <w:pStyle w:val="SingleTxtGR"/>
      </w:pPr>
      <w:r w:rsidRPr="00326D52">
        <w:t xml:space="preserve"> «</w:t>
      </w:r>
      <w:r w:rsidRPr="00326D52">
        <w:rPr>
          <w:u w:val="single"/>
          <w:vertAlign w:val="superscript"/>
        </w:rPr>
        <w:t>х)</w:t>
      </w:r>
      <w:r w:rsidRPr="00326D52">
        <w:rPr>
          <w:u w:val="single"/>
        </w:rPr>
        <w:t xml:space="preserve"> Максимальное общее количество для каждой категории соответствует значению "1 000" (см. также пункт 1.1.3.6.4)</w:t>
      </w:r>
      <w:r w:rsidRPr="00326D52">
        <w:t>.».</w:t>
      </w:r>
    </w:p>
    <w:p w:rsidR="00326D52" w:rsidRPr="00326D52" w:rsidRDefault="00326D52" w:rsidP="00326D52">
      <w:pPr>
        <w:pStyle w:val="HChGR"/>
      </w:pPr>
      <w:r w:rsidRPr="00326D52">
        <w:tab/>
      </w:r>
      <w:r w:rsidRPr="001A5737">
        <w:tab/>
      </w:r>
      <w:r w:rsidRPr="00326D52">
        <w:t>Обоснование</w:t>
      </w:r>
    </w:p>
    <w:p w:rsidR="00326D52" w:rsidRPr="00326D52" w:rsidRDefault="00326D52" w:rsidP="00326D52">
      <w:pPr>
        <w:pStyle w:val="SingleTxtGR"/>
        <w:rPr>
          <w:rFonts w:eastAsiaTheme="minorEastAsia"/>
        </w:rPr>
      </w:pPr>
      <w:r w:rsidRPr="00326D52">
        <w:rPr>
          <w:rFonts w:eastAsiaTheme="minorEastAsia"/>
          <w:u w:val="single"/>
        </w:rPr>
        <w:t>Безопасность</w:t>
      </w:r>
      <w:r w:rsidRPr="00326D52">
        <w:rPr>
          <w:rFonts w:eastAsiaTheme="minorEastAsia"/>
        </w:rPr>
        <w:t>: Более ясный текст помогает водителю ограничить количество груза в соответствии с</w:t>
      </w:r>
      <w:r w:rsidRPr="00326D52">
        <w:t xml:space="preserve"> применимыми положениями, что </w:t>
      </w:r>
      <w:r w:rsidRPr="00326D52">
        <w:rPr>
          <w:rFonts w:eastAsiaTheme="minorEastAsia"/>
        </w:rPr>
        <w:t>повышает безопасность перевозки.</w:t>
      </w:r>
    </w:p>
    <w:p w:rsidR="00326D52" w:rsidRDefault="00326D52" w:rsidP="00326D52">
      <w:pPr>
        <w:pStyle w:val="SingleTxtGR"/>
        <w:rPr>
          <w:rFonts w:eastAsiaTheme="minorEastAsia"/>
          <w:lang w:val="en-US"/>
        </w:rPr>
      </w:pPr>
      <w:r w:rsidRPr="00326D52">
        <w:rPr>
          <w:rFonts w:eastAsiaTheme="minorEastAsia"/>
          <w:u w:val="single"/>
        </w:rPr>
        <w:t>Осуществимость</w:t>
      </w:r>
      <w:r w:rsidRPr="00326D52">
        <w:rPr>
          <w:rFonts w:eastAsiaTheme="minorEastAsia"/>
        </w:rPr>
        <w:t>: Возможность избежать путаницы в толковании текстов. Облегчается применение подраздела 1.1.3.6 и пункта 5.4.1.1.1 f).</w:t>
      </w:r>
    </w:p>
    <w:p w:rsidR="00326D52" w:rsidRPr="00326D52" w:rsidRDefault="00326D52" w:rsidP="00326D52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81C24" w:rsidRPr="00326D52" w:rsidRDefault="00381C24" w:rsidP="002E5067">
      <w:pPr>
        <w:rPr>
          <w:lang w:val="en-US"/>
        </w:rPr>
      </w:pPr>
    </w:p>
    <w:sectPr w:rsidR="00381C24" w:rsidRPr="00326D52" w:rsidSect="00326D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F3" w:rsidRPr="00A312BC" w:rsidRDefault="00C11CF3" w:rsidP="00A312BC"/>
  </w:endnote>
  <w:endnote w:type="continuationSeparator" w:id="0">
    <w:p w:rsidR="00C11CF3" w:rsidRPr="00A312BC" w:rsidRDefault="00C11C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52" w:rsidRPr="00326D52" w:rsidRDefault="00326D52">
    <w:pPr>
      <w:pStyle w:val="Footer"/>
    </w:pPr>
    <w:r w:rsidRPr="00326D52">
      <w:rPr>
        <w:b/>
        <w:sz w:val="18"/>
      </w:rPr>
      <w:fldChar w:fldCharType="begin"/>
    </w:r>
    <w:r w:rsidRPr="00326D52">
      <w:rPr>
        <w:b/>
        <w:sz w:val="18"/>
      </w:rPr>
      <w:instrText xml:space="preserve"> PAGE  \* MERGEFORMAT </w:instrText>
    </w:r>
    <w:r w:rsidRPr="00326D52">
      <w:rPr>
        <w:b/>
        <w:sz w:val="18"/>
      </w:rPr>
      <w:fldChar w:fldCharType="separate"/>
    </w:r>
    <w:r w:rsidR="00EB004F">
      <w:rPr>
        <w:b/>
        <w:noProof/>
        <w:sz w:val="18"/>
      </w:rPr>
      <w:t>2</w:t>
    </w:r>
    <w:r w:rsidRPr="00326D52">
      <w:rPr>
        <w:b/>
        <w:sz w:val="18"/>
      </w:rPr>
      <w:fldChar w:fldCharType="end"/>
    </w:r>
    <w:r>
      <w:rPr>
        <w:b/>
        <w:sz w:val="18"/>
      </w:rPr>
      <w:tab/>
    </w:r>
    <w:r>
      <w:t>GE.17-02685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52" w:rsidRPr="00326D52" w:rsidRDefault="00326D52" w:rsidP="00326D5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GE.17-02685</w:t>
    </w:r>
    <w:r>
      <w:tab/>
    </w:r>
    <w:r w:rsidRPr="00326D52">
      <w:rPr>
        <w:b/>
        <w:sz w:val="18"/>
      </w:rPr>
      <w:fldChar w:fldCharType="begin"/>
    </w:r>
    <w:r w:rsidRPr="00326D52">
      <w:rPr>
        <w:b/>
        <w:sz w:val="18"/>
      </w:rPr>
      <w:instrText xml:space="preserve"> PAGE  \* MERGEFORMAT </w:instrText>
    </w:r>
    <w:r w:rsidRPr="00326D52">
      <w:rPr>
        <w:b/>
        <w:sz w:val="18"/>
      </w:rPr>
      <w:fldChar w:fldCharType="separate"/>
    </w:r>
    <w:r w:rsidR="00EB004F">
      <w:rPr>
        <w:b/>
        <w:noProof/>
        <w:sz w:val="18"/>
      </w:rPr>
      <w:t>3</w:t>
    </w:r>
    <w:r w:rsidRPr="00326D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26D52" w:rsidRDefault="00326D52" w:rsidP="00326D5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51AEEBC" wp14:editId="554593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17-02685  (R)</w:t>
    </w:r>
    <w:r w:rsidR="0071547E">
      <w:rPr>
        <w:lang w:val="en-US"/>
      </w:rPr>
      <w:t xml:space="preserve">  100317  100317</w:t>
    </w:r>
    <w:r>
      <w:br/>
    </w:r>
    <w:r w:rsidRPr="00326D52">
      <w:rPr>
        <w:rFonts w:ascii="C39T30Lfz" w:hAnsi="C39T30Lfz"/>
        <w:spacing w:val="0"/>
        <w:w w:val="100"/>
        <w:sz w:val="56"/>
      </w:rPr>
      <w:t></w:t>
    </w:r>
    <w:r w:rsidRPr="00326D52">
      <w:rPr>
        <w:rFonts w:ascii="C39T30Lfz" w:hAnsi="C39T30Lfz"/>
        <w:spacing w:val="0"/>
        <w:w w:val="100"/>
        <w:sz w:val="56"/>
      </w:rPr>
      <w:t></w:t>
    </w:r>
    <w:r w:rsidRPr="00326D52">
      <w:rPr>
        <w:rFonts w:ascii="C39T30Lfz" w:hAnsi="C39T30Lfz"/>
        <w:spacing w:val="0"/>
        <w:w w:val="100"/>
        <w:sz w:val="56"/>
      </w:rPr>
      <w:t></w:t>
    </w:r>
    <w:r w:rsidRPr="00326D52">
      <w:rPr>
        <w:rFonts w:ascii="C39T30Lfz" w:hAnsi="C39T30Lfz"/>
        <w:spacing w:val="0"/>
        <w:w w:val="100"/>
        <w:sz w:val="56"/>
      </w:rPr>
      <w:t></w:t>
    </w:r>
    <w:r w:rsidRPr="00326D52">
      <w:rPr>
        <w:rFonts w:ascii="C39T30Lfz" w:hAnsi="C39T30Lfz"/>
        <w:spacing w:val="0"/>
        <w:w w:val="100"/>
        <w:sz w:val="56"/>
      </w:rPr>
      <w:t></w:t>
    </w:r>
    <w:r w:rsidRPr="00326D52">
      <w:rPr>
        <w:rFonts w:ascii="C39T30Lfz" w:hAnsi="C39T30Lfz"/>
        <w:spacing w:val="0"/>
        <w:w w:val="100"/>
        <w:sz w:val="56"/>
      </w:rPr>
      <w:t></w:t>
    </w:r>
    <w:r w:rsidRPr="00326D52">
      <w:rPr>
        <w:rFonts w:ascii="C39T30Lfz" w:hAnsi="C39T30Lfz"/>
        <w:spacing w:val="0"/>
        <w:w w:val="100"/>
        <w:sz w:val="56"/>
      </w:rPr>
      <w:t></w:t>
    </w:r>
    <w:r w:rsidRPr="00326D52">
      <w:rPr>
        <w:rFonts w:ascii="C39T30Lfz" w:hAnsi="C39T30Lfz"/>
        <w:spacing w:val="0"/>
        <w:w w:val="100"/>
        <w:sz w:val="56"/>
      </w:rPr>
      <w:t></w:t>
    </w:r>
    <w:r w:rsidRPr="00326D5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F3" w:rsidRPr="001075E9" w:rsidRDefault="00C11C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1CF3" w:rsidRDefault="00C11C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6D52" w:rsidRPr="0085045C" w:rsidRDefault="00326D52" w:rsidP="007A7913">
      <w:pPr>
        <w:pStyle w:val="FootnoteText"/>
        <w:tabs>
          <w:tab w:val="clear" w:pos="1021"/>
        </w:tabs>
        <w:ind w:left="1418" w:right="1260" w:hanging="284"/>
        <w:rPr>
          <w:lang w:val="ru-RU"/>
        </w:rPr>
      </w:pPr>
      <w:r w:rsidRPr="007A7913">
        <w:rPr>
          <w:rStyle w:val="FootnoteReference"/>
          <w:sz w:val="20"/>
          <w:vertAlign w:val="baseline"/>
        </w:rPr>
        <w:sym w:font="Symbol" w:char="F02A"/>
      </w:r>
      <w:r w:rsidRPr="00843488">
        <w:rPr>
          <w:lang w:val="ru-RU"/>
        </w:rPr>
        <w:tab/>
      </w:r>
      <w:r w:rsidRPr="000D107A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> </w:t>
      </w:r>
      <w:r w:rsidRPr="000D107A">
        <w:rPr>
          <w:lang w:val="ru-RU"/>
        </w:rPr>
        <w:t>2016−2017 годы (ECE/TRANS/2016/28/Add.1 (9.</w:t>
      </w:r>
      <w:r>
        <w:rPr>
          <w:lang w:val="ru-RU"/>
        </w:rPr>
        <w:t>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52" w:rsidRPr="00326D52" w:rsidRDefault="00EB004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212C0">
      <w:t>ECE/TRANS/WP.15/2017/5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52" w:rsidRPr="00326D52" w:rsidRDefault="00EB004F" w:rsidP="00326D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212C0">
      <w:t>ECE/TRANS/WP.15/2017/5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3"/>
    <w:rsid w:val="00033EE1"/>
    <w:rsid w:val="00042B72"/>
    <w:rsid w:val="00043B08"/>
    <w:rsid w:val="000558BD"/>
    <w:rsid w:val="000857D2"/>
    <w:rsid w:val="000B57E7"/>
    <w:rsid w:val="000B6373"/>
    <w:rsid w:val="000E79C1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A5737"/>
    <w:rsid w:val="001B3EF6"/>
    <w:rsid w:val="001C7A89"/>
    <w:rsid w:val="001D5C5A"/>
    <w:rsid w:val="00274B8B"/>
    <w:rsid w:val="002979E2"/>
    <w:rsid w:val="002A2EFC"/>
    <w:rsid w:val="002B74B1"/>
    <w:rsid w:val="002C0E18"/>
    <w:rsid w:val="002C22A6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5078"/>
    <w:rsid w:val="00326D52"/>
    <w:rsid w:val="003402C2"/>
    <w:rsid w:val="00381C24"/>
    <w:rsid w:val="003958D0"/>
    <w:rsid w:val="003A0D43"/>
    <w:rsid w:val="003B00E5"/>
    <w:rsid w:val="003D6BBD"/>
    <w:rsid w:val="003E129A"/>
    <w:rsid w:val="00407B78"/>
    <w:rsid w:val="00424203"/>
    <w:rsid w:val="0042551A"/>
    <w:rsid w:val="00452493"/>
    <w:rsid w:val="00453318"/>
    <w:rsid w:val="00454E07"/>
    <w:rsid w:val="00472C5C"/>
    <w:rsid w:val="0050108D"/>
    <w:rsid w:val="00511102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15EE5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1547E"/>
    <w:rsid w:val="00734ACB"/>
    <w:rsid w:val="00757357"/>
    <w:rsid w:val="007823A2"/>
    <w:rsid w:val="00792497"/>
    <w:rsid w:val="007A7913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1404F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242E"/>
    <w:rsid w:val="00BD33EE"/>
    <w:rsid w:val="00BF21E1"/>
    <w:rsid w:val="00C106D6"/>
    <w:rsid w:val="00C11CF3"/>
    <w:rsid w:val="00C60F0C"/>
    <w:rsid w:val="00C805C9"/>
    <w:rsid w:val="00C92939"/>
    <w:rsid w:val="00CA1679"/>
    <w:rsid w:val="00CB151C"/>
    <w:rsid w:val="00CE5A1A"/>
    <w:rsid w:val="00CF55F6"/>
    <w:rsid w:val="00D168EF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B004F"/>
    <w:rsid w:val="00ED0BDA"/>
    <w:rsid w:val="00EE142A"/>
    <w:rsid w:val="00EF1360"/>
    <w:rsid w:val="00EF3220"/>
    <w:rsid w:val="00F212C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B27E5C9-0E67-4883-A669-474E143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3969</Characters>
  <Application>Microsoft Office Word</Application>
  <DocSecurity>0</DocSecurity>
  <Lines>86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ECE/TRANS/WP.15/2017/5</vt:lpstr>
      <vt:lpstr>ECE/TRANS/WP.15/2017/5</vt:lpstr>
      <vt:lpstr>A/</vt:lpstr>
    </vt:vector>
  </TitlesOfParts>
  <Company>DCM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ECE/TRANS/WP.15/2017/5</dc:title>
  <dc:creator>Sharkina</dc:creator>
  <cp:lastModifiedBy>Christine Barrio-Champeau</cp:lastModifiedBy>
  <cp:revision>2</cp:revision>
  <cp:lastPrinted>2017-03-10T14:00:00Z</cp:lastPrinted>
  <dcterms:created xsi:type="dcterms:W3CDTF">2017-03-13T09:53:00Z</dcterms:created>
  <dcterms:modified xsi:type="dcterms:W3CDTF">2017-03-13T09:53:00Z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