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14:paraId="3B1A5372" w14:textId="77777777" w:rsidTr="00F01516">
        <w:trPr>
          <w:trHeight w:hRule="exact" w:val="851"/>
        </w:trPr>
        <w:tc>
          <w:tcPr>
            <w:tcW w:w="1277" w:type="dxa"/>
            <w:tcBorders>
              <w:bottom w:val="single" w:sz="4" w:space="0" w:color="auto"/>
            </w:tcBorders>
          </w:tcPr>
          <w:p w14:paraId="683989E8" w14:textId="77777777" w:rsidR="003D1DF3" w:rsidRPr="00367E6A" w:rsidRDefault="003D1DF3" w:rsidP="00F01516">
            <w:pPr>
              <w:rPr>
                <w:lang w:val="fr-FR"/>
              </w:rPr>
            </w:pPr>
          </w:p>
        </w:tc>
        <w:tc>
          <w:tcPr>
            <w:tcW w:w="2268" w:type="dxa"/>
            <w:tcBorders>
              <w:bottom w:val="single" w:sz="4" w:space="0" w:color="auto"/>
            </w:tcBorders>
            <w:vAlign w:val="bottom"/>
          </w:tcPr>
          <w:p w14:paraId="026C7628" w14:textId="77777777"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14:paraId="15FD8D16" w14:textId="77777777" w:rsidR="003D1DF3" w:rsidRPr="00367E6A" w:rsidRDefault="00765650" w:rsidP="00765650">
            <w:pPr>
              <w:jc w:val="right"/>
              <w:rPr>
                <w:lang w:val="fr-FR"/>
              </w:rPr>
            </w:pPr>
            <w:r w:rsidRPr="00765650">
              <w:rPr>
                <w:sz w:val="40"/>
                <w:lang w:val="fr-FR"/>
              </w:rPr>
              <w:t>ECE</w:t>
            </w:r>
            <w:r>
              <w:rPr>
                <w:lang w:val="fr-FR"/>
              </w:rPr>
              <w:t>/TRANS/WP.15/237</w:t>
            </w:r>
          </w:p>
        </w:tc>
      </w:tr>
      <w:tr w:rsidR="003D1DF3" w:rsidRPr="00367E6A" w14:paraId="667172FC" w14:textId="77777777" w:rsidTr="00F01516">
        <w:trPr>
          <w:trHeight w:hRule="exact" w:val="2835"/>
        </w:trPr>
        <w:tc>
          <w:tcPr>
            <w:tcW w:w="1276" w:type="dxa"/>
            <w:tcBorders>
              <w:top w:val="single" w:sz="4" w:space="0" w:color="auto"/>
              <w:bottom w:val="single" w:sz="12" w:space="0" w:color="auto"/>
            </w:tcBorders>
          </w:tcPr>
          <w:p w14:paraId="7C000DB5" w14:textId="77777777" w:rsidR="003D1DF3" w:rsidRPr="00367E6A" w:rsidRDefault="00367E6A" w:rsidP="00F01516">
            <w:pPr>
              <w:spacing w:before="120"/>
              <w:jc w:val="center"/>
              <w:rPr>
                <w:lang w:val="fr-FR"/>
              </w:rPr>
            </w:pPr>
            <w:r>
              <w:rPr>
                <w:noProof/>
                <w:lang w:val="en-GB" w:eastAsia="en-GB"/>
              </w:rPr>
              <w:drawing>
                <wp:inline distT="0" distB="0" distL="0" distR="0" wp14:anchorId="25AFDE51" wp14:editId="66F08B8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1ADC08" w14:textId="77777777"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14:paraId="0677DB61" w14:textId="77777777" w:rsidR="003D1DF3" w:rsidRDefault="00765650" w:rsidP="00765650">
            <w:pPr>
              <w:spacing w:before="240" w:line="240" w:lineRule="exact"/>
              <w:rPr>
                <w:lang w:val="fr-FR"/>
              </w:rPr>
            </w:pPr>
            <w:proofErr w:type="spellStart"/>
            <w:r>
              <w:rPr>
                <w:lang w:val="fr-FR"/>
              </w:rPr>
              <w:t>Distr</w:t>
            </w:r>
            <w:proofErr w:type="spellEnd"/>
            <w:r>
              <w:rPr>
                <w:lang w:val="fr-FR"/>
              </w:rPr>
              <w:t>. générale</w:t>
            </w:r>
          </w:p>
          <w:p w14:paraId="3F27BBC1" w14:textId="3572469E" w:rsidR="00765650" w:rsidRDefault="00F106F7" w:rsidP="00765650">
            <w:pPr>
              <w:spacing w:line="240" w:lineRule="exact"/>
              <w:rPr>
                <w:lang w:val="fr-FR"/>
              </w:rPr>
            </w:pPr>
            <w:r>
              <w:rPr>
                <w:lang w:val="fr-FR"/>
              </w:rPr>
              <w:t>2 juin</w:t>
            </w:r>
            <w:r w:rsidR="00765650">
              <w:rPr>
                <w:lang w:val="fr-FR"/>
              </w:rPr>
              <w:t xml:space="preserve"> 2017</w:t>
            </w:r>
          </w:p>
          <w:p w14:paraId="725AB8B2" w14:textId="77777777" w:rsidR="00765650" w:rsidRDefault="00765650" w:rsidP="00765650">
            <w:pPr>
              <w:spacing w:line="240" w:lineRule="exact"/>
              <w:rPr>
                <w:lang w:val="fr-FR"/>
              </w:rPr>
            </w:pPr>
            <w:r>
              <w:rPr>
                <w:lang w:val="fr-FR"/>
              </w:rPr>
              <w:t>Français</w:t>
            </w:r>
          </w:p>
          <w:p w14:paraId="1D6C7FD9" w14:textId="77777777" w:rsidR="00765650" w:rsidRPr="00367E6A" w:rsidRDefault="00765650" w:rsidP="00765650">
            <w:pPr>
              <w:spacing w:line="240" w:lineRule="exact"/>
              <w:rPr>
                <w:lang w:val="fr-FR"/>
              </w:rPr>
            </w:pPr>
            <w:r>
              <w:rPr>
                <w:lang w:val="fr-FR"/>
              </w:rPr>
              <w:t xml:space="preserve">Original: anglais et français </w:t>
            </w:r>
          </w:p>
        </w:tc>
      </w:tr>
    </w:tbl>
    <w:p w14:paraId="29550E81" w14:textId="77777777" w:rsidR="00FF1DBD" w:rsidRPr="00367E6A" w:rsidRDefault="000312C0" w:rsidP="000312C0">
      <w:pPr>
        <w:spacing w:before="120"/>
        <w:rPr>
          <w:b/>
          <w:sz w:val="28"/>
          <w:szCs w:val="28"/>
          <w:lang w:val="fr-FR"/>
        </w:rPr>
      </w:pPr>
      <w:r w:rsidRPr="00367E6A">
        <w:rPr>
          <w:b/>
          <w:sz w:val="28"/>
          <w:szCs w:val="28"/>
          <w:lang w:val="fr-FR"/>
        </w:rPr>
        <w:t>Commission économique pour l’Europe</w:t>
      </w:r>
    </w:p>
    <w:p w14:paraId="3F1A465A" w14:textId="77777777" w:rsidR="00B93E72" w:rsidRPr="00367E6A" w:rsidRDefault="00B93E72" w:rsidP="00B93E72">
      <w:pPr>
        <w:spacing w:before="120"/>
        <w:rPr>
          <w:sz w:val="28"/>
          <w:szCs w:val="28"/>
          <w:lang w:val="fr-FR"/>
        </w:rPr>
      </w:pPr>
      <w:r w:rsidRPr="00367E6A">
        <w:rPr>
          <w:sz w:val="28"/>
          <w:szCs w:val="28"/>
          <w:lang w:val="fr-FR"/>
        </w:rPr>
        <w:t>Comité des transports intérieurs</w:t>
      </w:r>
    </w:p>
    <w:p w14:paraId="6E09BC37" w14:textId="77777777"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14:paraId="06867BCD" w14:textId="77777777" w:rsidR="00E16D6E" w:rsidRPr="00A34F4A" w:rsidRDefault="00E16D6E" w:rsidP="00E16D6E">
      <w:pPr>
        <w:keepNext/>
        <w:keepLines/>
        <w:tabs>
          <w:tab w:val="right" w:pos="851"/>
        </w:tabs>
        <w:spacing w:before="360" w:after="120" w:line="300" w:lineRule="exact"/>
        <w:ind w:left="1134" w:right="1134" w:hanging="1134"/>
        <w:rPr>
          <w:sz w:val="28"/>
          <w:lang w:val="fr-FR"/>
        </w:rPr>
      </w:pPr>
      <w:r w:rsidRPr="00A34F4A">
        <w:rPr>
          <w:b/>
          <w:sz w:val="28"/>
          <w:lang w:val="fr-FR"/>
        </w:rPr>
        <w:tab/>
      </w:r>
      <w:r w:rsidRPr="00A34F4A">
        <w:rPr>
          <w:b/>
          <w:sz w:val="28"/>
          <w:lang w:val="fr-FR"/>
        </w:rPr>
        <w:tab/>
        <w:t xml:space="preserve">Rapport du Groupe de travail sur sa </w:t>
      </w:r>
      <w:r>
        <w:rPr>
          <w:b/>
          <w:sz w:val="28"/>
          <w:lang w:val="fr-FR"/>
        </w:rPr>
        <w:t>102</w:t>
      </w:r>
      <w:r w:rsidRPr="00F11CCC">
        <w:rPr>
          <w:b/>
          <w:sz w:val="28"/>
          <w:vertAlign w:val="superscript"/>
          <w:lang w:val="fr-FR"/>
        </w:rPr>
        <w:t>e</w:t>
      </w:r>
      <w:r w:rsidRPr="00A34F4A">
        <w:rPr>
          <w:b/>
          <w:bCs/>
          <w:sz w:val="28"/>
          <w:lang w:val="fr-FR"/>
        </w:rPr>
        <w:t xml:space="preserve"> </w:t>
      </w:r>
      <w:r w:rsidRPr="00A34F4A">
        <w:rPr>
          <w:b/>
          <w:sz w:val="28"/>
          <w:lang w:val="fr-FR"/>
        </w:rPr>
        <w:t>session</w:t>
      </w:r>
    </w:p>
    <w:p w14:paraId="704817A6" w14:textId="53FEEA3E" w:rsidR="00E16D6E" w:rsidRPr="00A34F4A" w:rsidRDefault="00E16D6E" w:rsidP="00E16D6E">
      <w:pPr>
        <w:keepNext/>
        <w:keepLines/>
        <w:tabs>
          <w:tab w:val="right" w:pos="851"/>
        </w:tabs>
        <w:spacing w:before="120" w:after="120" w:line="240" w:lineRule="exact"/>
        <w:ind w:left="1134" w:right="1134" w:hanging="1134"/>
      </w:pPr>
      <w:r w:rsidRPr="00A34F4A">
        <w:rPr>
          <w:lang w:val="fr-FR"/>
        </w:rPr>
        <w:tab/>
      </w:r>
      <w:r w:rsidRPr="00A34F4A">
        <w:rPr>
          <w:lang w:val="fr-FR"/>
        </w:rPr>
        <w:tab/>
        <w:t xml:space="preserve">tenue à Genève du </w:t>
      </w:r>
      <w:r w:rsidR="00783355">
        <w:rPr>
          <w:lang w:val="fr-FR"/>
        </w:rPr>
        <w:t>8 au 11</w:t>
      </w:r>
      <w:bookmarkStart w:id="0" w:name="_GoBack"/>
      <w:bookmarkEnd w:id="0"/>
      <w:r>
        <w:rPr>
          <w:lang w:val="fr-FR"/>
        </w:rPr>
        <w:t xml:space="preserve"> mai 2017</w:t>
      </w:r>
    </w:p>
    <w:p w14:paraId="18C033A4" w14:textId="594CE73C" w:rsidR="00E16D6E" w:rsidRDefault="00E16D6E" w:rsidP="00E16D6E">
      <w:pPr>
        <w:spacing w:after="120"/>
        <w:rPr>
          <w:sz w:val="28"/>
          <w:lang w:val="fr-FR"/>
        </w:rPr>
      </w:pPr>
      <w:r w:rsidRPr="008F27A7">
        <w:rPr>
          <w:sz w:val="28"/>
          <w:lang w:val="fr-FR"/>
        </w:rPr>
        <w:t>Table des matières</w:t>
      </w:r>
    </w:p>
    <w:p w14:paraId="715A25CD" w14:textId="77777777" w:rsidR="00C64452" w:rsidRDefault="00C64452" w:rsidP="00F025AD">
      <w:pPr>
        <w:tabs>
          <w:tab w:val="right" w:pos="8929"/>
          <w:tab w:val="right" w:pos="9638"/>
        </w:tabs>
        <w:spacing w:after="120"/>
        <w:ind w:left="284"/>
        <w:rPr>
          <w:lang w:val="fr-FR"/>
        </w:rPr>
      </w:pPr>
      <w:r>
        <w:rPr>
          <w:i/>
          <w:sz w:val="18"/>
          <w:lang w:val="fr-FR"/>
        </w:rPr>
        <w:tab/>
        <w:t>Paragraphes</w:t>
      </w:r>
      <w:r>
        <w:rPr>
          <w:i/>
          <w:sz w:val="18"/>
          <w:lang w:val="fr-FR"/>
        </w:rPr>
        <w:tab/>
        <w:t>Page</w:t>
      </w:r>
    </w:p>
    <w:p w14:paraId="2A6918BE" w14:textId="47E1F331" w:rsidR="00C64452" w:rsidRPr="00144F2B" w:rsidRDefault="00C64452" w:rsidP="00C64452">
      <w:pPr>
        <w:tabs>
          <w:tab w:val="right" w:pos="850"/>
          <w:tab w:val="left" w:pos="1190"/>
          <w:tab w:val="left" w:pos="1559"/>
          <w:tab w:val="left" w:pos="1984"/>
          <w:tab w:val="left" w:leader="dot" w:pos="7654"/>
          <w:tab w:val="right" w:pos="8929"/>
          <w:tab w:val="right" w:pos="9638"/>
        </w:tabs>
        <w:spacing w:after="120"/>
      </w:pPr>
      <w:r>
        <w:tab/>
        <w:t>I.</w:t>
      </w:r>
      <w:r>
        <w:tab/>
        <w:t>Participation</w:t>
      </w:r>
      <w:r>
        <w:tab/>
      </w:r>
      <w:r>
        <w:tab/>
      </w:r>
      <w:r w:rsidRPr="001B507C">
        <w:t>1-5</w:t>
      </w:r>
      <w:r w:rsidRPr="001B507C">
        <w:tab/>
      </w:r>
      <w:r w:rsidR="006D3E0A">
        <w:t>4</w:t>
      </w:r>
    </w:p>
    <w:p w14:paraId="1CE700D3" w14:textId="00C3BCDB" w:rsidR="00C64452" w:rsidRPr="00144F2B" w:rsidRDefault="00C64452" w:rsidP="00C64452">
      <w:pPr>
        <w:tabs>
          <w:tab w:val="right" w:pos="850"/>
          <w:tab w:val="left" w:pos="1204"/>
          <w:tab w:val="left" w:pos="1559"/>
          <w:tab w:val="left" w:pos="1984"/>
          <w:tab w:val="left" w:leader="dot" w:pos="7654"/>
          <w:tab w:val="right" w:pos="8929"/>
          <w:tab w:val="right" w:pos="9638"/>
        </w:tabs>
        <w:spacing w:after="120"/>
      </w:pPr>
      <w:r w:rsidRPr="00144F2B">
        <w:tab/>
        <w:t>II.</w:t>
      </w:r>
      <w:r w:rsidRPr="00144F2B">
        <w:tab/>
      </w:r>
      <w:r w:rsidRPr="00C71525">
        <w:t>Adoption de l</w:t>
      </w:r>
      <w:r>
        <w:t>’</w:t>
      </w:r>
      <w:r w:rsidRPr="00C71525">
        <w:t>ordre du jour (point 1 de l</w:t>
      </w:r>
      <w:r>
        <w:t>’</w:t>
      </w:r>
      <w:r w:rsidRPr="00C71525">
        <w:t>o</w:t>
      </w:r>
      <w:r>
        <w:t>rdre du jour)</w:t>
      </w:r>
      <w:r>
        <w:tab/>
      </w:r>
      <w:r>
        <w:tab/>
      </w:r>
      <w:r w:rsidRPr="001B507C">
        <w:t>6</w:t>
      </w:r>
      <w:r w:rsidRPr="001B507C">
        <w:tab/>
      </w:r>
      <w:r w:rsidR="006D3E0A">
        <w:t>4</w:t>
      </w:r>
    </w:p>
    <w:p w14:paraId="65176349" w14:textId="41693592" w:rsidR="00C64452" w:rsidRDefault="00C64452" w:rsidP="00C64452">
      <w:pPr>
        <w:tabs>
          <w:tab w:val="right" w:pos="850"/>
          <w:tab w:val="left" w:pos="1984"/>
          <w:tab w:val="left" w:leader="dot" w:pos="7654"/>
          <w:tab w:val="right" w:pos="8929"/>
          <w:tab w:val="right" w:pos="9638"/>
        </w:tabs>
        <w:spacing w:after="120"/>
        <w:ind w:left="1200" w:hanging="600"/>
      </w:pPr>
      <w:r>
        <w:t>III.</w:t>
      </w:r>
      <w:r>
        <w:tab/>
      </w:r>
      <w:r>
        <w:tab/>
      </w:r>
      <w:r w:rsidRPr="005B2C1D">
        <w:t>Soixante-</w:t>
      </w:r>
      <w:r>
        <w:t>dix-neuvième</w:t>
      </w:r>
      <w:r w:rsidRPr="005B2C1D">
        <w:t xml:space="preserve"> session du Comité des transports intérieurs</w:t>
      </w:r>
      <w:r>
        <w:br/>
      </w:r>
      <w:r w:rsidRPr="005B2C1D">
        <w:t>(point 2 de l</w:t>
      </w:r>
      <w:r>
        <w:t>’</w:t>
      </w:r>
      <w:r w:rsidRPr="005B2C1D">
        <w:t>ordre du jour)</w:t>
      </w:r>
      <w:r>
        <w:rPr>
          <w:lang w:val="fr-FR"/>
        </w:rPr>
        <w:tab/>
      </w:r>
      <w:r>
        <w:rPr>
          <w:lang w:val="fr-FR"/>
        </w:rPr>
        <w:tab/>
        <w:t>7-13</w:t>
      </w:r>
      <w:r w:rsidRPr="001B507C">
        <w:rPr>
          <w:lang w:val="fr-FR"/>
        </w:rPr>
        <w:tab/>
      </w:r>
      <w:r w:rsidR="006D3E0A">
        <w:rPr>
          <w:lang w:val="fr-FR"/>
        </w:rPr>
        <w:t>4</w:t>
      </w:r>
    </w:p>
    <w:p w14:paraId="4D48D00B" w14:textId="62027E01" w:rsidR="00C64452" w:rsidRDefault="00C64452" w:rsidP="00C64452">
      <w:pPr>
        <w:tabs>
          <w:tab w:val="right" w:pos="850"/>
          <w:tab w:val="left" w:pos="1984"/>
          <w:tab w:val="left" w:leader="dot" w:pos="7654"/>
          <w:tab w:val="right" w:pos="8929"/>
          <w:tab w:val="right" w:pos="9638"/>
        </w:tabs>
        <w:spacing w:after="120"/>
        <w:ind w:left="1200" w:hanging="600"/>
      </w:pPr>
      <w:r w:rsidRPr="00144F2B">
        <w:t>I</w:t>
      </w:r>
      <w:r>
        <w:t>V</w:t>
      </w:r>
      <w:r w:rsidRPr="00144F2B">
        <w:t>.</w:t>
      </w:r>
      <w:r w:rsidRPr="00144F2B">
        <w:tab/>
      </w:r>
      <w:r w:rsidRPr="005B2C1D">
        <w:t>État de l</w:t>
      </w:r>
      <w:r>
        <w:t>’</w:t>
      </w:r>
      <w:r w:rsidRPr="005B2C1D">
        <w:t xml:space="preserve">Accord européen relatif au transport international </w:t>
      </w:r>
      <w:r>
        <w:br/>
      </w:r>
      <w:r w:rsidRPr="005B2C1D">
        <w:t xml:space="preserve">des marchandises dangereuses par route (ADR) et </w:t>
      </w:r>
      <w:r>
        <w:br/>
      </w:r>
      <w:r w:rsidRPr="005B2C1D">
        <w:t>questions connexes (point 3 de l</w:t>
      </w:r>
      <w:r>
        <w:t>’</w:t>
      </w:r>
      <w:r w:rsidRPr="005B2C1D">
        <w:t>ordre du jour)</w:t>
      </w:r>
      <w:r>
        <w:tab/>
      </w:r>
      <w:r>
        <w:tab/>
        <w:t>14-15</w:t>
      </w:r>
      <w:r w:rsidRPr="001B507C">
        <w:tab/>
      </w:r>
      <w:r w:rsidR="006D3E0A">
        <w:t>5</w:t>
      </w:r>
    </w:p>
    <w:p w14:paraId="7D621EBE" w14:textId="2A22255F"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D05A1D">
        <w:t>État de l’Accord</w:t>
      </w:r>
      <w:r w:rsidRPr="00466F75">
        <w:rPr>
          <w:lang w:val="fr-FR"/>
        </w:rPr>
        <w:t xml:space="preserve"> </w:t>
      </w:r>
      <w:r>
        <w:rPr>
          <w:lang w:val="fr-FR"/>
        </w:rPr>
        <w:t xml:space="preserve">et </w:t>
      </w:r>
      <w:r w:rsidRPr="00466F75">
        <w:rPr>
          <w:lang w:val="fr-FR"/>
        </w:rPr>
        <w:t>Protocole d’amendement de 1993</w:t>
      </w:r>
      <w:r w:rsidRPr="00AF7A57">
        <w:rPr>
          <w:lang w:val="fr-FR"/>
        </w:rPr>
        <w:tab/>
      </w:r>
      <w:r w:rsidRPr="00AF7A57">
        <w:rPr>
          <w:lang w:val="fr-FR"/>
        </w:rPr>
        <w:tab/>
      </w:r>
      <w:r>
        <w:rPr>
          <w:lang w:val="fr-FR"/>
        </w:rPr>
        <w:t>14</w:t>
      </w:r>
      <w:r w:rsidRPr="001B507C">
        <w:rPr>
          <w:lang w:val="fr-FR"/>
        </w:rPr>
        <w:tab/>
      </w:r>
      <w:r w:rsidR="006D3E0A">
        <w:rPr>
          <w:lang w:val="fr-FR"/>
        </w:rPr>
        <w:t>5</w:t>
      </w:r>
    </w:p>
    <w:p w14:paraId="38425CAE" w14:textId="2FC11D30"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sidRPr="00556C9E">
        <w:rPr>
          <w:lang w:val="fr-FR"/>
        </w:rPr>
        <w:t xml:space="preserve">Corrections à l'ADR </w:t>
      </w:r>
      <w:r>
        <w:rPr>
          <w:lang w:val="fr-FR"/>
        </w:rPr>
        <w:t>2017</w:t>
      </w:r>
      <w:r w:rsidRPr="00AF7A57">
        <w:rPr>
          <w:lang w:val="fr-FR"/>
        </w:rPr>
        <w:tab/>
      </w:r>
      <w:r w:rsidRPr="00AF7A57">
        <w:rPr>
          <w:lang w:val="fr-FR"/>
        </w:rPr>
        <w:tab/>
      </w:r>
      <w:r w:rsidRPr="001B507C">
        <w:rPr>
          <w:lang w:val="fr-FR"/>
        </w:rPr>
        <w:t>15</w:t>
      </w:r>
      <w:r w:rsidRPr="001B507C">
        <w:rPr>
          <w:lang w:val="fr-FR"/>
        </w:rPr>
        <w:tab/>
      </w:r>
      <w:r w:rsidR="006D3E0A">
        <w:rPr>
          <w:lang w:val="fr-FR"/>
        </w:rPr>
        <w:t>5</w:t>
      </w:r>
    </w:p>
    <w:p w14:paraId="64EA4A36" w14:textId="56EE42D3" w:rsidR="00C64452" w:rsidRDefault="00C64452" w:rsidP="00C64452">
      <w:pPr>
        <w:tabs>
          <w:tab w:val="right" w:pos="850"/>
          <w:tab w:val="left" w:pos="1984"/>
          <w:tab w:val="left" w:leader="dot" w:pos="7654"/>
          <w:tab w:val="right" w:pos="8929"/>
          <w:tab w:val="right" w:pos="9638"/>
        </w:tabs>
        <w:spacing w:after="120"/>
        <w:ind w:left="1200" w:hanging="600"/>
      </w:pPr>
      <w:r>
        <w:t>V.</w:t>
      </w:r>
      <w:r>
        <w:tab/>
      </w:r>
      <w:r>
        <w:tab/>
      </w:r>
      <w:r w:rsidRPr="005B2C1D">
        <w:t>Travaux de la Réunion commune RID/A</w:t>
      </w:r>
      <w:r>
        <w:t>DR/ADN</w:t>
      </w:r>
      <w:r>
        <w:br/>
      </w:r>
      <w:r w:rsidRPr="005B2C1D">
        <w:t xml:space="preserve">(point </w:t>
      </w:r>
      <w:r>
        <w:t>4</w:t>
      </w:r>
      <w:r w:rsidRPr="005B2C1D">
        <w:t xml:space="preserve"> de l</w:t>
      </w:r>
      <w:r>
        <w:t>’</w:t>
      </w:r>
      <w:r w:rsidR="00C76112">
        <w:t>ordre du jour)</w:t>
      </w:r>
      <w:r>
        <w:tab/>
      </w:r>
      <w:r>
        <w:tab/>
        <w:t>16-19</w:t>
      </w:r>
      <w:r w:rsidRPr="001B507C">
        <w:tab/>
      </w:r>
      <w:r w:rsidR="006D3E0A">
        <w:t>6</w:t>
      </w:r>
    </w:p>
    <w:p w14:paraId="0B2DF301" w14:textId="41B64253"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3659AC">
        <w:t>Amendements proposés par l</w:t>
      </w:r>
      <w:r>
        <w:t>a Réunion commune à sa session</w:t>
      </w:r>
      <w:r>
        <w:br/>
        <w:t>d’automne</w:t>
      </w:r>
      <w:r w:rsidRPr="003659AC">
        <w:t xml:space="preserve"> </w:t>
      </w:r>
      <w:r>
        <w:t>2016 et à sa session de printemps 2017</w:t>
      </w:r>
      <w:r w:rsidRPr="00AF7A57">
        <w:rPr>
          <w:lang w:val="fr-FR"/>
        </w:rPr>
        <w:tab/>
      </w:r>
      <w:r w:rsidRPr="00AF7A57">
        <w:rPr>
          <w:lang w:val="fr-FR"/>
        </w:rPr>
        <w:tab/>
      </w:r>
      <w:r>
        <w:rPr>
          <w:lang w:val="fr-FR"/>
        </w:rPr>
        <w:t>16-17</w:t>
      </w:r>
      <w:r w:rsidRPr="001B507C">
        <w:rPr>
          <w:lang w:val="fr-FR"/>
        </w:rPr>
        <w:tab/>
      </w:r>
      <w:r w:rsidR="006D3E0A">
        <w:rPr>
          <w:lang w:val="fr-FR"/>
        </w:rPr>
        <w:t>6</w:t>
      </w:r>
    </w:p>
    <w:p w14:paraId="7CD02ABA" w14:textId="0A3603FE"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t>Corrections</w:t>
      </w:r>
      <w:r w:rsidRPr="003659AC">
        <w:t xml:space="preserve"> proposés par l</w:t>
      </w:r>
      <w:r>
        <w:t>a Réunion commune à sa session</w:t>
      </w:r>
      <w:r>
        <w:br/>
        <w:t>de printemps 2017</w:t>
      </w:r>
      <w:r w:rsidRPr="00AF7A57">
        <w:rPr>
          <w:lang w:val="fr-FR"/>
        </w:rPr>
        <w:tab/>
      </w:r>
      <w:r w:rsidRPr="00AF7A57">
        <w:rPr>
          <w:lang w:val="fr-FR"/>
        </w:rPr>
        <w:tab/>
      </w:r>
      <w:r>
        <w:rPr>
          <w:lang w:val="fr-FR"/>
        </w:rPr>
        <w:t>18-19</w:t>
      </w:r>
      <w:r w:rsidRPr="001B507C">
        <w:rPr>
          <w:lang w:val="fr-FR"/>
        </w:rPr>
        <w:tab/>
      </w:r>
      <w:r w:rsidR="006D3E0A">
        <w:rPr>
          <w:lang w:val="fr-FR"/>
        </w:rPr>
        <w:t>6</w:t>
      </w:r>
    </w:p>
    <w:p w14:paraId="590418B5" w14:textId="6DAABFE6" w:rsidR="00C64452" w:rsidRDefault="00C64452" w:rsidP="00C64452">
      <w:pPr>
        <w:tabs>
          <w:tab w:val="right" w:pos="850"/>
          <w:tab w:val="left" w:pos="1984"/>
          <w:tab w:val="left" w:leader="dot" w:pos="7654"/>
          <w:tab w:val="right" w:pos="8929"/>
          <w:tab w:val="right" w:pos="9638"/>
        </w:tabs>
        <w:spacing w:after="120"/>
        <w:ind w:left="1200" w:hanging="600"/>
      </w:pPr>
      <w:r w:rsidRPr="00DF3E0D">
        <w:t>VI.</w:t>
      </w:r>
      <w:r w:rsidRPr="00DF3E0D">
        <w:tab/>
      </w:r>
      <w:r w:rsidRPr="00787CF7">
        <w:rPr>
          <w:lang w:val="fr-FR"/>
        </w:rPr>
        <w:t>Propositions d'amendement aux annexes A et B de l'ADR</w:t>
      </w:r>
      <w:r>
        <w:br/>
      </w:r>
      <w:r w:rsidRPr="005B2C1D">
        <w:t xml:space="preserve">(point </w:t>
      </w:r>
      <w:r>
        <w:t>5</w:t>
      </w:r>
      <w:r w:rsidRPr="005B2C1D">
        <w:t xml:space="preserve"> de l</w:t>
      </w:r>
      <w:r>
        <w:t>’</w:t>
      </w:r>
      <w:r w:rsidRPr="005B2C1D">
        <w:t>ordre du jour)</w:t>
      </w:r>
      <w:r>
        <w:tab/>
      </w:r>
      <w:r>
        <w:tab/>
        <w:t>20-48</w:t>
      </w:r>
      <w:r w:rsidRPr="001B507C">
        <w:tab/>
      </w:r>
      <w:r w:rsidR="006D3E0A">
        <w:t>6</w:t>
      </w:r>
    </w:p>
    <w:p w14:paraId="0D34AA67" w14:textId="109002A0"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214393">
        <w:rPr>
          <w:lang w:val="fr-FR"/>
        </w:rPr>
        <w:t>Construction et agrément des véhicules</w:t>
      </w:r>
      <w:r>
        <w:rPr>
          <w:lang w:val="fr-FR"/>
        </w:rPr>
        <w:tab/>
      </w:r>
      <w:r>
        <w:rPr>
          <w:lang w:val="fr-FR"/>
        </w:rPr>
        <w:tab/>
        <w:t>20-30</w:t>
      </w:r>
      <w:r>
        <w:rPr>
          <w:lang w:val="fr-FR"/>
        </w:rPr>
        <w:tab/>
      </w:r>
      <w:r w:rsidR="006D3E0A">
        <w:rPr>
          <w:lang w:val="fr-FR"/>
        </w:rPr>
        <w:t>6</w:t>
      </w:r>
    </w:p>
    <w:p w14:paraId="3879F24F" w14:textId="68614339"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2146A9">
        <w:rPr>
          <w:lang w:val="fr-FR"/>
        </w:rPr>
        <w:t>1.</w:t>
      </w:r>
      <w:r w:rsidRPr="002146A9">
        <w:rPr>
          <w:lang w:val="fr-FR"/>
        </w:rPr>
        <w:tab/>
      </w:r>
      <w:r w:rsidRPr="00214393">
        <w:rPr>
          <w:lang w:val="fr-FR"/>
        </w:rPr>
        <w:t xml:space="preserve">Interprétation </w:t>
      </w:r>
      <w:r>
        <w:rPr>
          <w:lang w:val="fr-FR"/>
        </w:rPr>
        <w:t xml:space="preserve">des prescriptions du 9.3.4.2 de l’ADR </w:t>
      </w:r>
      <w:r>
        <w:rPr>
          <w:lang w:val="fr-FR"/>
        </w:rPr>
        <w:br/>
        <w:t>pour les véhicules EX/II et EX/III</w:t>
      </w:r>
      <w:r>
        <w:rPr>
          <w:lang w:val="fr-FR"/>
        </w:rPr>
        <w:tab/>
      </w:r>
      <w:r>
        <w:rPr>
          <w:lang w:val="fr-FR"/>
        </w:rPr>
        <w:tab/>
        <w:t>20-23</w:t>
      </w:r>
      <w:r>
        <w:rPr>
          <w:lang w:val="fr-FR"/>
        </w:rPr>
        <w:tab/>
      </w:r>
      <w:r w:rsidR="006D3E0A">
        <w:rPr>
          <w:lang w:val="fr-FR"/>
        </w:rPr>
        <w:t>6</w:t>
      </w:r>
    </w:p>
    <w:p w14:paraId="39517FB7" w14:textId="17690B45"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t>2.</w:t>
      </w:r>
      <w:r>
        <w:rPr>
          <w:lang w:val="fr-FR"/>
        </w:rPr>
        <w:tab/>
        <w:t>Equipement électrique – application du 9.2.2.9.1</w:t>
      </w:r>
      <w:r>
        <w:rPr>
          <w:lang w:val="fr-FR"/>
        </w:rPr>
        <w:tab/>
      </w:r>
      <w:r>
        <w:rPr>
          <w:lang w:val="fr-FR"/>
        </w:rPr>
        <w:tab/>
        <w:t>24-25</w:t>
      </w:r>
      <w:r>
        <w:rPr>
          <w:lang w:val="fr-FR"/>
        </w:rPr>
        <w:tab/>
      </w:r>
      <w:r w:rsidR="006D3E0A">
        <w:rPr>
          <w:lang w:val="fr-FR"/>
        </w:rPr>
        <w:t>7</w:t>
      </w:r>
    </w:p>
    <w:p w14:paraId="069D601B" w14:textId="4E337F5D"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t>3.</w:t>
      </w:r>
      <w:r>
        <w:rPr>
          <w:lang w:val="fr-FR"/>
        </w:rPr>
        <w:tab/>
      </w:r>
      <w:r>
        <w:t>Prescriptions relatives aux moyens de fixation dans le 9.7.3</w:t>
      </w:r>
      <w:r>
        <w:tab/>
      </w:r>
      <w:r>
        <w:tab/>
        <w:t>26</w:t>
      </w:r>
      <w:r>
        <w:tab/>
      </w:r>
      <w:r w:rsidR="006D3E0A">
        <w:t>7</w:t>
      </w:r>
    </w:p>
    <w:p w14:paraId="5E7CB05E" w14:textId="25ECE36C"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rPr>
          <w:lang w:val="fr-FR"/>
        </w:rPr>
        <w:lastRenderedPageBreak/>
        <w:tab/>
      </w:r>
      <w:r>
        <w:rPr>
          <w:lang w:val="fr-FR"/>
        </w:rPr>
        <w:tab/>
      </w:r>
      <w:r>
        <w:rPr>
          <w:lang w:val="fr-FR"/>
        </w:rPr>
        <w:tab/>
        <w:t>4</w:t>
      </w:r>
      <w:r w:rsidRPr="004B4555">
        <w:rPr>
          <w:lang w:val="fr-FR"/>
        </w:rPr>
        <w:t>.</w:t>
      </w:r>
      <w:r w:rsidRPr="004B4555">
        <w:rPr>
          <w:lang w:val="fr-FR"/>
        </w:rPr>
        <w:tab/>
      </w:r>
      <w:r w:rsidRPr="006231B2">
        <w:t xml:space="preserve">Dispense de première visite technique pour les véhicules EX/II, EX/III, FL et </w:t>
      </w:r>
      <w:r>
        <w:br/>
      </w:r>
      <w:r w:rsidRPr="006231B2">
        <w:t xml:space="preserve">AT et les MEMU homologués conformément au paragraphe 9.1.2.2 et </w:t>
      </w:r>
      <w:r>
        <w:br/>
      </w:r>
      <w:r w:rsidRPr="006231B2">
        <w:t xml:space="preserve">pour lesquels une déclaration de conformité aux prescriptions </w:t>
      </w:r>
      <w:r w:rsidR="00F025AD">
        <w:br/>
      </w:r>
      <w:r w:rsidRPr="006231B2">
        <w:t>du chapitre 9.2 a été délivrée</w:t>
      </w:r>
      <w:r>
        <w:tab/>
      </w:r>
      <w:r>
        <w:tab/>
        <w:t>27</w:t>
      </w:r>
      <w:r>
        <w:tab/>
      </w:r>
      <w:r w:rsidR="006D3E0A">
        <w:t>7</w:t>
      </w:r>
    </w:p>
    <w:p w14:paraId="7086E7B4" w14:textId="082BA70F"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tab/>
      </w:r>
      <w:r>
        <w:tab/>
      </w:r>
      <w:r>
        <w:tab/>
      </w:r>
      <w:r>
        <w:rPr>
          <w:lang w:val="fr-FR"/>
        </w:rPr>
        <w:t>5</w:t>
      </w:r>
      <w:r w:rsidRPr="004B4555">
        <w:rPr>
          <w:lang w:val="fr-FR"/>
        </w:rPr>
        <w:t>.</w:t>
      </w:r>
      <w:r w:rsidRPr="004B4555">
        <w:rPr>
          <w:lang w:val="fr-FR"/>
        </w:rPr>
        <w:tab/>
      </w:r>
      <w:r>
        <w:t>Corrections au chapitre 9.2</w:t>
      </w:r>
      <w:r>
        <w:tab/>
      </w:r>
      <w:r>
        <w:tab/>
        <w:t>28-29</w:t>
      </w:r>
      <w:r>
        <w:tab/>
      </w:r>
      <w:r w:rsidR="006D3E0A">
        <w:t>7</w:t>
      </w:r>
    </w:p>
    <w:p w14:paraId="0273D144" w14:textId="5A7361D7"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t>6</w:t>
      </w:r>
      <w:r w:rsidRPr="004B4555">
        <w:rPr>
          <w:lang w:val="fr-FR"/>
        </w:rPr>
        <w:t>.</w:t>
      </w:r>
      <w:r w:rsidRPr="004B4555">
        <w:rPr>
          <w:lang w:val="fr-FR"/>
        </w:rPr>
        <w:tab/>
      </w:r>
      <w:r>
        <w:t xml:space="preserve">Correction aux </w:t>
      </w:r>
      <w:r w:rsidRPr="000F78E9">
        <w:t xml:space="preserve">Lignes directrices relatives au </w:t>
      </w:r>
      <w:r>
        <w:br/>
      </w:r>
      <w:r w:rsidRPr="000F78E9">
        <w:t>certificat d’agrément selon le 9.1.3 de l’ADR</w:t>
      </w:r>
      <w:r>
        <w:tab/>
      </w:r>
      <w:r>
        <w:tab/>
        <w:t>30</w:t>
      </w:r>
      <w:r>
        <w:tab/>
      </w:r>
      <w:r w:rsidR="006D3E0A">
        <w:t>7</w:t>
      </w:r>
    </w:p>
    <w:p w14:paraId="302FCE55" w14:textId="0EC9C95B"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Pr>
          <w:lang w:val="fr-FR"/>
        </w:rPr>
        <w:t>Propositions diverses</w:t>
      </w:r>
      <w:r>
        <w:rPr>
          <w:lang w:val="fr-FR"/>
        </w:rPr>
        <w:tab/>
      </w:r>
      <w:r>
        <w:rPr>
          <w:lang w:val="fr-FR"/>
        </w:rPr>
        <w:tab/>
        <w:t>31-48</w:t>
      </w:r>
      <w:r>
        <w:rPr>
          <w:lang w:val="fr-FR"/>
        </w:rPr>
        <w:tab/>
      </w:r>
      <w:r w:rsidR="006D3E0A">
        <w:rPr>
          <w:lang w:val="fr-FR"/>
        </w:rPr>
        <w:t>8</w:t>
      </w:r>
    </w:p>
    <w:p w14:paraId="350B684D" w14:textId="44F25EBB"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tab/>
      </w:r>
      <w:r>
        <w:tab/>
      </w:r>
      <w:r>
        <w:tab/>
        <w:t>1.</w:t>
      </w:r>
      <w:r>
        <w:tab/>
      </w:r>
      <w:r w:rsidRPr="002C53EE">
        <w:t xml:space="preserve">Application </w:t>
      </w:r>
      <w:proofErr w:type="spellStart"/>
      <w:r w:rsidRPr="002C53EE">
        <w:t>des</w:t>
      </w:r>
      <w:proofErr w:type="spellEnd"/>
      <w:r w:rsidRPr="002C53EE">
        <w:t xml:space="preserve"> Nos ONU 3166 et 3171 aux véhicules </w:t>
      </w:r>
      <w:r>
        <w:br/>
      </w:r>
      <w:r w:rsidRPr="002C53EE">
        <w:t xml:space="preserve">en tant que chargement et limites de carburant des moteurs hybrides </w:t>
      </w:r>
      <w:r>
        <w:br/>
      </w:r>
      <w:r w:rsidRPr="002C53EE">
        <w:t>gaz-liquide sur des remorques</w:t>
      </w:r>
      <w:r>
        <w:tab/>
      </w:r>
      <w:r>
        <w:tab/>
        <w:t>31</w:t>
      </w:r>
      <w:r>
        <w:tab/>
      </w:r>
      <w:r w:rsidR="006D3E0A">
        <w:t>8</w:t>
      </w:r>
    </w:p>
    <w:p w14:paraId="11AD1F27" w14:textId="317F697D"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tab/>
      </w:r>
      <w:r>
        <w:tab/>
      </w:r>
      <w:r>
        <w:tab/>
        <w:t>2.</w:t>
      </w:r>
      <w:r>
        <w:tab/>
        <w:t xml:space="preserve">5.4.1.1.1 </w:t>
      </w:r>
      <w:r w:rsidRPr="002F718B">
        <w:t xml:space="preserve">f) </w:t>
      </w:r>
      <w:r>
        <w:t>et transport conformément au</w:t>
      </w:r>
      <w:r w:rsidRPr="002F718B">
        <w:t xml:space="preserve"> 1.1.3.6</w:t>
      </w:r>
      <w:r>
        <w:tab/>
      </w:r>
      <w:r>
        <w:tab/>
        <w:t>32</w:t>
      </w:r>
      <w:r>
        <w:tab/>
      </w:r>
      <w:r w:rsidR="006D3E0A">
        <w:t>8</w:t>
      </w:r>
    </w:p>
    <w:p w14:paraId="3990D217" w14:textId="6A736E75"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r>
      <w:r>
        <w:t>3.</w:t>
      </w:r>
      <w:r>
        <w:tab/>
      </w:r>
      <w:r w:rsidRPr="002C53EE">
        <w:t xml:space="preserve">Proposition de définition du transport par des particuliers </w:t>
      </w:r>
      <w:r>
        <w:br/>
      </w:r>
      <w:r w:rsidRPr="002C53EE">
        <w:t>selon le 1.1.3.1 a)</w:t>
      </w:r>
      <w:r>
        <w:tab/>
      </w:r>
      <w:r>
        <w:tab/>
        <w:t>33-35</w:t>
      </w:r>
      <w:r>
        <w:tab/>
      </w:r>
      <w:r w:rsidR="006D3E0A">
        <w:t>8</w:t>
      </w:r>
    </w:p>
    <w:p w14:paraId="03D89BAB" w14:textId="30CC951A"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tab/>
      </w:r>
      <w:r>
        <w:tab/>
      </w:r>
      <w:r>
        <w:tab/>
        <w:t>4.</w:t>
      </w:r>
      <w:r>
        <w:tab/>
      </w:r>
      <w:r w:rsidRPr="007C331E">
        <w:t>Référence au Code de bonne</w:t>
      </w:r>
      <w:r>
        <w:t>s</w:t>
      </w:r>
      <w:r w:rsidRPr="007C331E">
        <w:t xml:space="preserve"> pratique</w:t>
      </w:r>
      <w:r>
        <w:t>s</w:t>
      </w:r>
      <w:r w:rsidRPr="007C331E">
        <w:t xml:space="preserve"> OMI/OIT/CEE pour le chargement </w:t>
      </w:r>
      <w:r w:rsidR="00F025AD">
        <w:br/>
      </w:r>
      <w:r w:rsidRPr="007C331E">
        <w:t>des cargaisons dans des engins de transport (Code CTU)</w:t>
      </w:r>
      <w:r>
        <w:tab/>
      </w:r>
      <w:r>
        <w:tab/>
        <w:t>36-37</w:t>
      </w:r>
      <w:r>
        <w:tab/>
      </w:r>
      <w:r w:rsidR="006D3E0A">
        <w:t>8</w:t>
      </w:r>
    </w:p>
    <w:p w14:paraId="27D8A466" w14:textId="6A012BE0"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tab/>
      </w:r>
      <w:r>
        <w:tab/>
      </w:r>
      <w:r>
        <w:tab/>
        <w:t>5.</w:t>
      </w:r>
      <w:r>
        <w:tab/>
        <w:t>Augmentation de la q</w:t>
      </w:r>
      <w:r w:rsidRPr="0092400A">
        <w:t xml:space="preserve">uantité </w:t>
      </w:r>
      <w:r>
        <w:t>d’explosifs</w:t>
      </w:r>
      <w:r w:rsidRPr="0092400A">
        <w:t xml:space="preserve"> autorisée par unité de transport</w:t>
      </w:r>
      <w:r>
        <w:tab/>
        <w:t>38-39</w:t>
      </w:r>
      <w:r>
        <w:tab/>
      </w:r>
      <w:r w:rsidR="006D3E0A">
        <w:t>8</w:t>
      </w:r>
    </w:p>
    <w:p w14:paraId="3D279627" w14:textId="491DDBFF"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6.</w:t>
      </w:r>
      <w:r w:rsidRPr="00F078D1">
        <w:rPr>
          <w:lang w:val="fr-FR"/>
        </w:rPr>
        <w:tab/>
        <w:t xml:space="preserve">Signalisation orange lors d’un transport dans une chaîne de transport </w:t>
      </w:r>
      <w:r>
        <w:rPr>
          <w:lang w:val="fr-FR"/>
        </w:rPr>
        <w:br/>
      </w:r>
      <w:r w:rsidRPr="00F078D1">
        <w:rPr>
          <w:lang w:val="fr-FR"/>
        </w:rPr>
        <w:t>comportant un parcours maritime ou aérien</w:t>
      </w:r>
      <w:r>
        <w:rPr>
          <w:lang w:val="fr-FR"/>
        </w:rPr>
        <w:tab/>
      </w:r>
      <w:r>
        <w:rPr>
          <w:lang w:val="fr-FR"/>
        </w:rPr>
        <w:tab/>
        <w:t>40-41</w:t>
      </w:r>
      <w:r>
        <w:rPr>
          <w:lang w:val="fr-FR"/>
        </w:rPr>
        <w:tab/>
      </w:r>
      <w:r w:rsidR="006D3E0A">
        <w:rPr>
          <w:lang w:val="fr-FR"/>
        </w:rPr>
        <w:t>9</w:t>
      </w:r>
    </w:p>
    <w:p w14:paraId="32B81961" w14:textId="0A45746B"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7.</w:t>
      </w:r>
      <w:r w:rsidRPr="00F078D1">
        <w:rPr>
          <w:lang w:val="fr-FR"/>
        </w:rPr>
        <w:tab/>
        <w:t xml:space="preserve">Application des restrictions en tunnel pour les rubriques </w:t>
      </w:r>
      <w:r>
        <w:rPr>
          <w:lang w:val="fr-FR"/>
        </w:rPr>
        <w:br/>
      </w:r>
      <w:r w:rsidRPr="00F078D1">
        <w:rPr>
          <w:lang w:val="fr-FR"/>
        </w:rPr>
        <w:t>des moteurs et machines, Nos ONU 3528, 3529 et 3530</w:t>
      </w:r>
      <w:r>
        <w:rPr>
          <w:lang w:val="fr-FR"/>
        </w:rPr>
        <w:tab/>
      </w:r>
      <w:r>
        <w:rPr>
          <w:lang w:val="fr-FR"/>
        </w:rPr>
        <w:tab/>
        <w:t>42-44</w:t>
      </w:r>
      <w:r>
        <w:rPr>
          <w:lang w:val="fr-FR"/>
        </w:rPr>
        <w:tab/>
      </w:r>
      <w:r w:rsidR="006D3E0A">
        <w:rPr>
          <w:lang w:val="fr-FR"/>
        </w:rPr>
        <w:t>9</w:t>
      </w:r>
    </w:p>
    <w:p w14:paraId="5BB27574" w14:textId="789E129C"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8.</w:t>
      </w:r>
      <w:r w:rsidRPr="00F078D1">
        <w:rPr>
          <w:lang w:val="fr-FR"/>
        </w:rPr>
        <w:tab/>
        <w:t>Proposition d’amendement des 5.3.2.1.4 et 5.3.2.1.6</w:t>
      </w:r>
      <w:r>
        <w:rPr>
          <w:lang w:val="fr-FR"/>
        </w:rPr>
        <w:tab/>
      </w:r>
      <w:r>
        <w:rPr>
          <w:lang w:val="fr-FR"/>
        </w:rPr>
        <w:tab/>
        <w:t>45</w:t>
      </w:r>
      <w:r>
        <w:rPr>
          <w:lang w:val="fr-FR"/>
        </w:rPr>
        <w:tab/>
      </w:r>
      <w:r w:rsidR="006D3E0A">
        <w:rPr>
          <w:lang w:val="fr-FR"/>
        </w:rPr>
        <w:t>9</w:t>
      </w:r>
    </w:p>
    <w:p w14:paraId="6850CD76" w14:textId="4E062003"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9.</w:t>
      </w:r>
      <w:r w:rsidRPr="00F078D1">
        <w:rPr>
          <w:lang w:val="fr-FR"/>
        </w:rPr>
        <w:tab/>
      </w:r>
      <w:r>
        <w:rPr>
          <w:lang w:val="fr-FR"/>
        </w:rPr>
        <w:t xml:space="preserve">Amendement au </w:t>
      </w:r>
      <w:r w:rsidRPr="00F078D1">
        <w:rPr>
          <w:lang w:val="fr-FR"/>
        </w:rPr>
        <w:t>8.1.2.1 a)</w:t>
      </w:r>
      <w:r>
        <w:rPr>
          <w:lang w:val="fr-FR"/>
        </w:rPr>
        <w:tab/>
      </w:r>
      <w:r>
        <w:rPr>
          <w:lang w:val="fr-FR"/>
        </w:rPr>
        <w:tab/>
        <w:t>46</w:t>
      </w:r>
      <w:r>
        <w:rPr>
          <w:lang w:val="fr-FR"/>
        </w:rPr>
        <w:tab/>
      </w:r>
      <w:r w:rsidR="006D3E0A">
        <w:rPr>
          <w:lang w:val="fr-FR"/>
        </w:rPr>
        <w:t>9</w:t>
      </w:r>
    </w:p>
    <w:p w14:paraId="7EE71E66" w14:textId="469B9DCD"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r>
      <w:r w:rsidRPr="00F078D1">
        <w:rPr>
          <w:lang w:val="fr-FR"/>
        </w:rPr>
        <w:t>10.</w:t>
      </w:r>
      <w:r w:rsidRPr="00F078D1">
        <w:rPr>
          <w:lang w:val="fr-FR"/>
        </w:rPr>
        <w:tab/>
        <w:t>Correction au 6.8.2.4.3</w:t>
      </w:r>
      <w:r>
        <w:rPr>
          <w:lang w:val="fr-FR"/>
        </w:rPr>
        <w:tab/>
      </w:r>
      <w:r>
        <w:rPr>
          <w:lang w:val="fr-FR"/>
        </w:rPr>
        <w:tab/>
        <w:t>47-48</w:t>
      </w:r>
      <w:r>
        <w:rPr>
          <w:lang w:val="fr-FR"/>
        </w:rPr>
        <w:tab/>
      </w:r>
      <w:r w:rsidR="006D3E0A">
        <w:rPr>
          <w:lang w:val="fr-FR"/>
        </w:rPr>
        <w:t>10</w:t>
      </w:r>
    </w:p>
    <w:p w14:paraId="03863CE6" w14:textId="57A72DEC" w:rsidR="00C64452" w:rsidRDefault="00C64452" w:rsidP="00C64452">
      <w:pPr>
        <w:tabs>
          <w:tab w:val="right" w:pos="850"/>
          <w:tab w:val="left" w:pos="1134"/>
          <w:tab w:val="left" w:pos="1984"/>
          <w:tab w:val="left" w:leader="dot" w:pos="7654"/>
          <w:tab w:val="right" w:pos="8929"/>
          <w:tab w:val="right" w:pos="9638"/>
        </w:tabs>
        <w:spacing w:after="120"/>
        <w:ind w:left="1134" w:hanging="1134"/>
      </w:pPr>
      <w:r>
        <w:rPr>
          <w:lang w:val="fr-FR"/>
        </w:rPr>
        <w:tab/>
      </w:r>
      <w:r>
        <w:t>VII.</w:t>
      </w:r>
      <w:r>
        <w:tab/>
      </w:r>
      <w:r w:rsidRPr="00787CF7">
        <w:rPr>
          <w:lang w:val="fr-FR"/>
        </w:rPr>
        <w:t>Interprétation de l’ADR</w:t>
      </w:r>
      <w:r>
        <w:rPr>
          <w:lang w:val="fr-FR"/>
        </w:rPr>
        <w:t xml:space="preserve"> </w:t>
      </w:r>
      <w:r w:rsidRPr="005B2C1D">
        <w:t xml:space="preserve">(point </w:t>
      </w:r>
      <w:r>
        <w:t>6</w:t>
      </w:r>
      <w:r w:rsidRPr="005B2C1D">
        <w:t xml:space="preserve"> de l</w:t>
      </w:r>
      <w:r>
        <w:t>’</w:t>
      </w:r>
      <w:r w:rsidRPr="005B2C1D">
        <w:t>ordre du jour)</w:t>
      </w:r>
      <w:r>
        <w:tab/>
      </w:r>
      <w:r>
        <w:tab/>
        <w:t>49-54</w:t>
      </w:r>
      <w:r>
        <w:tab/>
      </w:r>
      <w:r w:rsidR="006D3E0A">
        <w:t>10</w:t>
      </w:r>
    </w:p>
    <w:p w14:paraId="4FDAF12F" w14:textId="107EEF3B"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sidRPr="004B4555">
        <w:rPr>
          <w:lang w:val="fr-FR"/>
        </w:rPr>
        <w:tab/>
      </w:r>
      <w:r>
        <w:rPr>
          <w:lang w:val="fr-FR"/>
        </w:rPr>
        <w:t>A</w:t>
      </w:r>
      <w:r w:rsidRPr="004B4555">
        <w:rPr>
          <w:lang w:val="fr-FR"/>
        </w:rPr>
        <w:t>.</w:t>
      </w:r>
      <w:r w:rsidRPr="004B4555">
        <w:rPr>
          <w:lang w:val="fr-FR"/>
        </w:rPr>
        <w:tab/>
      </w:r>
      <w:r>
        <w:t>Informations dans le document de transport</w:t>
      </w:r>
      <w:r>
        <w:rPr>
          <w:lang w:val="fr-FR"/>
        </w:rPr>
        <w:tab/>
      </w:r>
      <w:r>
        <w:rPr>
          <w:lang w:val="fr-FR"/>
        </w:rPr>
        <w:tab/>
        <w:t>49-52</w:t>
      </w:r>
      <w:r>
        <w:rPr>
          <w:lang w:val="fr-FR"/>
        </w:rPr>
        <w:tab/>
      </w:r>
      <w:r w:rsidR="006D3E0A">
        <w:rPr>
          <w:lang w:val="fr-FR"/>
        </w:rPr>
        <w:t>10</w:t>
      </w:r>
    </w:p>
    <w:p w14:paraId="1D6389AB" w14:textId="56E03AAC"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B</w:t>
      </w:r>
      <w:r w:rsidRPr="004B4555">
        <w:rPr>
          <w:lang w:val="fr-FR"/>
        </w:rPr>
        <w:t>.</w:t>
      </w:r>
      <w:r w:rsidRPr="004B4555">
        <w:rPr>
          <w:lang w:val="fr-FR"/>
        </w:rPr>
        <w:tab/>
      </w:r>
      <w:r>
        <w:t>Mesure transitoire c pour 9.2.2.6 dans le tableau du 9.2.1.1</w:t>
      </w:r>
      <w:r>
        <w:rPr>
          <w:lang w:val="fr-FR"/>
        </w:rPr>
        <w:tab/>
      </w:r>
      <w:r>
        <w:rPr>
          <w:lang w:val="fr-FR"/>
        </w:rPr>
        <w:tab/>
        <w:t>53-54</w:t>
      </w:r>
      <w:r>
        <w:rPr>
          <w:lang w:val="fr-FR"/>
        </w:rPr>
        <w:tab/>
      </w:r>
      <w:r w:rsidR="006D3E0A">
        <w:rPr>
          <w:lang w:val="fr-FR"/>
        </w:rPr>
        <w:t>10</w:t>
      </w:r>
    </w:p>
    <w:p w14:paraId="0EA526B0" w14:textId="55B4A4BE" w:rsidR="00C64452" w:rsidRDefault="00C64452" w:rsidP="00C64452">
      <w:pPr>
        <w:tabs>
          <w:tab w:val="right" w:pos="850"/>
          <w:tab w:val="left" w:pos="1134"/>
          <w:tab w:val="left" w:pos="1984"/>
          <w:tab w:val="left" w:leader="dot" w:pos="7654"/>
          <w:tab w:val="right" w:pos="8929"/>
          <w:tab w:val="right" w:pos="9638"/>
        </w:tabs>
        <w:spacing w:after="120"/>
        <w:ind w:left="1134" w:hanging="1134"/>
        <w:rPr>
          <w:lang w:val="fr-FR"/>
        </w:rPr>
      </w:pPr>
      <w:r>
        <w:rPr>
          <w:lang w:val="fr-FR"/>
        </w:rPr>
        <w:tab/>
      </w:r>
      <w:r w:rsidRPr="008E380C">
        <w:t>VII</w:t>
      </w:r>
      <w:r>
        <w:t>I</w:t>
      </w:r>
      <w:r w:rsidRPr="008E380C">
        <w:t>.</w:t>
      </w:r>
      <w:r w:rsidRPr="008E380C">
        <w:tab/>
      </w:r>
      <w:r w:rsidRPr="00F078D1">
        <w:rPr>
          <w:lang w:val="fr-FR"/>
        </w:rPr>
        <w:t>Programme de travail (point 7 de l’ordre du jour)</w:t>
      </w:r>
      <w:r>
        <w:rPr>
          <w:lang w:val="fr-FR"/>
        </w:rPr>
        <w:tab/>
      </w:r>
      <w:r>
        <w:rPr>
          <w:lang w:val="fr-FR"/>
        </w:rPr>
        <w:tab/>
        <w:t>55-62</w:t>
      </w:r>
      <w:r>
        <w:rPr>
          <w:lang w:val="fr-FR"/>
        </w:rPr>
        <w:tab/>
        <w:t>1</w:t>
      </w:r>
      <w:r w:rsidR="006D3E0A">
        <w:rPr>
          <w:lang w:val="fr-FR"/>
        </w:rPr>
        <w:t>1</w:t>
      </w:r>
    </w:p>
    <w:p w14:paraId="70C9DEF0" w14:textId="795E0BA1"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A</w:t>
      </w:r>
      <w:r w:rsidRPr="004B4555">
        <w:rPr>
          <w:lang w:val="fr-FR"/>
        </w:rPr>
        <w:t>.</w:t>
      </w:r>
      <w:r w:rsidRPr="004B4555">
        <w:rPr>
          <w:lang w:val="fr-FR"/>
        </w:rPr>
        <w:tab/>
      </w:r>
      <w:r w:rsidRPr="00F078D1">
        <w:rPr>
          <w:lang w:val="fr-FR"/>
        </w:rPr>
        <w:t xml:space="preserve">Projet de programme de travail </w:t>
      </w:r>
      <w:r>
        <w:rPr>
          <w:lang w:val="fr-FR"/>
        </w:rPr>
        <w:t xml:space="preserve">et </w:t>
      </w:r>
      <w:r w:rsidR="00C76112">
        <w:rPr>
          <w:lang w:val="fr-FR"/>
        </w:rPr>
        <w:t>p</w:t>
      </w:r>
      <w:r w:rsidR="00C76112" w:rsidRPr="00F078D1">
        <w:rPr>
          <w:lang w:val="fr-FR"/>
        </w:rPr>
        <w:t>rogramme</w:t>
      </w:r>
      <w:r>
        <w:rPr>
          <w:lang w:val="fr-FR"/>
        </w:rPr>
        <w:br/>
      </w:r>
      <w:r w:rsidRPr="00F078D1">
        <w:rPr>
          <w:lang w:val="fr-FR"/>
        </w:rPr>
        <w:t xml:space="preserve">des réunions </w:t>
      </w:r>
      <w:r w:rsidR="00C76112" w:rsidRPr="00F078D1">
        <w:rPr>
          <w:lang w:val="fr-FR"/>
        </w:rPr>
        <w:t xml:space="preserve">pour la période </w:t>
      </w:r>
      <w:r w:rsidRPr="00F078D1">
        <w:rPr>
          <w:lang w:val="fr-FR"/>
        </w:rPr>
        <w:t>2018-2019</w:t>
      </w:r>
      <w:r>
        <w:rPr>
          <w:lang w:val="fr-FR"/>
        </w:rPr>
        <w:tab/>
      </w:r>
      <w:r>
        <w:rPr>
          <w:lang w:val="fr-FR"/>
        </w:rPr>
        <w:tab/>
        <w:t>55</w:t>
      </w:r>
      <w:r>
        <w:rPr>
          <w:lang w:val="fr-FR"/>
        </w:rPr>
        <w:tab/>
        <w:t>1</w:t>
      </w:r>
      <w:r w:rsidR="006D3E0A">
        <w:rPr>
          <w:lang w:val="fr-FR"/>
        </w:rPr>
        <w:t>1</w:t>
      </w:r>
    </w:p>
    <w:p w14:paraId="0B7A9573" w14:textId="5C6D4AAD"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sidRPr="00F078D1">
        <w:rPr>
          <w:lang w:val="fr-FR"/>
        </w:rPr>
        <w:t>B.</w:t>
      </w:r>
      <w:r w:rsidRPr="00F078D1">
        <w:rPr>
          <w:lang w:val="fr-FR"/>
        </w:rPr>
        <w:tab/>
        <w:t>103</w:t>
      </w:r>
      <w:r w:rsidRPr="00F078D1">
        <w:rPr>
          <w:vertAlign w:val="superscript"/>
          <w:lang w:val="fr-FR"/>
        </w:rPr>
        <w:t>e</w:t>
      </w:r>
      <w:r w:rsidRPr="00F078D1">
        <w:rPr>
          <w:lang w:val="fr-FR"/>
        </w:rPr>
        <w:t xml:space="preserve"> session</w:t>
      </w:r>
      <w:r>
        <w:rPr>
          <w:lang w:val="fr-FR"/>
        </w:rPr>
        <w:tab/>
      </w:r>
      <w:r>
        <w:rPr>
          <w:lang w:val="fr-FR"/>
        </w:rPr>
        <w:tab/>
        <w:t>56-59</w:t>
      </w:r>
      <w:r>
        <w:rPr>
          <w:lang w:val="fr-FR"/>
        </w:rPr>
        <w:tab/>
        <w:t>1</w:t>
      </w:r>
      <w:r w:rsidR="006D3E0A">
        <w:rPr>
          <w:lang w:val="fr-FR"/>
        </w:rPr>
        <w:t>1</w:t>
      </w:r>
    </w:p>
    <w:p w14:paraId="78C424C8" w14:textId="40EF4BE0"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sidRPr="00F078D1">
        <w:rPr>
          <w:lang w:val="fr-FR"/>
        </w:rPr>
        <w:t>C.</w:t>
      </w:r>
      <w:r w:rsidRPr="00F078D1">
        <w:rPr>
          <w:lang w:val="fr-FR"/>
        </w:rPr>
        <w:tab/>
        <w:t>Évaluations bisannuelles</w:t>
      </w:r>
      <w:r>
        <w:rPr>
          <w:lang w:val="fr-FR"/>
        </w:rPr>
        <w:tab/>
      </w:r>
      <w:r>
        <w:rPr>
          <w:lang w:val="fr-FR"/>
        </w:rPr>
        <w:tab/>
        <w:t>60-62</w:t>
      </w:r>
      <w:r>
        <w:rPr>
          <w:lang w:val="fr-FR"/>
        </w:rPr>
        <w:tab/>
        <w:t>1</w:t>
      </w:r>
      <w:r w:rsidR="006D3E0A">
        <w:rPr>
          <w:lang w:val="fr-FR"/>
        </w:rPr>
        <w:t>1</w:t>
      </w:r>
    </w:p>
    <w:p w14:paraId="17C3FBDA" w14:textId="50C02E0F" w:rsidR="00C64452" w:rsidRDefault="00C64452" w:rsidP="00C64452">
      <w:pPr>
        <w:tabs>
          <w:tab w:val="right" w:pos="850"/>
          <w:tab w:val="left" w:pos="1134"/>
          <w:tab w:val="left" w:pos="1984"/>
          <w:tab w:val="left" w:leader="dot" w:pos="7654"/>
          <w:tab w:val="right" w:pos="8929"/>
          <w:tab w:val="right" w:pos="9638"/>
        </w:tabs>
        <w:spacing w:after="120"/>
        <w:ind w:left="1134" w:hanging="1134"/>
      </w:pPr>
      <w:r w:rsidRPr="00DF4D2A">
        <w:rPr>
          <w:b/>
          <w:sz w:val="28"/>
        </w:rPr>
        <w:tab/>
      </w:r>
      <w:r w:rsidRPr="00113838">
        <w:t>IX.</w:t>
      </w:r>
      <w:r w:rsidRPr="00113838">
        <w:tab/>
      </w:r>
      <w:r w:rsidRPr="00F078D1">
        <w:rPr>
          <w:lang w:val="fr-FR"/>
        </w:rPr>
        <w:t>Questions diverses (point 8 de l’ordre du jour)</w:t>
      </w:r>
      <w:r w:rsidRPr="00113838">
        <w:t xml:space="preserve"> </w:t>
      </w:r>
      <w:r>
        <w:tab/>
      </w:r>
      <w:r>
        <w:tab/>
        <w:t>63</w:t>
      </w:r>
      <w:r>
        <w:tab/>
        <w:t>1</w:t>
      </w:r>
      <w:r w:rsidR="006D3E0A">
        <w:t>2</w:t>
      </w:r>
    </w:p>
    <w:p w14:paraId="54A1A2F3" w14:textId="14A2F027" w:rsidR="00C64452" w:rsidRDefault="00C64452" w:rsidP="00C64452">
      <w:pPr>
        <w:tabs>
          <w:tab w:val="right" w:pos="850"/>
          <w:tab w:val="left" w:pos="1134"/>
          <w:tab w:val="left" w:pos="1984"/>
          <w:tab w:val="left" w:leader="dot" w:pos="7654"/>
          <w:tab w:val="right" w:pos="8929"/>
          <w:tab w:val="right" w:pos="9638"/>
        </w:tabs>
        <w:spacing w:after="120"/>
        <w:ind w:left="1134" w:hanging="1134"/>
      </w:pPr>
      <w:r>
        <w:tab/>
      </w:r>
      <w:r w:rsidRPr="00113838">
        <w:t>X.</w:t>
      </w:r>
      <w:r w:rsidRPr="00113838">
        <w:tab/>
      </w:r>
      <w:r w:rsidRPr="00F078D1">
        <w:rPr>
          <w:lang w:val="fr-FR"/>
        </w:rPr>
        <w:t>Adoption du rapport (point 9 de l’ordre du jour)</w:t>
      </w:r>
      <w:r>
        <w:tab/>
      </w:r>
      <w:r>
        <w:tab/>
        <w:t>64</w:t>
      </w:r>
      <w:r>
        <w:tab/>
      </w:r>
      <w:r w:rsidR="006D3E0A">
        <w:t>12</w:t>
      </w:r>
    </w:p>
    <w:p w14:paraId="57F52C6D" w14:textId="77777777" w:rsidR="00C64452" w:rsidRDefault="00C64452" w:rsidP="00F025AD">
      <w:pPr>
        <w:pStyle w:val="HChG"/>
        <w:spacing w:before="240"/>
      </w:pPr>
      <w:r w:rsidRPr="00A72FF5">
        <w:t>Annexes</w:t>
      </w:r>
    </w:p>
    <w:p w14:paraId="73B63DDE" w14:textId="478AB819" w:rsidR="00C64452" w:rsidRDefault="00C64452" w:rsidP="00C64452">
      <w:pPr>
        <w:tabs>
          <w:tab w:val="right" w:pos="850"/>
          <w:tab w:val="left" w:pos="1134"/>
          <w:tab w:val="left" w:pos="1984"/>
          <w:tab w:val="left" w:leader="dot" w:pos="7654"/>
          <w:tab w:val="right" w:pos="8929"/>
          <w:tab w:val="right" w:pos="9638"/>
        </w:tabs>
        <w:spacing w:after="120"/>
        <w:ind w:left="1134" w:hanging="1134"/>
      </w:pPr>
      <w:r>
        <w:tab/>
        <w:t>I.</w:t>
      </w:r>
      <w:r>
        <w:tab/>
        <w:t xml:space="preserve">Projet d’amendements aux annexes A et B de l’ADR adopté par le Groupe de travail </w:t>
      </w:r>
      <w:r>
        <w:br/>
        <w:t xml:space="preserve">pour </w:t>
      </w:r>
      <w:proofErr w:type="spellStart"/>
      <w:r>
        <w:t>entrée</w:t>
      </w:r>
      <w:proofErr w:type="spellEnd"/>
      <w:r>
        <w:t xml:space="preserve"> en vigueur le 1</w:t>
      </w:r>
      <w:r w:rsidRPr="003760F8">
        <w:rPr>
          <w:vertAlign w:val="superscript"/>
        </w:rPr>
        <w:t>er</w:t>
      </w:r>
      <w:r>
        <w:t xml:space="preserve"> janvier 2019</w:t>
      </w:r>
      <w:r>
        <w:tab/>
      </w:r>
      <w:r>
        <w:tab/>
      </w:r>
      <w:r>
        <w:tab/>
        <w:t>1</w:t>
      </w:r>
      <w:r w:rsidR="006D3E0A">
        <w:t>3</w:t>
      </w:r>
    </w:p>
    <w:p w14:paraId="3170598C" w14:textId="4B68EE4F" w:rsidR="00C64452" w:rsidRDefault="00C64452" w:rsidP="00C64452">
      <w:pPr>
        <w:tabs>
          <w:tab w:val="right" w:pos="850"/>
          <w:tab w:val="left" w:pos="1134"/>
          <w:tab w:val="left" w:pos="1984"/>
          <w:tab w:val="left" w:leader="dot" w:pos="7654"/>
          <w:tab w:val="right" w:pos="8929"/>
          <w:tab w:val="right" w:pos="9638"/>
        </w:tabs>
        <w:spacing w:after="120"/>
        <w:ind w:left="1134" w:hanging="1134"/>
      </w:pPr>
      <w:r>
        <w:tab/>
        <w:t>II</w:t>
      </w:r>
      <w:r w:rsidR="009C16F9">
        <w:t>.</w:t>
      </w:r>
      <w:r>
        <w:tab/>
      </w:r>
      <w:r w:rsidRPr="00553448">
        <w:t>Corrections aux annexes A et B de l'ADR</w:t>
      </w:r>
      <w:r>
        <w:tab/>
      </w:r>
      <w:r>
        <w:tab/>
      </w:r>
      <w:r>
        <w:tab/>
        <w:t>2</w:t>
      </w:r>
      <w:r w:rsidR="006D3E0A">
        <w:t>6</w:t>
      </w:r>
    </w:p>
    <w:p w14:paraId="46D25452" w14:textId="3E879EDC" w:rsidR="009C16F9" w:rsidRDefault="006D3E0A" w:rsidP="00C64452">
      <w:pPr>
        <w:tabs>
          <w:tab w:val="right" w:pos="850"/>
          <w:tab w:val="left" w:pos="1134"/>
          <w:tab w:val="left" w:pos="1984"/>
          <w:tab w:val="left" w:leader="dot" w:pos="7654"/>
          <w:tab w:val="right" w:pos="8929"/>
          <w:tab w:val="right" w:pos="9638"/>
        </w:tabs>
        <w:spacing w:after="120"/>
        <w:ind w:left="1134" w:hanging="1134"/>
      </w:pPr>
      <w:r>
        <w:lastRenderedPageBreak/>
        <w:tab/>
      </w:r>
      <w:r w:rsidR="009C16F9">
        <w:t>III.</w:t>
      </w:r>
      <w:r w:rsidR="009C16F9">
        <w:tab/>
        <w:t xml:space="preserve">Projet d’amendements aux annexes A et B de l’ADR </w:t>
      </w:r>
      <w:r w:rsidR="009C16F9">
        <w:br/>
        <w:t xml:space="preserve">adopté par le Groupe de travail pour </w:t>
      </w:r>
      <w:proofErr w:type="spellStart"/>
      <w:r w:rsidR="009C16F9">
        <w:t>entrée</w:t>
      </w:r>
      <w:proofErr w:type="spellEnd"/>
      <w:r w:rsidR="009C16F9">
        <w:t xml:space="preserve"> en vigueur </w:t>
      </w:r>
      <w:r w:rsidR="009C16F9">
        <w:br/>
        <w:t>dès que possible</w:t>
      </w:r>
      <w:r w:rsidR="009C16F9">
        <w:tab/>
      </w:r>
      <w:r w:rsidR="009C16F9">
        <w:tab/>
      </w:r>
      <w:r w:rsidR="009C16F9">
        <w:tab/>
        <w:t>27</w:t>
      </w:r>
    </w:p>
    <w:p w14:paraId="115249E0" w14:textId="7E4C82DB" w:rsidR="006D3E0A" w:rsidRDefault="009C16F9" w:rsidP="00C64452">
      <w:pPr>
        <w:tabs>
          <w:tab w:val="right" w:pos="850"/>
          <w:tab w:val="left" w:pos="1134"/>
          <w:tab w:val="left" w:pos="1984"/>
          <w:tab w:val="left" w:leader="dot" w:pos="7654"/>
          <w:tab w:val="right" w:pos="8929"/>
          <w:tab w:val="right" w:pos="9638"/>
        </w:tabs>
        <w:spacing w:after="120"/>
        <w:ind w:left="1134" w:hanging="1134"/>
      </w:pPr>
      <w:r>
        <w:tab/>
        <w:t>IV</w:t>
      </w:r>
      <w:r w:rsidR="006D3E0A">
        <w:t>.</w:t>
      </w:r>
      <w:r w:rsidR="006D3E0A">
        <w:tab/>
        <w:t xml:space="preserve">Correction aux </w:t>
      </w:r>
      <w:r w:rsidR="006D3E0A" w:rsidRPr="000F78E9">
        <w:t xml:space="preserve">Lignes directrices relatives au certificat d’agrément </w:t>
      </w:r>
      <w:r w:rsidR="006D3E0A">
        <w:br/>
      </w:r>
      <w:r w:rsidR="006D3E0A" w:rsidRPr="000F78E9">
        <w:t>selon le 9.1.3 de l’ADR</w:t>
      </w:r>
      <w:r w:rsidR="006D3E0A">
        <w:t xml:space="preserve"> (ECE/TRANS/WP.15/226, annexe II)</w:t>
      </w:r>
      <w:r w:rsidR="006D3E0A">
        <w:tab/>
      </w:r>
      <w:r w:rsidR="006D3E0A">
        <w:tab/>
      </w:r>
      <w:r w:rsidR="006D3E0A">
        <w:tab/>
        <w:t>2</w:t>
      </w:r>
      <w:r>
        <w:t>9</w:t>
      </w:r>
    </w:p>
    <w:p w14:paraId="0AD291A8" w14:textId="14CD899A" w:rsidR="006D3E0A" w:rsidRDefault="009C16F9" w:rsidP="00C64452">
      <w:pPr>
        <w:tabs>
          <w:tab w:val="right" w:pos="850"/>
          <w:tab w:val="left" w:pos="1134"/>
          <w:tab w:val="left" w:pos="1984"/>
          <w:tab w:val="left" w:leader="dot" w:pos="7654"/>
          <w:tab w:val="right" w:pos="8929"/>
          <w:tab w:val="right" w:pos="9638"/>
        </w:tabs>
        <w:spacing w:after="120"/>
        <w:ind w:left="1134" w:hanging="1134"/>
      </w:pPr>
      <w:r>
        <w:tab/>
      </w:r>
      <w:r w:rsidR="006D3E0A">
        <w:t>V.</w:t>
      </w:r>
      <w:r w:rsidR="006D3E0A">
        <w:tab/>
      </w:r>
      <w:r w:rsidR="006D3E0A" w:rsidRPr="00700413">
        <w:t xml:space="preserve">Produits/activités pour l’exercice biennal </w:t>
      </w:r>
      <w:r w:rsidR="006D3E0A">
        <w:t>2018</w:t>
      </w:r>
      <w:r w:rsidR="006D3E0A" w:rsidRPr="00700413">
        <w:t>-</w:t>
      </w:r>
      <w:r w:rsidR="006D3E0A">
        <w:t>2019</w:t>
      </w:r>
      <w:r w:rsidR="006D3E0A">
        <w:tab/>
      </w:r>
      <w:r w:rsidR="006D3E0A">
        <w:tab/>
      </w:r>
      <w:r w:rsidR="006D3E0A">
        <w:tab/>
      </w:r>
      <w:r>
        <w:t>30</w:t>
      </w:r>
    </w:p>
    <w:p w14:paraId="26D1E3A2" w14:textId="692009D1" w:rsidR="00E16D6E" w:rsidRPr="0066732B" w:rsidRDefault="00C64452" w:rsidP="0066732B">
      <w:pPr>
        <w:pStyle w:val="HChG"/>
      </w:pPr>
      <w:r>
        <w:rPr>
          <w:i/>
          <w:iCs/>
          <w:u w:val="single"/>
        </w:rPr>
        <w:br w:type="page"/>
      </w:r>
      <w:r w:rsidR="00E16D6E" w:rsidRPr="0066732B">
        <w:lastRenderedPageBreak/>
        <w:tab/>
        <w:t>I.</w:t>
      </w:r>
      <w:r w:rsidR="00E16D6E" w:rsidRPr="0066732B">
        <w:tab/>
        <w:t>Participation</w:t>
      </w:r>
    </w:p>
    <w:p w14:paraId="5D167C7D" w14:textId="5367485C" w:rsidR="00E16D6E" w:rsidRPr="005A592F" w:rsidRDefault="00E16D6E" w:rsidP="00E16D6E">
      <w:pPr>
        <w:pStyle w:val="SingleTxtG"/>
      </w:pPr>
      <w:r w:rsidRPr="005A592F">
        <w:t>1.</w:t>
      </w:r>
      <w:r w:rsidRPr="005A592F">
        <w:tab/>
        <w:t xml:space="preserve">Le Groupe de travail des transports de marchandises dangereuses a tenu sa </w:t>
      </w:r>
      <w:r w:rsidRPr="005A592F">
        <w:rPr>
          <w:lang w:val="fr-FR"/>
        </w:rPr>
        <w:t>10</w:t>
      </w:r>
      <w:r>
        <w:rPr>
          <w:lang w:val="fr-FR"/>
        </w:rPr>
        <w:t>2</w:t>
      </w:r>
      <w:r>
        <w:rPr>
          <w:vertAlign w:val="superscript"/>
          <w:lang w:val="fr-FR"/>
        </w:rPr>
        <w:t>e</w:t>
      </w:r>
      <w:r w:rsidRPr="005A592F">
        <w:t xml:space="preserve"> session du </w:t>
      </w:r>
      <w:r>
        <w:t xml:space="preserve">8 </w:t>
      </w:r>
      <w:r w:rsidRPr="005A592F">
        <w:t xml:space="preserve">au </w:t>
      </w:r>
      <w:r w:rsidR="00141C47">
        <w:t>11 </w:t>
      </w:r>
      <w:r>
        <w:t>mai</w:t>
      </w:r>
      <w:r w:rsidRPr="005A592F">
        <w:t xml:space="preserve"> </w:t>
      </w:r>
      <w:r>
        <w:t>2017</w:t>
      </w:r>
      <w:r w:rsidRPr="005A592F">
        <w:t xml:space="preserve"> sous la présidence de M. J. A. Franco (Portugal) et la vice-présidence de M</w:t>
      </w:r>
      <w:r w:rsidRPr="00FB4BC0">
        <w:t>me</w:t>
      </w:r>
      <w:r w:rsidRPr="005A592F">
        <w:t> A. </w:t>
      </w:r>
      <w:proofErr w:type="spellStart"/>
      <w:r w:rsidRPr="005A592F">
        <w:t>Roumier</w:t>
      </w:r>
      <w:proofErr w:type="spellEnd"/>
      <w:r w:rsidRPr="005A592F">
        <w:t xml:space="preserve"> (France).</w:t>
      </w:r>
    </w:p>
    <w:p w14:paraId="42B2C1EB" w14:textId="758157A9" w:rsidR="00E16D6E" w:rsidRPr="005E50EC" w:rsidRDefault="00E16D6E" w:rsidP="00E16D6E">
      <w:pPr>
        <w:pStyle w:val="SingleTxtG"/>
      </w:pPr>
      <w:r w:rsidRPr="005E50EC">
        <w:t>2.</w:t>
      </w:r>
      <w:r w:rsidRPr="005E50EC">
        <w:tab/>
        <w:t xml:space="preserve">Ont pris part à ses travaux des représentants des pays suivants: </w:t>
      </w:r>
      <w:r w:rsidRPr="00E734A3">
        <w:t xml:space="preserve">Allemagne, Autriche, Belgique, Danemark, Espagne, Fédération de Russie, Finlande, France, Irlande, Italie, Lettonie, </w:t>
      </w:r>
      <w:r>
        <w:t xml:space="preserve">Luxembourg, </w:t>
      </w:r>
      <w:r w:rsidRPr="00E734A3">
        <w:t>Malte, Norvège, Pays-Bas, Pologne, Portugal, République tchèque, Roumanie, Royaume-Uni, Slovaquie, Suède, Suisse et Turquie.</w:t>
      </w:r>
    </w:p>
    <w:p w14:paraId="5EC62D89" w14:textId="77777777" w:rsidR="00E16D6E" w:rsidRPr="00516DB6" w:rsidRDefault="00E16D6E" w:rsidP="00E16D6E">
      <w:pPr>
        <w:pStyle w:val="SingleTxtG"/>
      </w:pPr>
      <w:r>
        <w:t>3</w:t>
      </w:r>
      <w:r w:rsidRPr="00516DB6">
        <w:t>.</w:t>
      </w:r>
      <w:r w:rsidRPr="00516DB6">
        <w:tab/>
        <w:t>L’Union européenne était représentée.</w:t>
      </w:r>
    </w:p>
    <w:p w14:paraId="73CDC073" w14:textId="77777777" w:rsidR="00E16D6E" w:rsidRPr="00516DB6" w:rsidRDefault="00E16D6E" w:rsidP="00E16D6E">
      <w:pPr>
        <w:pStyle w:val="SingleTxtG"/>
      </w:pPr>
      <w:r>
        <w:t>4</w:t>
      </w:r>
      <w:r w:rsidRPr="00516DB6">
        <w:t>.</w:t>
      </w:r>
      <w:r w:rsidRPr="00516DB6">
        <w:tab/>
        <w:t>L’organisation intergouvernementale suivante était représentée: Organisation intergouvernementale pour les transports internationaux ferroviaires (OTIF).</w:t>
      </w:r>
    </w:p>
    <w:p w14:paraId="375CFA42" w14:textId="77777777" w:rsidR="00E16D6E" w:rsidRPr="005A592F" w:rsidRDefault="00E16D6E" w:rsidP="00E16D6E">
      <w:pPr>
        <w:pStyle w:val="SingleTxtG"/>
        <w:rPr>
          <w:lang w:val="fr-FR"/>
        </w:rPr>
      </w:pPr>
      <w:r>
        <w:t>5</w:t>
      </w:r>
      <w:r w:rsidRPr="00C050F6">
        <w:t>.</w:t>
      </w:r>
      <w:r w:rsidRPr="00C050F6">
        <w:tab/>
      </w:r>
      <w:r w:rsidRPr="00C050F6">
        <w:rPr>
          <w:lang w:val="fr-FR"/>
        </w:rPr>
        <w:t>Les organisations non gouvernementales suivantes étaient représentées:</w:t>
      </w:r>
      <w:r w:rsidRPr="00C050F6">
        <w:rPr>
          <w:bCs/>
          <w:lang w:val="fr-FR"/>
        </w:rPr>
        <w:t xml:space="preserve"> </w:t>
      </w:r>
      <w:r w:rsidRPr="00C050F6">
        <w:rPr>
          <w:lang w:val="fr-FR"/>
        </w:rPr>
        <w:t xml:space="preserve">la Conférence européenne des négociants en combustibles et carburants </w:t>
      </w:r>
      <w:r w:rsidRPr="00C050F6">
        <w:rPr>
          <w:bCs/>
          <w:lang w:val="fr-FR"/>
        </w:rPr>
        <w:t>(CENCC),</w:t>
      </w:r>
      <w:r>
        <w:rPr>
          <w:bCs/>
          <w:lang w:val="fr-FR"/>
        </w:rPr>
        <w:t xml:space="preserve"> </w:t>
      </w:r>
      <w:r w:rsidRPr="00C37CD3">
        <w:rPr>
          <w:lang w:val="fr-FR"/>
        </w:rPr>
        <w:t>le Conseil européen d</w:t>
      </w:r>
      <w:r>
        <w:rPr>
          <w:lang w:val="fr-FR"/>
        </w:rPr>
        <w:t xml:space="preserve">e l’industrie chimique (CEFIC), </w:t>
      </w:r>
      <w:r w:rsidRPr="00C050F6">
        <w:rPr>
          <w:lang w:val="fr-FR"/>
        </w:rPr>
        <w:t>l’Union internationale des transports routiers (IRU).</w:t>
      </w:r>
      <w:r>
        <w:rPr>
          <w:lang w:val="fr-FR"/>
        </w:rPr>
        <w:t xml:space="preserve"> </w:t>
      </w:r>
    </w:p>
    <w:p w14:paraId="04F980D5" w14:textId="77777777" w:rsidR="00E16D6E" w:rsidRPr="00C71525" w:rsidRDefault="00E16D6E" w:rsidP="00E16D6E">
      <w:pPr>
        <w:pStyle w:val="HChG"/>
      </w:pPr>
      <w:r>
        <w:tab/>
        <w:t>I</w:t>
      </w:r>
      <w:r w:rsidRPr="00C71525">
        <w:t>I.</w:t>
      </w:r>
      <w:r w:rsidRPr="00C71525">
        <w:tab/>
        <w:t>Adoption de l</w:t>
      </w:r>
      <w:r>
        <w:t>’</w:t>
      </w:r>
      <w:r w:rsidRPr="00C71525">
        <w:t>ordre du jour (point 1 de l</w:t>
      </w:r>
      <w:r>
        <w:t>’</w:t>
      </w:r>
      <w:r w:rsidRPr="00C71525">
        <w:t>o</w:t>
      </w:r>
      <w:r>
        <w:t>rdre du jour)</w:t>
      </w:r>
    </w:p>
    <w:p w14:paraId="72D03076" w14:textId="77777777" w:rsidR="00E16D6E" w:rsidRDefault="00E16D6E" w:rsidP="00E16D6E">
      <w:pPr>
        <w:pStyle w:val="SingleTxtG"/>
        <w:tabs>
          <w:tab w:val="left" w:pos="1418"/>
        </w:tabs>
        <w:ind w:left="3119" w:hanging="1985"/>
        <w:jc w:val="left"/>
      </w:pPr>
      <w:r>
        <w:rPr>
          <w:i/>
        </w:rPr>
        <w:t>Documents</w:t>
      </w:r>
      <w:r w:rsidRPr="00FC75FF">
        <w:t>:</w:t>
      </w:r>
      <w:r>
        <w:tab/>
        <w:t>ECE/TRANS/WP.15/236 et Add.1 (Secrétariat).</w:t>
      </w:r>
    </w:p>
    <w:p w14:paraId="37E00AD7" w14:textId="77777777" w:rsidR="00E16D6E" w:rsidRPr="001A0C10" w:rsidRDefault="00E16D6E" w:rsidP="00E16D6E">
      <w:pPr>
        <w:pStyle w:val="SingleTxtG"/>
        <w:tabs>
          <w:tab w:val="left" w:pos="1418"/>
        </w:tabs>
        <w:ind w:left="3119" w:hanging="1985"/>
        <w:jc w:val="left"/>
      </w:pPr>
      <w:r>
        <w:rPr>
          <w:i/>
        </w:rPr>
        <w:t>Documents informels</w:t>
      </w:r>
      <w:r w:rsidRPr="00FC75FF">
        <w:t>:</w:t>
      </w:r>
      <w:r>
        <w:tab/>
        <w:t>INF.1, INF.2 et INF.10 (Secrétariat).</w:t>
      </w:r>
    </w:p>
    <w:p w14:paraId="290CAA35" w14:textId="7974A50F" w:rsidR="00E16D6E" w:rsidRDefault="00E16D6E" w:rsidP="00E16D6E">
      <w:pPr>
        <w:pStyle w:val="SingleTxtG"/>
        <w:rPr>
          <w:bCs/>
          <w:szCs w:val="24"/>
          <w:lang w:val="fr-FR"/>
        </w:rPr>
      </w:pPr>
      <w:r>
        <w:t>6.</w:t>
      </w:r>
      <w:r>
        <w:tab/>
      </w:r>
      <w:r w:rsidRPr="0054289D">
        <w:rPr>
          <w:bCs/>
          <w:szCs w:val="24"/>
          <w:lang w:val="fr-FR"/>
        </w:rPr>
        <w:t xml:space="preserve">Le Groupe de travail a adopté l’ordre du jour provisoire préparé par le secrétariat, tel que modifié par le document informel INF.2 pour tenir compte des documents </w:t>
      </w:r>
      <w:r w:rsidRPr="00686811">
        <w:rPr>
          <w:bCs/>
          <w:szCs w:val="24"/>
          <w:lang w:val="fr-FR"/>
        </w:rPr>
        <w:t>ECE/TRANS/WP.15/2017/11</w:t>
      </w:r>
      <w:r>
        <w:rPr>
          <w:bCs/>
          <w:szCs w:val="24"/>
          <w:lang w:val="fr-FR"/>
        </w:rPr>
        <w:t xml:space="preserve"> et ECE/TRANS/WP.15/2017/12 et des documents </w:t>
      </w:r>
      <w:r w:rsidRPr="0054289D">
        <w:rPr>
          <w:bCs/>
          <w:szCs w:val="24"/>
          <w:lang w:val="fr-FR"/>
        </w:rPr>
        <w:t>informels INF.1 à INF.</w:t>
      </w:r>
      <w:r>
        <w:rPr>
          <w:bCs/>
          <w:szCs w:val="24"/>
          <w:lang w:val="fr-FR"/>
        </w:rPr>
        <w:t>22</w:t>
      </w:r>
      <w:r w:rsidRPr="0054289D">
        <w:rPr>
          <w:bCs/>
          <w:szCs w:val="24"/>
          <w:lang w:val="fr-FR"/>
        </w:rPr>
        <w:t>.</w:t>
      </w:r>
    </w:p>
    <w:p w14:paraId="65EA6D65" w14:textId="77777777" w:rsidR="00407DDB" w:rsidRPr="007C0178" w:rsidRDefault="00407DDB" w:rsidP="00407DDB">
      <w:pPr>
        <w:pStyle w:val="HChG"/>
      </w:pPr>
      <w:r>
        <w:tab/>
        <w:t>III</w:t>
      </w:r>
      <w:r w:rsidRPr="003659AC">
        <w:t>.</w:t>
      </w:r>
      <w:r w:rsidRPr="003659AC">
        <w:tab/>
      </w:r>
      <w:r w:rsidRPr="005B2C1D">
        <w:t>Soixante-</w:t>
      </w:r>
      <w:r>
        <w:t>dix-neuvième</w:t>
      </w:r>
      <w:r w:rsidRPr="005B2C1D">
        <w:t xml:space="preserve"> session du Comité des transports intérieurs (point 2 de l</w:t>
      </w:r>
      <w:r>
        <w:t>’</w:t>
      </w:r>
      <w:r w:rsidRPr="005B2C1D">
        <w:t>ordre du jour)</w:t>
      </w:r>
    </w:p>
    <w:p w14:paraId="6D73BA18" w14:textId="17DF7904" w:rsidR="00407DDB" w:rsidRPr="0042449A" w:rsidRDefault="00407DDB" w:rsidP="00407DDB">
      <w:pPr>
        <w:pStyle w:val="SingleTxtG"/>
        <w:ind w:left="2268" w:hanging="1134"/>
        <w:jc w:val="left"/>
        <w:rPr>
          <w:szCs w:val="24"/>
          <w:lang w:val="fr-FR"/>
        </w:rPr>
      </w:pPr>
      <w:r w:rsidRPr="001A6B3F">
        <w:rPr>
          <w:i/>
          <w:lang w:val="fr-FR"/>
        </w:rPr>
        <w:t>Document</w:t>
      </w:r>
      <w:r w:rsidR="00141C47">
        <w:rPr>
          <w:i/>
          <w:lang w:val="fr-FR"/>
        </w:rPr>
        <w:t>s</w:t>
      </w:r>
      <w:r>
        <w:rPr>
          <w:i/>
          <w:lang w:val="fr-FR"/>
        </w:rPr>
        <w:t xml:space="preserve"> informel</w:t>
      </w:r>
      <w:r w:rsidR="00141C47">
        <w:rPr>
          <w:i/>
          <w:lang w:val="fr-FR"/>
        </w:rPr>
        <w:t>s</w:t>
      </w:r>
      <w:r w:rsidRPr="001A6B3F">
        <w:rPr>
          <w:lang w:val="fr-FR"/>
        </w:rPr>
        <w:t>:</w:t>
      </w:r>
      <w:r w:rsidRPr="001A6B3F">
        <w:rPr>
          <w:lang w:val="fr-FR"/>
        </w:rPr>
        <w:tab/>
      </w:r>
      <w:r>
        <w:rPr>
          <w:szCs w:val="24"/>
          <w:lang w:val="fr-FR"/>
        </w:rPr>
        <w:t>INF.9</w:t>
      </w:r>
      <w:r w:rsidR="00141C47">
        <w:rPr>
          <w:szCs w:val="24"/>
          <w:lang w:val="fr-FR"/>
        </w:rPr>
        <w:t xml:space="preserve"> et INF.22</w:t>
      </w:r>
      <w:r>
        <w:rPr>
          <w:szCs w:val="24"/>
          <w:lang w:val="fr-FR"/>
        </w:rPr>
        <w:t xml:space="preserve"> (Secrétariat)</w:t>
      </w:r>
    </w:p>
    <w:p w14:paraId="0BB714F8" w14:textId="7CD9424E" w:rsidR="00407DDB" w:rsidRDefault="0000121E" w:rsidP="00407DDB">
      <w:pPr>
        <w:pStyle w:val="SingleTxtG"/>
      </w:pPr>
      <w:r>
        <w:t>7</w:t>
      </w:r>
      <w:r w:rsidR="00407DDB">
        <w:t>.</w:t>
      </w:r>
      <w:r w:rsidR="00407DDB">
        <w:tab/>
        <w:t>M</w:t>
      </w:r>
      <w:r w:rsidR="00407DDB" w:rsidRPr="00183CEF">
        <w:rPr>
          <w:vertAlign w:val="superscript"/>
        </w:rPr>
        <w:t>me</w:t>
      </w:r>
      <w:r w:rsidR="00407DDB">
        <w:t xml:space="preserve"> Eva Molnar, Directrice de la Division des transports durables de la Commission économique pour l’Europe (CEE), a présenté au Groupe de travail le projet de stratégie du Comité des transports intérieurs. Elle a rappelé que le Comité avait invité les groupes de travail à transmettre leurs commentaires et recommandations au secrétariat afin de publier une version révisée qui sera examinée par le Comité à sa session de 2018. </w:t>
      </w:r>
    </w:p>
    <w:p w14:paraId="09AC3774" w14:textId="5A4F8FCC" w:rsidR="00407DDB" w:rsidRDefault="0000121E" w:rsidP="00407DDB">
      <w:pPr>
        <w:pStyle w:val="SingleTxtG"/>
      </w:pPr>
      <w:r>
        <w:t>8</w:t>
      </w:r>
      <w:r w:rsidR="00407DDB">
        <w:t>.</w:t>
      </w:r>
      <w:r w:rsidR="00407DDB">
        <w:tab/>
        <w:t xml:space="preserve">Notamment, le Comité a invité les groupes de travail à réfléchir sur les questions identifiées au paragraphe 46 du projet de stratégie. En ce qui concerne les travaux du </w:t>
      </w:r>
      <w:r w:rsidR="00407DDB" w:rsidRPr="00CA3313">
        <w:t>Groupe de travail des transports de marchandises dangereuses</w:t>
      </w:r>
      <w:r w:rsidR="00407DDB">
        <w:t>, les questions suivantes peuvent se poser :</w:t>
      </w:r>
    </w:p>
    <w:p w14:paraId="2ED809F3" w14:textId="44930198" w:rsidR="00407DDB" w:rsidRPr="00CA3313" w:rsidRDefault="00407DDB" w:rsidP="00407DDB">
      <w:pPr>
        <w:pStyle w:val="Bullet1G"/>
      </w:pPr>
      <w:r>
        <w:t xml:space="preserve">Comment faciliter la mise en œuvre des </w:t>
      </w:r>
      <w:r w:rsidRPr="00AB577D">
        <w:rPr>
          <w:bCs/>
          <w:lang w:val="fr-FR"/>
        </w:rPr>
        <w:t>objectifs de développement durable des Nations Unies</w:t>
      </w:r>
      <w:r>
        <w:rPr>
          <w:bCs/>
          <w:lang w:val="fr-FR"/>
        </w:rPr>
        <w:t xml:space="preserve"> pertinents par rapport aux travaux du Groupe de travail ?</w:t>
      </w:r>
    </w:p>
    <w:p w14:paraId="31027A95" w14:textId="77777777" w:rsidR="00407DDB" w:rsidRDefault="00407DDB" w:rsidP="00407DDB">
      <w:pPr>
        <w:pStyle w:val="Bullet1G"/>
      </w:pPr>
      <w:r>
        <w:t>Comment faciliter la mise en œuvre et l’adhésion à l’ADR ?</w:t>
      </w:r>
    </w:p>
    <w:p w14:paraId="47256EA9" w14:textId="77777777" w:rsidR="00407DDB" w:rsidRDefault="00407DDB" w:rsidP="00407DDB">
      <w:pPr>
        <w:pStyle w:val="Bullet1G"/>
      </w:pPr>
      <w:r>
        <w:t xml:space="preserve">Quelles sont les évolutions attendues concernant le transport de marchandises dangereuses à l’horizon 2030, par exemple en ce qui concerne l’application géographique de l’ADR, les applications de la télématique et la lutte contre les gaz à </w:t>
      </w:r>
      <w:r>
        <w:lastRenderedPageBreak/>
        <w:t>effet de serre ? Comment l’ADR et les travaux du Groupe de travail pourraient anticiper et s’adapter à ces changements ?</w:t>
      </w:r>
    </w:p>
    <w:p w14:paraId="02131CA5" w14:textId="68D4746B" w:rsidR="00407DDB" w:rsidRDefault="0000121E" w:rsidP="00407DDB">
      <w:pPr>
        <w:pStyle w:val="SingleTxtG"/>
      </w:pPr>
      <w:r>
        <w:t>9</w:t>
      </w:r>
      <w:r w:rsidR="00407DDB">
        <w:t>.</w:t>
      </w:r>
      <w:r w:rsidR="00407DDB">
        <w:tab/>
        <w:t>Plusieurs délégations ont rappelé que le Groupe de travail était habitué à adapter son programme de travail pour tenir compte des développements techniques, par exemple l’utilisation de carburants alternatifs, la télématique, etc.</w:t>
      </w:r>
    </w:p>
    <w:p w14:paraId="323E91DA" w14:textId="39831C4A" w:rsidR="00407DDB" w:rsidRDefault="0000121E" w:rsidP="00407DDB">
      <w:pPr>
        <w:pStyle w:val="SingleTxtG"/>
      </w:pPr>
      <w:r>
        <w:t>10</w:t>
      </w:r>
      <w:r w:rsidR="00407DDB">
        <w:t>.</w:t>
      </w:r>
      <w:r w:rsidR="00407DDB">
        <w:tab/>
        <w:t>M</w:t>
      </w:r>
      <w:r w:rsidR="00407DDB" w:rsidRPr="00183CEF">
        <w:rPr>
          <w:vertAlign w:val="superscript"/>
        </w:rPr>
        <w:t>me</w:t>
      </w:r>
      <w:r w:rsidR="00407DDB">
        <w:t> Eva Molnar a invité les délégations qui le souhaiteraient à lui transmettre leurs commentaires dès que possible et si possible avant la prochaine réunion du bureau du Comité (13 juin 2017).</w:t>
      </w:r>
    </w:p>
    <w:p w14:paraId="256E1C9C" w14:textId="75E1208A" w:rsidR="00407DDB" w:rsidRDefault="0000121E" w:rsidP="00407DDB">
      <w:pPr>
        <w:pStyle w:val="SingleTxtG"/>
      </w:pPr>
      <w:r>
        <w:t>11</w:t>
      </w:r>
      <w:r w:rsidR="00407DDB">
        <w:t>.</w:t>
      </w:r>
      <w:r w:rsidR="00407DDB">
        <w:tab/>
        <w:t xml:space="preserve"> </w:t>
      </w:r>
      <w:r w:rsidR="00407DDB" w:rsidRPr="00134080">
        <w:t>Le Groupe de travail a noté les principales décisions relatives à ses travaux prises par le Comité à sa soixante-dix-</w:t>
      </w:r>
      <w:r w:rsidR="00407DDB">
        <w:t>neuvième session et notamment la décision 44 relative au Protocole portant modification des articles 1 a), 14 1) et 14 3) b) de l’ADR et la décision 45 invitant le Groupe de travail à examiner de nouveau la possibilité de changer le titre de l’ADR (ECE/TRANS/2010/2, par.1).</w:t>
      </w:r>
    </w:p>
    <w:p w14:paraId="0C4C50EF" w14:textId="58AA5048" w:rsidR="00407DDB" w:rsidRDefault="0000121E" w:rsidP="00407DDB">
      <w:pPr>
        <w:pStyle w:val="SingleTxtG"/>
      </w:pPr>
      <w:r>
        <w:t>12</w:t>
      </w:r>
      <w:r w:rsidR="00407DDB">
        <w:t>.</w:t>
      </w:r>
      <w:r w:rsidR="00407DDB">
        <w:tab/>
        <w:t>Plusieurs délégations se sont déclarées prêtes à reprendre les discussions sur ce dernier point. Une délégation a indiqué qu’elle souhaiterait qu’une telle décision s’accompagne de mesures visant à s’assurer que toutes les parties contractantes s’acquittent de leurs obligations en ce qui concerne les informations et notifications à porter à la connaissance des autres parties contractantes.</w:t>
      </w:r>
    </w:p>
    <w:p w14:paraId="66C9A681" w14:textId="18D6C7A1" w:rsidR="00407DDB" w:rsidRDefault="0000121E" w:rsidP="00407DDB">
      <w:pPr>
        <w:pStyle w:val="SingleTxtG"/>
      </w:pPr>
      <w:r>
        <w:t>13</w:t>
      </w:r>
      <w:r w:rsidR="00407DDB">
        <w:t>.</w:t>
      </w:r>
      <w:r w:rsidR="00407DDB">
        <w:tab/>
        <w:t>En ce qui concerne la décision 6 du Comité des transports intérieurs, le Groupe de travail a estimé qu’il avait déjà pris les mesures nécessaires pour optimiser son efficacité et qu’il était à même d’équilibrer les activités de son programme de travail sans incidence sur les ressources nécessaires.</w:t>
      </w:r>
    </w:p>
    <w:p w14:paraId="6105A037" w14:textId="77777777" w:rsidR="00E16D6E" w:rsidRPr="007C0178" w:rsidRDefault="00E16D6E" w:rsidP="00E16D6E">
      <w:pPr>
        <w:pStyle w:val="HChG"/>
      </w:pPr>
      <w:r>
        <w:tab/>
        <w:t>I</w:t>
      </w:r>
      <w:r w:rsidRPr="003659AC">
        <w:t>V.</w:t>
      </w:r>
      <w:r w:rsidRPr="003659AC">
        <w:tab/>
      </w:r>
      <w:r w:rsidRPr="005B2C1D">
        <w:t>État de l</w:t>
      </w:r>
      <w:r>
        <w:t>’</w:t>
      </w:r>
      <w:r w:rsidRPr="005B2C1D">
        <w:t>Accord européen relatif au transport international des marchandises dangereuses par route (ADR) et questions connexes (point 3 de l</w:t>
      </w:r>
      <w:r>
        <w:t>’</w:t>
      </w:r>
      <w:r w:rsidRPr="005B2C1D">
        <w:t>ordre du jour)</w:t>
      </w:r>
    </w:p>
    <w:p w14:paraId="2FE059C3" w14:textId="77777777" w:rsidR="00E16D6E" w:rsidRPr="00466F75" w:rsidRDefault="00E16D6E" w:rsidP="00E16D6E">
      <w:pPr>
        <w:pStyle w:val="H1G"/>
        <w:rPr>
          <w:lang w:val="fr-FR"/>
        </w:rPr>
      </w:pPr>
      <w:r w:rsidRPr="00466F75">
        <w:rPr>
          <w:lang w:val="fr-FR"/>
        </w:rPr>
        <w:tab/>
      </w:r>
      <w:r>
        <w:rPr>
          <w:lang w:val="fr-FR"/>
        </w:rPr>
        <w:t>A</w:t>
      </w:r>
      <w:r w:rsidRPr="00466F75">
        <w:rPr>
          <w:lang w:val="fr-FR"/>
        </w:rPr>
        <w:t>.</w:t>
      </w:r>
      <w:r w:rsidRPr="00466F75">
        <w:rPr>
          <w:lang w:val="fr-FR"/>
        </w:rPr>
        <w:tab/>
      </w:r>
      <w:r w:rsidRPr="00D05A1D">
        <w:t>État de l’Accord</w:t>
      </w:r>
      <w:r w:rsidRPr="00466F75">
        <w:rPr>
          <w:lang w:val="fr-FR"/>
        </w:rPr>
        <w:t xml:space="preserve"> </w:t>
      </w:r>
      <w:r>
        <w:rPr>
          <w:lang w:val="fr-FR"/>
        </w:rPr>
        <w:t xml:space="preserve">et </w:t>
      </w:r>
      <w:r w:rsidRPr="00466F75">
        <w:rPr>
          <w:lang w:val="fr-FR"/>
        </w:rPr>
        <w:t>Protocole d’amendement de 1993</w:t>
      </w:r>
    </w:p>
    <w:p w14:paraId="4CE06A60" w14:textId="77777777" w:rsidR="00E16D6E" w:rsidRPr="00FC75FF" w:rsidRDefault="00E16D6E" w:rsidP="00E16D6E">
      <w:pPr>
        <w:pStyle w:val="SingleTxtG"/>
        <w:tabs>
          <w:tab w:val="left" w:pos="1418"/>
        </w:tabs>
        <w:ind w:left="3119" w:hanging="1985"/>
        <w:jc w:val="left"/>
        <w:rPr>
          <w:i/>
        </w:rPr>
      </w:pPr>
      <w:r>
        <w:rPr>
          <w:i/>
        </w:rPr>
        <w:t>Document informel</w:t>
      </w:r>
      <w:r w:rsidRPr="00FC75FF">
        <w:t>:</w:t>
      </w:r>
      <w:r>
        <w:tab/>
        <w:t>INF.15 (Secrétariat).</w:t>
      </w:r>
    </w:p>
    <w:p w14:paraId="585DCB3A" w14:textId="396CD20C" w:rsidR="00E16D6E" w:rsidRDefault="0000121E" w:rsidP="00E16D6E">
      <w:pPr>
        <w:pStyle w:val="SingleTxtG"/>
      </w:pPr>
      <w:r>
        <w:t>14</w:t>
      </w:r>
      <w:r w:rsidR="00E16D6E">
        <w:t>.</w:t>
      </w:r>
      <w:r w:rsidR="00E16D6E">
        <w:tab/>
        <w:t>Le Groupe de travail a noté qu’il n’y avait pas de nouvelles parties contractantes à l’ADR. Le Groupe de travail s’est félicité de l’adhésion de l’Ukraine au Protocole portant modification des articles 1 a), 14 1) et 14 3) b) de l’ADR, et a encouragé les 13 pays  qui n’avaient pas encore déposé l’instrument juridique nécessaire pour que le Protocole entre en vigueur (</w:t>
      </w:r>
      <w:r w:rsidR="00E16D6E" w:rsidRPr="009110C3">
        <w:t xml:space="preserve">Azerbaïdjan, </w:t>
      </w:r>
      <w:proofErr w:type="spellStart"/>
      <w:r w:rsidR="00E16D6E" w:rsidRPr="009110C3">
        <w:t>Bélarus</w:t>
      </w:r>
      <w:proofErr w:type="spellEnd"/>
      <w:r w:rsidR="00E16D6E" w:rsidRPr="009110C3">
        <w:t xml:space="preserve">, Bosnie-Herzégovine, Croatie, ex-République yougoslave de Macédoine, </w:t>
      </w:r>
      <w:r w:rsidR="00E16D6E">
        <w:t xml:space="preserve">Géorgie, </w:t>
      </w:r>
      <w:r w:rsidR="00E16D6E" w:rsidRPr="009110C3">
        <w:t>Islande, Kazakhstan, Malte, Maroc, Monténégro, Tadjikistan</w:t>
      </w:r>
      <w:r w:rsidR="00E16D6E">
        <w:t xml:space="preserve"> et Tunisie) à prendre les mesures nécessaires pour ratifier le Protocole ou y adhérer, afin qu’il puisse prendre effet.</w:t>
      </w:r>
    </w:p>
    <w:p w14:paraId="214A4E8F" w14:textId="77777777" w:rsidR="00E16D6E" w:rsidRPr="00556C9E" w:rsidRDefault="00E16D6E" w:rsidP="00E16D6E">
      <w:pPr>
        <w:pStyle w:val="H1G"/>
        <w:rPr>
          <w:lang w:val="fr-FR"/>
        </w:rPr>
      </w:pPr>
      <w:r>
        <w:rPr>
          <w:lang w:val="fr-FR"/>
        </w:rPr>
        <w:tab/>
      </w:r>
      <w:r w:rsidRPr="00556C9E">
        <w:rPr>
          <w:lang w:val="fr-FR"/>
        </w:rPr>
        <w:t>B.</w:t>
      </w:r>
      <w:r w:rsidRPr="00556C9E">
        <w:rPr>
          <w:lang w:val="fr-FR"/>
        </w:rPr>
        <w:tab/>
        <w:t xml:space="preserve">Corrections à l'ADR </w:t>
      </w:r>
      <w:r>
        <w:rPr>
          <w:lang w:val="fr-FR"/>
        </w:rPr>
        <w:t>2017</w:t>
      </w:r>
    </w:p>
    <w:p w14:paraId="3AB4794C" w14:textId="0BF7982A" w:rsidR="00E16D6E" w:rsidRPr="00556C9E" w:rsidRDefault="0000121E" w:rsidP="00E16D6E">
      <w:pPr>
        <w:pStyle w:val="SingleTxtG"/>
        <w:rPr>
          <w:lang w:val="fr-FR"/>
        </w:rPr>
      </w:pPr>
      <w:r>
        <w:rPr>
          <w:lang w:val="fr-FR"/>
        </w:rPr>
        <w:t>15</w:t>
      </w:r>
      <w:r w:rsidR="00E16D6E" w:rsidRPr="00556C9E">
        <w:rPr>
          <w:lang w:val="fr-FR"/>
        </w:rPr>
        <w:t>.</w:t>
      </w:r>
      <w:r w:rsidR="00E16D6E" w:rsidRPr="00556C9E">
        <w:rPr>
          <w:lang w:val="fr-FR"/>
        </w:rPr>
        <w:tab/>
        <w:t xml:space="preserve">Le Groupe de travail a noté que les corrections à l'ADR adoptées à la </w:t>
      </w:r>
      <w:r w:rsidR="00E16D6E">
        <w:rPr>
          <w:lang w:val="fr-FR"/>
        </w:rPr>
        <w:t>101</w:t>
      </w:r>
      <w:r w:rsidR="00E16D6E" w:rsidRPr="00F33522">
        <w:rPr>
          <w:vertAlign w:val="superscript"/>
          <w:lang w:val="fr-FR"/>
        </w:rPr>
        <w:t>e</w:t>
      </w:r>
      <w:r w:rsidR="00E16D6E" w:rsidRPr="00556C9E">
        <w:rPr>
          <w:lang w:val="fr-FR"/>
        </w:rPr>
        <w:t xml:space="preserve"> session étaient réputées acceptées </w:t>
      </w:r>
      <w:r w:rsidR="00E16D6E">
        <w:rPr>
          <w:lang w:val="fr-FR"/>
        </w:rPr>
        <w:t xml:space="preserve">(Notifications dépositaire </w:t>
      </w:r>
      <w:r w:rsidR="00E16D6E" w:rsidRPr="00F33522">
        <w:rPr>
          <w:lang w:val="fr-FR"/>
        </w:rPr>
        <w:t xml:space="preserve">C.N.891.2016.TREATIES </w:t>
      </w:r>
      <w:r w:rsidR="00E16D6E">
        <w:rPr>
          <w:lang w:val="fr-FR"/>
        </w:rPr>
        <w:t>du 7</w:t>
      </w:r>
      <w:r w:rsidR="00E16D6E" w:rsidRPr="00F33522">
        <w:rPr>
          <w:lang w:val="fr-FR"/>
        </w:rPr>
        <w:t xml:space="preserve"> </w:t>
      </w:r>
      <w:r w:rsidR="00E16D6E">
        <w:rPr>
          <w:lang w:val="fr-FR"/>
        </w:rPr>
        <w:t>décembre</w:t>
      </w:r>
      <w:r w:rsidR="00E16D6E" w:rsidRPr="00F33522">
        <w:rPr>
          <w:lang w:val="fr-FR"/>
        </w:rPr>
        <w:t xml:space="preserve"> 2016</w:t>
      </w:r>
      <w:r w:rsidR="00E16D6E" w:rsidRPr="00C546B5">
        <w:rPr>
          <w:lang w:val="fr-FR"/>
        </w:rPr>
        <w:t xml:space="preserve"> </w:t>
      </w:r>
      <w:r w:rsidR="00E16D6E">
        <w:rPr>
          <w:lang w:val="fr-FR"/>
        </w:rPr>
        <w:t xml:space="preserve">et </w:t>
      </w:r>
      <w:r w:rsidR="00E16D6E" w:rsidRPr="00F33522">
        <w:rPr>
          <w:lang w:val="fr-FR"/>
        </w:rPr>
        <w:t>C.N.120.2017.TREATIES</w:t>
      </w:r>
      <w:r w:rsidR="00E16D6E">
        <w:rPr>
          <w:lang w:val="fr-FR"/>
        </w:rPr>
        <w:t xml:space="preserve"> du</w:t>
      </w:r>
      <w:r w:rsidR="00E16D6E" w:rsidRPr="00F33522">
        <w:rPr>
          <w:lang w:val="fr-FR"/>
        </w:rPr>
        <w:t xml:space="preserve"> 20 </w:t>
      </w:r>
      <w:r w:rsidR="00E16D6E">
        <w:rPr>
          <w:lang w:val="fr-FR"/>
        </w:rPr>
        <w:t>mars</w:t>
      </w:r>
      <w:r w:rsidR="00E16D6E" w:rsidRPr="00F33522">
        <w:rPr>
          <w:lang w:val="fr-FR"/>
        </w:rPr>
        <w:t xml:space="preserve"> 2017</w:t>
      </w:r>
      <w:r w:rsidR="00E16D6E">
        <w:rPr>
          <w:lang w:val="fr-FR"/>
        </w:rPr>
        <w:t xml:space="preserve">) </w:t>
      </w:r>
      <w:r w:rsidR="00E16D6E" w:rsidRPr="00556C9E">
        <w:rPr>
          <w:lang w:val="fr-FR"/>
        </w:rPr>
        <w:t>(voir aussi ECE/TRANS/WP.15/</w:t>
      </w:r>
      <w:r w:rsidR="00E16D6E">
        <w:rPr>
          <w:lang w:val="fr-FR"/>
        </w:rPr>
        <w:t>235, paragraphes 16 et 17 et annexe II</w:t>
      </w:r>
      <w:r w:rsidR="00E16D6E" w:rsidRPr="00556C9E">
        <w:rPr>
          <w:lang w:val="fr-FR"/>
        </w:rPr>
        <w:t>).</w:t>
      </w:r>
    </w:p>
    <w:p w14:paraId="389E3F0A" w14:textId="77777777" w:rsidR="00E16D6E" w:rsidRPr="007C0178" w:rsidRDefault="00E16D6E" w:rsidP="00E16D6E">
      <w:pPr>
        <w:pStyle w:val="HChG"/>
      </w:pPr>
      <w:r>
        <w:lastRenderedPageBreak/>
        <w:tab/>
        <w:t>V.</w:t>
      </w:r>
      <w:r>
        <w:tab/>
      </w:r>
      <w:r w:rsidRPr="005B2C1D">
        <w:t>Travaux de la Réunion commune RID/A</w:t>
      </w:r>
      <w:r>
        <w:t>DR/ADN</w:t>
      </w:r>
      <w:r>
        <w:br/>
      </w:r>
      <w:r w:rsidRPr="005B2C1D">
        <w:t xml:space="preserve">(point </w:t>
      </w:r>
      <w:r>
        <w:t>4</w:t>
      </w:r>
      <w:r w:rsidRPr="005B2C1D">
        <w:t xml:space="preserve"> de l</w:t>
      </w:r>
      <w:r>
        <w:t>’</w:t>
      </w:r>
      <w:r w:rsidRPr="005B2C1D">
        <w:t>ordre du jour)</w:t>
      </w:r>
    </w:p>
    <w:p w14:paraId="29E521B9" w14:textId="77777777" w:rsidR="00E16D6E" w:rsidRPr="003659AC" w:rsidRDefault="00E16D6E" w:rsidP="00E16D6E">
      <w:pPr>
        <w:pStyle w:val="H1G"/>
      </w:pPr>
      <w:r>
        <w:tab/>
      </w:r>
      <w:r w:rsidRPr="003659AC">
        <w:t>A.</w:t>
      </w:r>
      <w:r w:rsidRPr="003659AC">
        <w:tab/>
        <w:t>Amendements proposés par l</w:t>
      </w:r>
      <w:r>
        <w:t>a Réunion commune à sa session</w:t>
      </w:r>
      <w:r>
        <w:br/>
        <w:t>d’automne</w:t>
      </w:r>
      <w:r w:rsidRPr="003659AC">
        <w:t xml:space="preserve"> </w:t>
      </w:r>
      <w:r>
        <w:t>2016 et à sa session de printemps 2017</w:t>
      </w:r>
    </w:p>
    <w:p w14:paraId="564B8DCC" w14:textId="77777777" w:rsidR="00E16D6E" w:rsidRDefault="00E16D6E" w:rsidP="00E16D6E">
      <w:pPr>
        <w:pStyle w:val="SingleTxtG"/>
        <w:ind w:left="3119" w:hanging="1985"/>
        <w:jc w:val="left"/>
      </w:pPr>
      <w:r w:rsidRPr="003659AC">
        <w:rPr>
          <w:i/>
        </w:rPr>
        <w:t>Document</w:t>
      </w:r>
      <w:r>
        <w:rPr>
          <w:i/>
        </w:rPr>
        <w:t>s</w:t>
      </w:r>
      <w:r>
        <w:t>:</w:t>
      </w:r>
      <w:r>
        <w:tab/>
        <w:t>ECE/TRANS/WP.15/AC.1/144, annexe II</w:t>
      </w:r>
      <w:r>
        <w:br/>
        <w:t>ECE/TRANS/WP.15/AC.1/146, annexe II</w:t>
      </w:r>
    </w:p>
    <w:p w14:paraId="2B8BB1EA" w14:textId="6971070C" w:rsidR="00E16D6E" w:rsidRDefault="0000121E" w:rsidP="00E16D6E">
      <w:pPr>
        <w:pStyle w:val="SingleTxtG"/>
      </w:pPr>
      <w:r>
        <w:t>16</w:t>
      </w:r>
      <w:r w:rsidR="00E16D6E">
        <w:t>.</w:t>
      </w:r>
      <w:r w:rsidR="00E16D6E">
        <w:tab/>
        <w:t xml:space="preserve">Les amendements figurant en annexe II du document ECE/TRANS/WP.15/AC.1/144, tels que modifiés en annexe II du document ECE/TRANS/WP.15/AC.1/146 ont été adoptés avec quelques modifications pour </w:t>
      </w:r>
      <w:proofErr w:type="spellStart"/>
      <w:r w:rsidR="00E16D6E">
        <w:t>entrée</w:t>
      </w:r>
      <w:proofErr w:type="spellEnd"/>
      <w:r w:rsidR="00E16D6E">
        <w:t xml:space="preserve"> en vigueur le 1</w:t>
      </w:r>
      <w:r w:rsidR="00E16D6E" w:rsidRPr="005C55D2">
        <w:rPr>
          <w:vertAlign w:val="superscript"/>
        </w:rPr>
        <w:t>er</w:t>
      </w:r>
      <w:r w:rsidR="00E16D6E">
        <w:t> janvier 2019 (voir annexe</w:t>
      </w:r>
      <w:r>
        <w:t xml:space="preserve"> I).</w:t>
      </w:r>
    </w:p>
    <w:p w14:paraId="29351994" w14:textId="121F35C1" w:rsidR="00E16D6E" w:rsidRDefault="0000121E" w:rsidP="00E16D6E">
      <w:pPr>
        <w:pStyle w:val="SingleTxtG"/>
      </w:pPr>
      <w:r>
        <w:t>17</w:t>
      </w:r>
      <w:r w:rsidR="00E16D6E">
        <w:t xml:space="preserve">. </w:t>
      </w:r>
      <w:r w:rsidR="00E16D6E">
        <w:tab/>
        <w:t xml:space="preserve">Les amendements relatifs aux 6.8.2.2.3, 6.8.2.2.10 et 6.8.2.3.1 et les mesures transitoires correspondantes, figurant en annexe II du document ECE/TRANS/WP.15/AC.1/146 seront examinés après confirmation par la Réunion commune à sa prochaine session. Les autres amendements figurant en annexe II du document ECE/TRANS/WP.15/AC.1/146 ont été adoptés avec quelques modifications pour </w:t>
      </w:r>
      <w:proofErr w:type="spellStart"/>
      <w:r w:rsidR="00E16D6E">
        <w:t>entrée</w:t>
      </w:r>
      <w:proofErr w:type="spellEnd"/>
      <w:r w:rsidR="00E16D6E">
        <w:t xml:space="preserve"> en vigueur le 1</w:t>
      </w:r>
      <w:r w:rsidR="00E16D6E" w:rsidRPr="005C55D2">
        <w:rPr>
          <w:vertAlign w:val="superscript"/>
        </w:rPr>
        <w:t>er</w:t>
      </w:r>
      <w:r w:rsidR="00E16D6E">
        <w:t> janvier 2019 (voir annexe</w:t>
      </w:r>
      <w:r w:rsidR="00442080">
        <w:t xml:space="preserve"> I</w:t>
      </w:r>
      <w:r w:rsidR="00E16D6E">
        <w:t xml:space="preserve">). </w:t>
      </w:r>
    </w:p>
    <w:p w14:paraId="752305C0" w14:textId="77777777" w:rsidR="00E16D6E" w:rsidRPr="003659AC" w:rsidRDefault="00E16D6E" w:rsidP="00E16D6E">
      <w:pPr>
        <w:pStyle w:val="H1G"/>
      </w:pPr>
      <w:r>
        <w:tab/>
        <w:t>B</w:t>
      </w:r>
      <w:r w:rsidRPr="003659AC">
        <w:t>.</w:t>
      </w:r>
      <w:r w:rsidRPr="003659AC">
        <w:tab/>
      </w:r>
      <w:r>
        <w:t>Corrections</w:t>
      </w:r>
      <w:r w:rsidRPr="003659AC">
        <w:t xml:space="preserve"> proposés par l</w:t>
      </w:r>
      <w:r>
        <w:t>a Réunion commune à sa session</w:t>
      </w:r>
      <w:r>
        <w:br/>
        <w:t>de printemps 2017</w:t>
      </w:r>
    </w:p>
    <w:p w14:paraId="5BA07F6C" w14:textId="77777777" w:rsidR="00E16D6E" w:rsidRDefault="00E16D6E" w:rsidP="00E16D6E">
      <w:pPr>
        <w:pStyle w:val="SingleTxtG"/>
        <w:tabs>
          <w:tab w:val="left" w:pos="1418"/>
        </w:tabs>
        <w:ind w:left="3119" w:hanging="1985"/>
        <w:jc w:val="left"/>
      </w:pPr>
      <w:r>
        <w:rPr>
          <w:i/>
        </w:rPr>
        <w:t>Document</w:t>
      </w:r>
      <w:r>
        <w:t>:</w:t>
      </w:r>
      <w:r>
        <w:tab/>
        <w:t>ECE/TRANS/WP.15/AC.1/146, annexe III</w:t>
      </w:r>
    </w:p>
    <w:p w14:paraId="374548FF" w14:textId="458CF5B4" w:rsidR="00E16D6E" w:rsidRPr="00185390" w:rsidRDefault="0000121E" w:rsidP="00E16D6E">
      <w:pPr>
        <w:pStyle w:val="SingleTxtG"/>
        <w:rPr>
          <w:color w:val="000000"/>
          <w:lang w:val="fr-FR"/>
        </w:rPr>
      </w:pPr>
      <w:r>
        <w:rPr>
          <w:color w:val="000000"/>
          <w:lang w:val="fr-FR"/>
        </w:rPr>
        <w:t>18</w:t>
      </w:r>
      <w:r w:rsidR="00E16D6E">
        <w:rPr>
          <w:color w:val="000000"/>
          <w:lang w:val="fr-FR"/>
        </w:rPr>
        <w:t>.</w:t>
      </w:r>
      <w:r w:rsidR="00E16D6E">
        <w:rPr>
          <w:color w:val="000000"/>
          <w:lang w:val="fr-FR"/>
        </w:rPr>
        <w:tab/>
      </w:r>
      <w:r w:rsidR="00E16D6E" w:rsidRPr="00185390">
        <w:rPr>
          <w:color w:val="000000"/>
          <w:lang w:val="fr-FR"/>
        </w:rPr>
        <w:t xml:space="preserve">Le Groupe de travail a confirmé que les corrections proposées par la Réunion commune à sa session </w:t>
      </w:r>
      <w:r w:rsidR="00E16D6E">
        <w:rPr>
          <w:color w:val="000000"/>
          <w:lang w:val="fr-FR"/>
        </w:rPr>
        <w:t xml:space="preserve">de printemps 2017 </w:t>
      </w:r>
      <w:r w:rsidR="00E16D6E" w:rsidRPr="00185390">
        <w:rPr>
          <w:color w:val="000000"/>
          <w:lang w:val="fr-FR"/>
        </w:rPr>
        <w:t>étaient de nature purement techniques et visaient à remédier au manque de concordance entre les</w:t>
      </w:r>
      <w:r w:rsidR="00E16D6E">
        <w:rPr>
          <w:rStyle w:val="apple-converted-space"/>
          <w:color w:val="000000"/>
          <w:lang w:val="fr-FR"/>
        </w:rPr>
        <w:t xml:space="preserve"> </w:t>
      </w:r>
      <w:r w:rsidR="00E16D6E" w:rsidRPr="00185390">
        <w:rPr>
          <w:color w:val="000000"/>
          <w:lang w:val="fr-FR"/>
        </w:rPr>
        <w:t>textes</w:t>
      </w:r>
      <w:r w:rsidR="00E16D6E">
        <w:rPr>
          <w:rStyle w:val="apple-converted-space"/>
          <w:color w:val="000000"/>
          <w:lang w:val="fr-FR"/>
        </w:rPr>
        <w:t xml:space="preserve"> </w:t>
      </w:r>
      <w:r w:rsidR="00E16D6E" w:rsidRPr="00185390">
        <w:rPr>
          <w:color w:val="000000"/>
          <w:lang w:val="fr-FR"/>
        </w:rPr>
        <w:t>anglais et russe</w:t>
      </w:r>
      <w:r w:rsidR="00E16D6E">
        <w:rPr>
          <w:rStyle w:val="apple-converted-space"/>
          <w:color w:val="000000"/>
          <w:lang w:val="fr-FR"/>
        </w:rPr>
        <w:t xml:space="preserve"> </w:t>
      </w:r>
      <w:r w:rsidR="00E16D6E" w:rsidRPr="00185390">
        <w:rPr>
          <w:color w:val="000000"/>
          <w:lang w:val="fr-FR"/>
        </w:rPr>
        <w:t>et</w:t>
      </w:r>
      <w:r w:rsidR="00E16D6E">
        <w:rPr>
          <w:rStyle w:val="apple-converted-space"/>
          <w:color w:val="000000"/>
          <w:lang w:val="fr-FR"/>
        </w:rPr>
        <w:t xml:space="preserve"> </w:t>
      </w:r>
      <w:r w:rsidR="00E16D6E" w:rsidRPr="00185390">
        <w:rPr>
          <w:color w:val="000000"/>
          <w:lang w:val="fr-FR"/>
        </w:rPr>
        <w:t>le</w:t>
      </w:r>
      <w:r w:rsidR="00E16D6E">
        <w:rPr>
          <w:color w:val="000000"/>
          <w:lang w:val="fr-FR"/>
        </w:rPr>
        <w:t xml:space="preserve"> </w:t>
      </w:r>
      <w:r w:rsidR="00E16D6E" w:rsidRPr="00185390">
        <w:rPr>
          <w:color w:val="000000"/>
          <w:lang w:val="fr-FR"/>
        </w:rPr>
        <w:t>texte</w:t>
      </w:r>
      <w:r w:rsidR="00E16D6E">
        <w:rPr>
          <w:color w:val="000000"/>
          <w:lang w:val="fr-FR"/>
        </w:rPr>
        <w:t xml:space="preserve"> </w:t>
      </w:r>
      <w:r w:rsidR="00E16D6E" w:rsidRPr="00185390">
        <w:rPr>
          <w:color w:val="000000"/>
          <w:lang w:val="fr-FR"/>
        </w:rPr>
        <w:t>français</w:t>
      </w:r>
      <w:r w:rsidR="00E16D6E">
        <w:rPr>
          <w:rStyle w:val="apple-converted-space"/>
          <w:color w:val="000000"/>
          <w:lang w:val="fr-FR"/>
        </w:rPr>
        <w:t xml:space="preserve"> </w:t>
      </w:r>
      <w:r w:rsidR="00E16D6E" w:rsidRPr="00185390">
        <w:rPr>
          <w:color w:val="000000"/>
          <w:lang w:val="fr-FR"/>
        </w:rPr>
        <w:t>authentique ou à corriger des fautes de frappes ou des problèmes de numérota</w:t>
      </w:r>
      <w:r w:rsidR="00E16D6E">
        <w:rPr>
          <w:color w:val="000000"/>
          <w:lang w:val="fr-FR"/>
        </w:rPr>
        <w:t>tion ou de références croisées.</w:t>
      </w:r>
    </w:p>
    <w:p w14:paraId="780E34A7" w14:textId="1C92DA8C" w:rsidR="00E16D6E" w:rsidRDefault="0000121E" w:rsidP="00E16D6E">
      <w:pPr>
        <w:pStyle w:val="SingleTxtG"/>
        <w:rPr>
          <w:color w:val="000000"/>
        </w:rPr>
      </w:pPr>
      <w:r>
        <w:rPr>
          <w:color w:val="000000"/>
        </w:rPr>
        <w:t>19</w:t>
      </w:r>
      <w:r w:rsidR="00E16D6E">
        <w:rPr>
          <w:color w:val="000000"/>
        </w:rPr>
        <w:t>.</w:t>
      </w:r>
      <w:r w:rsidR="00E16D6E">
        <w:rPr>
          <w:color w:val="000000"/>
        </w:rPr>
        <w:tab/>
        <w:t>Considérant que ces corrections ne modifiaient pas le contenu des dispositions de l’ADR, l</w:t>
      </w:r>
      <w:r w:rsidR="00E16D6E" w:rsidRPr="00BF4685">
        <w:rPr>
          <w:lang w:val="fr-FR"/>
        </w:rPr>
        <w:t xml:space="preserve">e Groupe de travail a adopté les corrections proposées par </w:t>
      </w:r>
      <w:r w:rsidR="00E16D6E">
        <w:rPr>
          <w:lang w:val="fr-FR"/>
        </w:rPr>
        <w:t xml:space="preserve">la Réunion commune </w:t>
      </w:r>
      <w:r w:rsidR="00E16D6E" w:rsidRPr="00BF4685">
        <w:rPr>
          <w:lang w:val="fr-FR"/>
        </w:rPr>
        <w:t xml:space="preserve">et </w:t>
      </w:r>
      <w:r w:rsidR="00E16D6E">
        <w:rPr>
          <w:lang w:val="fr-FR"/>
        </w:rPr>
        <w:t xml:space="preserve">lui </w:t>
      </w:r>
      <w:r w:rsidR="00E16D6E" w:rsidRPr="00BF4685">
        <w:rPr>
          <w:lang w:val="fr-FR"/>
        </w:rPr>
        <w:t>a demandé de faire le nécessaire pour qu'un rectificatif puisse être publié au plus vite (voir annexe</w:t>
      </w:r>
      <w:r w:rsidR="00C102B5">
        <w:rPr>
          <w:lang w:val="fr-FR"/>
        </w:rPr>
        <w:t>s</w:t>
      </w:r>
      <w:r w:rsidR="00E16D6E" w:rsidRPr="00BF4685">
        <w:rPr>
          <w:lang w:val="fr-FR"/>
        </w:rPr>
        <w:t xml:space="preserve"> </w:t>
      </w:r>
      <w:r w:rsidR="008E3FB8">
        <w:rPr>
          <w:lang w:val="fr-FR"/>
        </w:rPr>
        <w:t>II</w:t>
      </w:r>
      <w:r w:rsidR="00C102B5">
        <w:rPr>
          <w:lang w:val="fr-FR"/>
        </w:rPr>
        <w:t xml:space="preserve"> et III</w:t>
      </w:r>
      <w:r w:rsidR="008E3FB8" w:rsidRPr="00BF4685">
        <w:rPr>
          <w:lang w:val="fr-FR"/>
        </w:rPr>
        <w:t>).</w:t>
      </w:r>
    </w:p>
    <w:p w14:paraId="7978AE3D" w14:textId="77777777" w:rsidR="00B67CD5" w:rsidRDefault="00B67CD5" w:rsidP="00B67CD5">
      <w:pPr>
        <w:pStyle w:val="HChG"/>
      </w:pPr>
      <w:r>
        <w:tab/>
        <w:t>VI.</w:t>
      </w:r>
      <w:r>
        <w:tab/>
      </w:r>
      <w:r w:rsidRPr="00787CF7">
        <w:rPr>
          <w:lang w:val="fr-FR"/>
        </w:rPr>
        <w:t>Propositions d'amendement aux annexes A et B de l'ADR</w:t>
      </w:r>
      <w:r>
        <w:br/>
      </w:r>
      <w:r w:rsidRPr="005B2C1D">
        <w:t xml:space="preserve">(point </w:t>
      </w:r>
      <w:r>
        <w:t>5</w:t>
      </w:r>
      <w:r w:rsidRPr="005B2C1D">
        <w:t xml:space="preserve"> de l</w:t>
      </w:r>
      <w:r>
        <w:t>’</w:t>
      </w:r>
      <w:r w:rsidRPr="005B2C1D">
        <w:t>ordre du jour)</w:t>
      </w:r>
    </w:p>
    <w:p w14:paraId="54AA968D" w14:textId="77777777" w:rsidR="00D34402" w:rsidRPr="00214393" w:rsidRDefault="00D34402" w:rsidP="00D34402">
      <w:pPr>
        <w:pStyle w:val="H1G"/>
        <w:rPr>
          <w:lang w:val="fr-FR"/>
        </w:rPr>
      </w:pPr>
      <w:r>
        <w:tab/>
        <w:t>A</w:t>
      </w:r>
      <w:r w:rsidRPr="003659AC">
        <w:t>.</w:t>
      </w:r>
      <w:r w:rsidRPr="003659AC">
        <w:tab/>
      </w:r>
      <w:r w:rsidRPr="00214393">
        <w:rPr>
          <w:lang w:val="fr-FR"/>
        </w:rPr>
        <w:t>Construction et agrément des véhicules</w:t>
      </w:r>
    </w:p>
    <w:p w14:paraId="2F5E7312" w14:textId="77777777" w:rsidR="00D34402" w:rsidRPr="00214393" w:rsidRDefault="00D34402" w:rsidP="00D34402">
      <w:pPr>
        <w:pStyle w:val="H23G"/>
        <w:rPr>
          <w:lang w:val="fr-FR"/>
        </w:rPr>
      </w:pPr>
      <w:r w:rsidRPr="00214393">
        <w:rPr>
          <w:lang w:val="fr-FR"/>
        </w:rPr>
        <w:tab/>
        <w:t>1.</w:t>
      </w:r>
      <w:r w:rsidRPr="00214393">
        <w:rPr>
          <w:lang w:val="fr-FR"/>
        </w:rPr>
        <w:tab/>
        <w:t xml:space="preserve">Interprétation </w:t>
      </w:r>
      <w:r>
        <w:rPr>
          <w:lang w:val="fr-FR"/>
        </w:rPr>
        <w:t>des prescriptions du 9.3.4.2 de l’ADR pour les véhicules EX/II et EX/III</w:t>
      </w:r>
    </w:p>
    <w:p w14:paraId="557136D4" w14:textId="77777777" w:rsidR="00D34402" w:rsidRPr="007C1CA8" w:rsidRDefault="00D34402" w:rsidP="00D34402">
      <w:pPr>
        <w:pStyle w:val="SingleTxtG"/>
        <w:rPr>
          <w:i/>
          <w:lang w:val="fr-FR"/>
        </w:rPr>
      </w:pPr>
      <w:r>
        <w:rPr>
          <w:i/>
          <w:lang w:val="fr-FR"/>
        </w:rPr>
        <w:t xml:space="preserve">Document informel: </w:t>
      </w:r>
      <w:r w:rsidRPr="007C1CA8">
        <w:rPr>
          <w:lang w:val="fr-FR"/>
        </w:rPr>
        <w:t>INF.6 (Allemagne)</w:t>
      </w:r>
    </w:p>
    <w:p w14:paraId="7351532E" w14:textId="6F7B62D7" w:rsidR="00D34402" w:rsidRDefault="0000121E" w:rsidP="00D34402">
      <w:pPr>
        <w:pStyle w:val="SingleTxtG"/>
        <w:rPr>
          <w:lang w:val="fr-FR"/>
        </w:rPr>
      </w:pPr>
      <w:r>
        <w:rPr>
          <w:lang w:val="fr-FR"/>
        </w:rPr>
        <w:t>20</w:t>
      </w:r>
      <w:r w:rsidR="00D34402">
        <w:rPr>
          <w:lang w:val="fr-FR"/>
        </w:rPr>
        <w:t>.</w:t>
      </w:r>
      <w:r w:rsidR="00D34402" w:rsidRPr="00214393">
        <w:rPr>
          <w:lang w:val="fr-FR"/>
        </w:rPr>
        <w:tab/>
      </w:r>
      <w:r w:rsidR="00D34402">
        <w:rPr>
          <w:lang w:val="fr-FR"/>
        </w:rPr>
        <w:t>Le Groupe de travail avait déjà pris des décisions concernant l’interprétation du 9.3.4.2 quant au matériaux pouvant être utilisés pour la construction et l’isolation de la caisse des véhicules EX/III (voir notamment ECE/TRANS/WP.15/230, paragraphes 12 à 15).</w:t>
      </w:r>
    </w:p>
    <w:p w14:paraId="11F108B2" w14:textId="6B8BBBD4" w:rsidR="00D34402" w:rsidRDefault="0000121E" w:rsidP="00D34402">
      <w:pPr>
        <w:pStyle w:val="SingleTxtG"/>
        <w:rPr>
          <w:lang w:val="fr-FR"/>
        </w:rPr>
      </w:pPr>
      <w:r>
        <w:rPr>
          <w:lang w:val="fr-FR"/>
        </w:rPr>
        <w:lastRenderedPageBreak/>
        <w:t>21</w:t>
      </w:r>
      <w:r w:rsidR="00D34402">
        <w:rPr>
          <w:lang w:val="fr-FR"/>
        </w:rPr>
        <w:t>.</w:t>
      </w:r>
      <w:r w:rsidR="00D34402">
        <w:rPr>
          <w:lang w:val="fr-FR"/>
        </w:rPr>
        <w:tab/>
        <w:t xml:space="preserve">Concernant la demande de l’Allemagne, il n’y a pas eu de consensus concernant la possibilité d’utiliser des panneaux sandwiches. Pour certaines délégations, cette option semblait possible mais des épreuves supplémentaires étaient nécessaires pour pouvoir se prononcer. </w:t>
      </w:r>
    </w:p>
    <w:p w14:paraId="66E7473D" w14:textId="6AB1993E" w:rsidR="00D34402" w:rsidRDefault="0000121E" w:rsidP="00D34402">
      <w:pPr>
        <w:pStyle w:val="SingleTxtG"/>
        <w:rPr>
          <w:lang w:val="fr-FR"/>
        </w:rPr>
      </w:pPr>
      <w:r>
        <w:rPr>
          <w:lang w:val="fr-FR"/>
        </w:rPr>
        <w:t>22</w:t>
      </w:r>
      <w:r w:rsidR="00D34402">
        <w:rPr>
          <w:lang w:val="fr-FR"/>
        </w:rPr>
        <w:t>.</w:t>
      </w:r>
      <w:r w:rsidR="00D34402">
        <w:rPr>
          <w:lang w:val="fr-FR"/>
        </w:rPr>
        <w:tab/>
        <w:t>Le Groupe de travail a reconnu l’intérêt de mettre à jour et clarifier les prescriptions techniques relatives à la construction des véhicules EX/II et EX/III pour tenir compte des évolutions techniques.</w:t>
      </w:r>
    </w:p>
    <w:p w14:paraId="51A4E04D" w14:textId="7A88D517" w:rsidR="00D34402" w:rsidRDefault="0000121E" w:rsidP="00D34402">
      <w:pPr>
        <w:pStyle w:val="SingleTxtG"/>
        <w:rPr>
          <w:lang w:val="fr-FR"/>
        </w:rPr>
      </w:pPr>
      <w:r>
        <w:rPr>
          <w:lang w:val="fr-FR"/>
        </w:rPr>
        <w:t>23</w:t>
      </w:r>
      <w:r w:rsidR="00D34402">
        <w:rPr>
          <w:lang w:val="fr-FR"/>
        </w:rPr>
        <w:t>.</w:t>
      </w:r>
      <w:r w:rsidR="00D34402">
        <w:rPr>
          <w:lang w:val="fr-FR"/>
        </w:rPr>
        <w:tab/>
        <w:t xml:space="preserve">La représentante de l’Allemagne a proposé de préparer une proposition en ce sens pour la prochaine session et a invité les délégations qui souhaiteraient y contribuer à lui envoyer leurs commentaires et données techniques avant fin juillet 2017. </w:t>
      </w:r>
    </w:p>
    <w:p w14:paraId="3D3DCE74" w14:textId="77777777" w:rsidR="00D34402" w:rsidRDefault="00D34402" w:rsidP="00D34402">
      <w:pPr>
        <w:pStyle w:val="H23G"/>
        <w:rPr>
          <w:lang w:val="fr-FR"/>
        </w:rPr>
      </w:pPr>
      <w:r>
        <w:rPr>
          <w:lang w:val="fr-FR"/>
        </w:rPr>
        <w:tab/>
        <w:t>2</w:t>
      </w:r>
      <w:r w:rsidRPr="007C1CA8">
        <w:t>.</w:t>
      </w:r>
      <w:r w:rsidRPr="007C1CA8">
        <w:tab/>
      </w:r>
      <w:r>
        <w:rPr>
          <w:lang w:val="fr-FR"/>
        </w:rPr>
        <w:t>Equipement électrique – application du 9.2.2.9.1</w:t>
      </w:r>
    </w:p>
    <w:p w14:paraId="072601E0" w14:textId="77777777" w:rsidR="00D34402" w:rsidRPr="007C1CA8" w:rsidRDefault="00D34402" w:rsidP="00D34402">
      <w:pPr>
        <w:pStyle w:val="SingleTxtG"/>
        <w:rPr>
          <w:i/>
          <w:lang w:val="fr-FR"/>
        </w:rPr>
      </w:pPr>
      <w:r>
        <w:rPr>
          <w:i/>
          <w:lang w:val="fr-FR"/>
        </w:rPr>
        <w:t>Document:</w:t>
      </w:r>
      <w:r>
        <w:rPr>
          <w:i/>
          <w:lang w:val="fr-FR"/>
        </w:rPr>
        <w:tab/>
      </w:r>
      <w:r>
        <w:rPr>
          <w:lang w:val="fr-FR"/>
        </w:rPr>
        <w:t>ECE/TRANS/WP.15/2017/6</w:t>
      </w:r>
      <w:r w:rsidRPr="007C1CA8">
        <w:rPr>
          <w:lang w:val="fr-FR"/>
        </w:rPr>
        <w:t xml:space="preserve"> (</w:t>
      </w:r>
      <w:r>
        <w:rPr>
          <w:lang w:val="fr-FR"/>
        </w:rPr>
        <w:t>France</w:t>
      </w:r>
      <w:r w:rsidRPr="007C1CA8">
        <w:rPr>
          <w:lang w:val="fr-FR"/>
        </w:rPr>
        <w:t>)</w:t>
      </w:r>
    </w:p>
    <w:p w14:paraId="582297A9" w14:textId="3AD9B24D" w:rsidR="00D34402" w:rsidRDefault="0000121E" w:rsidP="00D34402">
      <w:pPr>
        <w:pStyle w:val="SingleTxtG"/>
        <w:rPr>
          <w:lang w:val="fr-FR"/>
        </w:rPr>
      </w:pPr>
      <w:r>
        <w:rPr>
          <w:lang w:val="fr-FR"/>
        </w:rPr>
        <w:t>24</w:t>
      </w:r>
      <w:r w:rsidR="00D34402">
        <w:rPr>
          <w:lang w:val="fr-FR"/>
        </w:rPr>
        <w:t>.</w:t>
      </w:r>
      <w:r w:rsidR="00D34402">
        <w:rPr>
          <w:lang w:val="fr-FR"/>
        </w:rPr>
        <w:tab/>
        <w:t>La proposition de la France d’ajouter une référence aux parties 26 et 28 de la norme CEI 60079 au 9.2.2.9.1 et au 9.7.8.2 a été adoptée (voir annexe</w:t>
      </w:r>
      <w:r>
        <w:rPr>
          <w:lang w:val="fr-FR"/>
        </w:rPr>
        <w:t xml:space="preserve"> I).</w:t>
      </w:r>
    </w:p>
    <w:p w14:paraId="42210B75" w14:textId="4C99F948" w:rsidR="00D34402" w:rsidRPr="007C1CA8" w:rsidRDefault="0000121E" w:rsidP="00D34402">
      <w:pPr>
        <w:pStyle w:val="SingleTxtG"/>
        <w:rPr>
          <w:lang w:val="fr-FR"/>
        </w:rPr>
      </w:pPr>
      <w:r>
        <w:rPr>
          <w:lang w:val="fr-FR"/>
        </w:rPr>
        <w:t>25</w:t>
      </w:r>
      <w:r w:rsidR="00D34402">
        <w:rPr>
          <w:lang w:val="fr-FR"/>
        </w:rPr>
        <w:t>.</w:t>
      </w:r>
      <w:r w:rsidR="00D34402">
        <w:rPr>
          <w:lang w:val="fr-FR"/>
        </w:rPr>
        <w:tab/>
        <w:t>L</w:t>
      </w:r>
      <w:r w:rsidR="00D34402" w:rsidRPr="003628B4">
        <w:rPr>
          <w:lang w:val="fr-FR"/>
        </w:rPr>
        <w:t xml:space="preserve">e groupe de travail a confirmé que les équipements électriques installés conformément au 9.2.2.9.1 </w:t>
      </w:r>
      <w:r w:rsidR="00D34402">
        <w:rPr>
          <w:lang w:val="fr-FR"/>
        </w:rPr>
        <w:t>ou</w:t>
      </w:r>
      <w:r w:rsidR="00D34402" w:rsidRPr="003628B4">
        <w:rPr>
          <w:lang w:val="fr-FR"/>
        </w:rPr>
        <w:t xml:space="preserve"> au 9.7.8.2 </w:t>
      </w:r>
      <w:r w:rsidR="00D34402">
        <w:rPr>
          <w:lang w:val="fr-FR"/>
        </w:rPr>
        <w:t xml:space="preserve">sur les véhicules, </w:t>
      </w:r>
      <w:r w:rsidR="00D34402" w:rsidRPr="003628B4">
        <w:rPr>
          <w:lang w:val="fr-FR"/>
        </w:rPr>
        <w:t>avant l'entrée en vigueur de cette modification</w:t>
      </w:r>
      <w:r w:rsidR="00D34402">
        <w:rPr>
          <w:lang w:val="fr-FR"/>
        </w:rPr>
        <w:t>,</w:t>
      </w:r>
      <w:r w:rsidR="00D34402" w:rsidRPr="003628B4">
        <w:rPr>
          <w:lang w:val="fr-FR"/>
        </w:rPr>
        <w:t xml:space="preserve"> pourront encore être utilisés.</w:t>
      </w:r>
    </w:p>
    <w:p w14:paraId="08C151E9" w14:textId="77777777" w:rsidR="00D34402" w:rsidRPr="004B4555" w:rsidRDefault="00D34402" w:rsidP="00D34402">
      <w:pPr>
        <w:pStyle w:val="H23G"/>
        <w:rPr>
          <w:lang w:val="fr-FR"/>
        </w:rPr>
      </w:pPr>
      <w:r w:rsidRPr="004B4555">
        <w:rPr>
          <w:lang w:val="fr-FR"/>
        </w:rPr>
        <w:tab/>
      </w:r>
      <w:r>
        <w:rPr>
          <w:lang w:val="fr-FR"/>
        </w:rPr>
        <w:t>3</w:t>
      </w:r>
      <w:r w:rsidRPr="004B4555">
        <w:rPr>
          <w:lang w:val="fr-FR"/>
        </w:rPr>
        <w:t>.</w:t>
      </w:r>
      <w:r w:rsidRPr="004B4555">
        <w:rPr>
          <w:lang w:val="fr-FR"/>
        </w:rPr>
        <w:tab/>
      </w:r>
      <w:r>
        <w:t>Prescriptions relatives aux moyens de fixation dans le 9.7.3</w:t>
      </w:r>
    </w:p>
    <w:p w14:paraId="7B701947" w14:textId="77777777" w:rsidR="00D34402" w:rsidRDefault="00D34402" w:rsidP="00D34402">
      <w:pPr>
        <w:pStyle w:val="SingleTxtG"/>
        <w:spacing w:before="120"/>
        <w:ind w:left="2268" w:hanging="1134"/>
        <w:jc w:val="left"/>
      </w:pPr>
      <w:r w:rsidRPr="008E380C">
        <w:rPr>
          <w:i/>
        </w:rPr>
        <w:t xml:space="preserve">Document: </w:t>
      </w:r>
      <w:r w:rsidRPr="008E380C">
        <w:rPr>
          <w:i/>
        </w:rPr>
        <w:tab/>
      </w:r>
      <w:r>
        <w:t>ECE/TRANS/WP.15/2017/7</w:t>
      </w:r>
      <w:r w:rsidRPr="008E380C">
        <w:t xml:space="preserve"> </w:t>
      </w:r>
      <w:r>
        <w:t>(Norvège)</w:t>
      </w:r>
    </w:p>
    <w:p w14:paraId="1686BD7E" w14:textId="5BDE28EC" w:rsidR="00D34402" w:rsidRDefault="0000121E" w:rsidP="00D34402">
      <w:pPr>
        <w:pStyle w:val="SingleTxtG"/>
      </w:pPr>
      <w:r>
        <w:t>26</w:t>
      </w:r>
      <w:r w:rsidR="00D34402">
        <w:t>.</w:t>
      </w:r>
      <w:r w:rsidR="00D34402">
        <w:tab/>
        <w:t xml:space="preserve">Mises aux voix, les propositions 1, 2a, 2c et 3 ont été adoptées avec quelques modifications (voir annexe </w:t>
      </w:r>
      <w:r>
        <w:t xml:space="preserve">I). </w:t>
      </w:r>
      <w:r w:rsidR="00D34402">
        <w:t>La proposition 2b a été rejetée.</w:t>
      </w:r>
    </w:p>
    <w:p w14:paraId="4A2058A0" w14:textId="77777777" w:rsidR="00D34402" w:rsidRPr="004B4555" w:rsidRDefault="00D34402" w:rsidP="00D34402">
      <w:pPr>
        <w:pStyle w:val="H23G"/>
        <w:rPr>
          <w:lang w:val="fr-FR"/>
        </w:rPr>
      </w:pPr>
      <w:r w:rsidRPr="004B4555">
        <w:rPr>
          <w:lang w:val="fr-FR"/>
        </w:rPr>
        <w:tab/>
      </w:r>
      <w:r>
        <w:rPr>
          <w:lang w:val="fr-FR"/>
        </w:rPr>
        <w:t>4</w:t>
      </w:r>
      <w:r w:rsidRPr="004B4555">
        <w:rPr>
          <w:lang w:val="fr-FR"/>
        </w:rPr>
        <w:t>.</w:t>
      </w:r>
      <w:r w:rsidRPr="004B4555">
        <w:rPr>
          <w:lang w:val="fr-FR"/>
        </w:rPr>
        <w:tab/>
      </w:r>
      <w:r w:rsidRPr="006231B2">
        <w:t>Dispense de première visite technique pour les véhicules EX/II, EX/III, FL et AT et les MEMU homologués conformément au paragraphe 9.1.2.2 et pour lesquels une déclaration de conformité aux prescriptions du chapitre 9.2 a été délivrée</w:t>
      </w:r>
    </w:p>
    <w:p w14:paraId="55F4C166" w14:textId="77777777" w:rsidR="00D34402" w:rsidRDefault="00D34402" w:rsidP="00D34402">
      <w:pPr>
        <w:pStyle w:val="SingleTxtG"/>
        <w:spacing w:before="120"/>
        <w:ind w:left="2268" w:hanging="1134"/>
        <w:jc w:val="left"/>
      </w:pPr>
      <w:r w:rsidRPr="008E380C">
        <w:rPr>
          <w:i/>
        </w:rPr>
        <w:t xml:space="preserve">Document: </w:t>
      </w:r>
      <w:r w:rsidRPr="008E380C">
        <w:rPr>
          <w:i/>
        </w:rPr>
        <w:tab/>
      </w:r>
      <w:r>
        <w:t>ECE/TRANS/WP.15/2017/11</w:t>
      </w:r>
      <w:r w:rsidRPr="008E380C">
        <w:t xml:space="preserve"> </w:t>
      </w:r>
      <w:r>
        <w:t>(Royaume-Uni)</w:t>
      </w:r>
    </w:p>
    <w:p w14:paraId="29AC46A4" w14:textId="289D60CB" w:rsidR="00D34402" w:rsidRDefault="0000121E" w:rsidP="00D34402">
      <w:pPr>
        <w:pStyle w:val="SingleTxtG"/>
      </w:pPr>
      <w:r>
        <w:t>27</w:t>
      </w:r>
      <w:r w:rsidR="00D34402">
        <w:t>.</w:t>
      </w:r>
      <w:r w:rsidR="00D34402">
        <w:tab/>
        <w:t>Après une discussion préliminaire lors de cette session, le document est maintenu à l’ordre du jour de la prochaine session.</w:t>
      </w:r>
    </w:p>
    <w:p w14:paraId="511EBA39" w14:textId="77777777" w:rsidR="00D34402" w:rsidRPr="004B4555" w:rsidRDefault="00D34402" w:rsidP="00D34402">
      <w:pPr>
        <w:pStyle w:val="H23G"/>
        <w:rPr>
          <w:lang w:val="fr-FR"/>
        </w:rPr>
      </w:pPr>
      <w:r w:rsidRPr="004B4555">
        <w:rPr>
          <w:lang w:val="fr-FR"/>
        </w:rPr>
        <w:tab/>
      </w:r>
      <w:r>
        <w:rPr>
          <w:lang w:val="fr-FR"/>
        </w:rPr>
        <w:t>5</w:t>
      </w:r>
      <w:r w:rsidRPr="004B4555">
        <w:rPr>
          <w:lang w:val="fr-FR"/>
        </w:rPr>
        <w:t>.</w:t>
      </w:r>
      <w:r w:rsidRPr="004B4555">
        <w:rPr>
          <w:lang w:val="fr-FR"/>
        </w:rPr>
        <w:tab/>
      </w:r>
      <w:r>
        <w:t>Corrections au chapitre 9.2</w:t>
      </w:r>
    </w:p>
    <w:p w14:paraId="22DB02D6" w14:textId="77777777" w:rsidR="00D34402" w:rsidRDefault="00D34402" w:rsidP="00D34402">
      <w:pPr>
        <w:pStyle w:val="SingleTxtG"/>
        <w:spacing w:before="120"/>
        <w:ind w:left="2268" w:hanging="1134"/>
        <w:jc w:val="left"/>
      </w:pPr>
      <w:r w:rsidRPr="008E380C">
        <w:rPr>
          <w:i/>
        </w:rPr>
        <w:t>Document</w:t>
      </w:r>
      <w:r>
        <w:rPr>
          <w:i/>
        </w:rPr>
        <w:t xml:space="preserve"> informel</w:t>
      </w:r>
      <w:r w:rsidRPr="008E380C">
        <w:rPr>
          <w:i/>
        </w:rPr>
        <w:t xml:space="preserve">: </w:t>
      </w:r>
      <w:r w:rsidRPr="008E380C">
        <w:rPr>
          <w:i/>
        </w:rPr>
        <w:tab/>
      </w:r>
      <w:r>
        <w:t>INF.12</w:t>
      </w:r>
      <w:r w:rsidRPr="008E380C">
        <w:t xml:space="preserve"> </w:t>
      </w:r>
      <w:r>
        <w:t>(Roumanie)</w:t>
      </w:r>
    </w:p>
    <w:p w14:paraId="47089552" w14:textId="04A84141" w:rsidR="00D34402" w:rsidRPr="00185390" w:rsidRDefault="0000121E" w:rsidP="00D34402">
      <w:pPr>
        <w:pStyle w:val="SingleTxtG"/>
        <w:rPr>
          <w:color w:val="000000"/>
          <w:lang w:val="fr-FR"/>
        </w:rPr>
      </w:pPr>
      <w:r>
        <w:t>28</w:t>
      </w:r>
      <w:r w:rsidR="00D34402">
        <w:t>.</w:t>
      </w:r>
      <w:r w:rsidR="00D34402">
        <w:tab/>
      </w:r>
      <w:r w:rsidR="00D34402" w:rsidRPr="00185390">
        <w:rPr>
          <w:color w:val="000000"/>
          <w:lang w:val="fr-FR"/>
        </w:rPr>
        <w:t xml:space="preserve">Le Groupe de travail a confirmé que les corrections proposées </w:t>
      </w:r>
      <w:r w:rsidR="00D34402">
        <w:rPr>
          <w:color w:val="000000"/>
          <w:lang w:val="fr-FR"/>
        </w:rPr>
        <w:t>par le représentant de la Roumanie</w:t>
      </w:r>
      <w:r w:rsidR="00D34402" w:rsidRPr="00185390">
        <w:rPr>
          <w:color w:val="000000"/>
          <w:lang w:val="fr-FR"/>
        </w:rPr>
        <w:t xml:space="preserve"> étaient de nature purement technique et </w:t>
      </w:r>
      <w:r w:rsidR="00D34402">
        <w:rPr>
          <w:color w:val="000000"/>
          <w:lang w:val="fr-FR"/>
        </w:rPr>
        <w:t>concernaient</w:t>
      </w:r>
      <w:r w:rsidR="00D34402" w:rsidRPr="00185390">
        <w:rPr>
          <w:color w:val="000000"/>
          <w:lang w:val="fr-FR"/>
        </w:rPr>
        <w:t xml:space="preserve"> des problèmes de numérotation ou de références croisées. </w:t>
      </w:r>
    </w:p>
    <w:p w14:paraId="2F5552DE" w14:textId="4BF8E072" w:rsidR="00D34402" w:rsidRDefault="0000121E" w:rsidP="00D34402">
      <w:pPr>
        <w:pStyle w:val="SingleTxtG"/>
        <w:rPr>
          <w:lang w:val="fr-FR"/>
        </w:rPr>
      </w:pPr>
      <w:r>
        <w:rPr>
          <w:color w:val="000000"/>
        </w:rPr>
        <w:t>29</w:t>
      </w:r>
      <w:r w:rsidR="00D34402">
        <w:rPr>
          <w:color w:val="000000"/>
        </w:rPr>
        <w:t>.</w:t>
      </w:r>
      <w:r w:rsidR="00D34402">
        <w:rPr>
          <w:color w:val="000000"/>
        </w:rPr>
        <w:tab/>
        <w:t>Considérant que ces corrections ne modifiaient pas le contenu des dispositions de l’ADR, l</w:t>
      </w:r>
      <w:r w:rsidR="00D34402" w:rsidRPr="00BF4685">
        <w:rPr>
          <w:lang w:val="fr-FR"/>
        </w:rPr>
        <w:t xml:space="preserve">e Groupe de travail </w:t>
      </w:r>
      <w:r w:rsidR="00D34402">
        <w:rPr>
          <w:lang w:val="fr-FR"/>
        </w:rPr>
        <w:t xml:space="preserve">les </w:t>
      </w:r>
      <w:r w:rsidR="00D34402" w:rsidRPr="00BF4685">
        <w:rPr>
          <w:lang w:val="fr-FR"/>
        </w:rPr>
        <w:t>a adopté</w:t>
      </w:r>
      <w:r w:rsidR="00D34402">
        <w:rPr>
          <w:lang w:val="fr-FR"/>
        </w:rPr>
        <w:t>es</w:t>
      </w:r>
      <w:r w:rsidR="00D34402" w:rsidRPr="00BF4685">
        <w:rPr>
          <w:lang w:val="fr-FR"/>
        </w:rPr>
        <w:t xml:space="preserve"> et a demandé </w:t>
      </w:r>
      <w:r w:rsidR="00D34402">
        <w:rPr>
          <w:lang w:val="fr-FR"/>
        </w:rPr>
        <w:t xml:space="preserve">au secrétariat </w:t>
      </w:r>
      <w:r w:rsidR="00D34402" w:rsidRPr="00BF4685">
        <w:rPr>
          <w:lang w:val="fr-FR"/>
        </w:rPr>
        <w:t>de faire le nécessaire pour qu'un rectificatif puisse être publié au plus vite (voir annexe</w:t>
      </w:r>
      <w:r w:rsidR="00C102B5">
        <w:rPr>
          <w:lang w:val="fr-FR"/>
        </w:rPr>
        <w:t>s</w:t>
      </w:r>
      <w:r w:rsidR="00D34402" w:rsidRPr="00BF4685">
        <w:rPr>
          <w:lang w:val="fr-FR"/>
        </w:rPr>
        <w:t xml:space="preserve"> </w:t>
      </w:r>
      <w:r>
        <w:rPr>
          <w:lang w:val="fr-FR"/>
        </w:rPr>
        <w:t>II</w:t>
      </w:r>
      <w:r w:rsidR="00C102B5">
        <w:rPr>
          <w:lang w:val="fr-FR"/>
        </w:rPr>
        <w:t xml:space="preserve"> et III</w:t>
      </w:r>
      <w:r w:rsidRPr="00BF4685">
        <w:rPr>
          <w:lang w:val="fr-FR"/>
        </w:rPr>
        <w:t>).</w:t>
      </w:r>
    </w:p>
    <w:p w14:paraId="7758CD96" w14:textId="77777777" w:rsidR="00D34402" w:rsidRPr="004B4555" w:rsidRDefault="00D34402" w:rsidP="00D34402">
      <w:pPr>
        <w:pStyle w:val="H23G"/>
        <w:rPr>
          <w:lang w:val="fr-FR"/>
        </w:rPr>
      </w:pPr>
      <w:r w:rsidRPr="004B4555">
        <w:rPr>
          <w:lang w:val="fr-FR"/>
        </w:rPr>
        <w:tab/>
      </w:r>
      <w:r>
        <w:rPr>
          <w:lang w:val="fr-FR"/>
        </w:rPr>
        <w:t>6</w:t>
      </w:r>
      <w:r w:rsidRPr="004B4555">
        <w:rPr>
          <w:lang w:val="fr-FR"/>
        </w:rPr>
        <w:t>.</w:t>
      </w:r>
      <w:r w:rsidRPr="004B4555">
        <w:rPr>
          <w:lang w:val="fr-FR"/>
        </w:rPr>
        <w:tab/>
      </w:r>
      <w:r>
        <w:t xml:space="preserve">Correction aux </w:t>
      </w:r>
      <w:r w:rsidRPr="000F78E9">
        <w:t>Lignes directrices relatives au certificat d’agrément selon le 9.1.3 de l’ADR</w:t>
      </w:r>
    </w:p>
    <w:p w14:paraId="24D3E383" w14:textId="77777777" w:rsidR="00D34402" w:rsidRDefault="00D34402" w:rsidP="00D34402">
      <w:pPr>
        <w:pStyle w:val="SingleTxtG"/>
        <w:spacing w:before="120"/>
        <w:ind w:left="2268" w:hanging="1134"/>
        <w:jc w:val="left"/>
      </w:pPr>
      <w:r w:rsidRPr="008E380C">
        <w:rPr>
          <w:i/>
        </w:rPr>
        <w:t>Document</w:t>
      </w:r>
      <w:r>
        <w:rPr>
          <w:i/>
        </w:rPr>
        <w:t xml:space="preserve"> informel</w:t>
      </w:r>
      <w:r w:rsidRPr="008E380C">
        <w:rPr>
          <w:i/>
        </w:rPr>
        <w:t xml:space="preserve">: </w:t>
      </w:r>
      <w:r w:rsidRPr="008E380C">
        <w:rPr>
          <w:i/>
        </w:rPr>
        <w:tab/>
      </w:r>
      <w:r>
        <w:t>INF.18</w:t>
      </w:r>
      <w:r w:rsidRPr="008E380C">
        <w:t xml:space="preserve"> </w:t>
      </w:r>
      <w:r>
        <w:t>(Suède)</w:t>
      </w:r>
    </w:p>
    <w:p w14:paraId="6FCBE158" w14:textId="42F45717" w:rsidR="00D34402" w:rsidRDefault="0000121E" w:rsidP="00D34402">
      <w:pPr>
        <w:pStyle w:val="SingleTxtG"/>
      </w:pPr>
      <w:r>
        <w:t>30</w:t>
      </w:r>
      <w:r w:rsidR="00D34402">
        <w:t>.</w:t>
      </w:r>
      <w:r w:rsidR="00D34402">
        <w:tab/>
        <w:t xml:space="preserve">Le Groupe de travail a confirmé la correction proposée aux Lignes directrices relatives au certificat d’agrément selon le 9.1.3 de l’ADR adoptées par le Groupe de travail à sa quatre-vingt-dix-septième session (voir ECE/TRANS/WP.15/226, annexe II) et a prié </w:t>
      </w:r>
      <w:r w:rsidR="00D34402">
        <w:lastRenderedPageBreak/>
        <w:t>le secrétariat de mettre à jour les versions publiées sur le site Internet du secrétariat de la Commission économique des Nations Unies pour l’Europe (voir annexe</w:t>
      </w:r>
      <w:r>
        <w:t xml:space="preserve"> I</w:t>
      </w:r>
      <w:r w:rsidR="00740BC2">
        <w:t>V</w:t>
      </w:r>
      <w:r>
        <w:t>).</w:t>
      </w:r>
    </w:p>
    <w:p w14:paraId="5A480E59" w14:textId="6FE63F94" w:rsidR="00B67CD5" w:rsidRPr="003659AC" w:rsidRDefault="00B67CD5" w:rsidP="00B67CD5">
      <w:pPr>
        <w:pStyle w:val="H1G"/>
      </w:pPr>
      <w:r>
        <w:tab/>
        <w:t>B</w:t>
      </w:r>
      <w:r w:rsidRPr="003659AC">
        <w:t>.</w:t>
      </w:r>
      <w:r w:rsidRPr="003659AC">
        <w:tab/>
      </w:r>
      <w:r>
        <w:t>Propositions diverses</w:t>
      </w:r>
    </w:p>
    <w:p w14:paraId="195B43ED" w14:textId="77777777" w:rsidR="00B67CD5" w:rsidRDefault="00B67CD5" w:rsidP="00B67CD5">
      <w:pPr>
        <w:pStyle w:val="H23G"/>
      </w:pPr>
      <w:r>
        <w:tab/>
        <w:t>1.</w:t>
      </w:r>
      <w:r>
        <w:tab/>
      </w:r>
      <w:r w:rsidRPr="002C53EE">
        <w:t xml:space="preserve">Application </w:t>
      </w:r>
      <w:proofErr w:type="spellStart"/>
      <w:r w:rsidRPr="002C53EE">
        <w:t>des</w:t>
      </w:r>
      <w:proofErr w:type="spellEnd"/>
      <w:r w:rsidRPr="002C53EE">
        <w:t xml:space="preserve"> Nos ONU 3166 et 3171 aux véhicules en tant que chargement et limites de carburant des moteurs hybrides gaz-liquide sur des remorques</w:t>
      </w:r>
    </w:p>
    <w:p w14:paraId="5D499B89" w14:textId="77777777" w:rsidR="00B67CD5" w:rsidRDefault="00B67CD5" w:rsidP="00B67CD5">
      <w:pPr>
        <w:pStyle w:val="SingleTxtG"/>
        <w:tabs>
          <w:tab w:val="left" w:pos="1418"/>
        </w:tabs>
        <w:ind w:left="3119" w:hanging="1985"/>
        <w:jc w:val="left"/>
      </w:pPr>
      <w:r>
        <w:rPr>
          <w:i/>
        </w:rPr>
        <w:t>Document</w:t>
      </w:r>
      <w:r>
        <w:t>:</w:t>
      </w:r>
      <w:r>
        <w:tab/>
        <w:t>ECE/TRANS/WP.15/2017/4 (Suisse)</w:t>
      </w:r>
    </w:p>
    <w:p w14:paraId="6BE0B8B3" w14:textId="5C6E1C68" w:rsidR="00B67CD5" w:rsidRDefault="0000121E" w:rsidP="00B67CD5">
      <w:pPr>
        <w:pStyle w:val="SingleTxtG"/>
      </w:pPr>
      <w:r>
        <w:t>31</w:t>
      </w:r>
      <w:r w:rsidR="00B67CD5">
        <w:t>.</w:t>
      </w:r>
      <w:r w:rsidR="00B67CD5">
        <w:tab/>
        <w:t xml:space="preserve">Plusieurs délégations considéraient que la proposition de la Suisse concernait également les véhicules et wagons transportés en tant que chargement sur des wagons ou des navires. Après discussion, le Groupe de travail a invité le représentant de la Suisse à transmettre sa proposition à la Réunion commune. </w:t>
      </w:r>
    </w:p>
    <w:p w14:paraId="25369ACA" w14:textId="77777777" w:rsidR="00B67CD5" w:rsidRDefault="00B67CD5" w:rsidP="00B67CD5">
      <w:pPr>
        <w:pStyle w:val="H23G"/>
      </w:pPr>
      <w:r>
        <w:tab/>
        <w:t>2.</w:t>
      </w:r>
      <w:r>
        <w:tab/>
        <w:t xml:space="preserve">5.4.1.1.1 </w:t>
      </w:r>
      <w:r w:rsidRPr="002F718B">
        <w:t xml:space="preserve">f) </w:t>
      </w:r>
      <w:r>
        <w:t>et transport conformément au</w:t>
      </w:r>
      <w:r w:rsidRPr="002F718B">
        <w:t xml:space="preserve"> 1.1.3.6</w:t>
      </w:r>
    </w:p>
    <w:p w14:paraId="3ADD05FC" w14:textId="77777777" w:rsidR="00B67CD5" w:rsidRDefault="00B67CD5" w:rsidP="00B67CD5">
      <w:pPr>
        <w:pStyle w:val="SingleTxtG"/>
        <w:tabs>
          <w:tab w:val="left" w:pos="1418"/>
        </w:tabs>
        <w:ind w:left="3119" w:hanging="1985"/>
        <w:jc w:val="left"/>
      </w:pPr>
      <w:r>
        <w:rPr>
          <w:i/>
        </w:rPr>
        <w:t>Document</w:t>
      </w:r>
      <w:r>
        <w:t>:</w:t>
      </w:r>
      <w:r>
        <w:tab/>
        <w:t>ECE/TRANS/WP.15/2017/5 (Suède et IRU)</w:t>
      </w:r>
    </w:p>
    <w:p w14:paraId="4C3B73C8" w14:textId="77777777" w:rsidR="00B67CD5" w:rsidRDefault="00B67CD5" w:rsidP="00B67CD5">
      <w:pPr>
        <w:pStyle w:val="SingleTxtG"/>
        <w:tabs>
          <w:tab w:val="left" w:pos="1418"/>
        </w:tabs>
        <w:ind w:left="3119" w:hanging="1985"/>
        <w:jc w:val="left"/>
      </w:pPr>
      <w:r>
        <w:rPr>
          <w:i/>
        </w:rPr>
        <w:t>Document informel</w:t>
      </w:r>
      <w:r w:rsidRPr="00252359">
        <w:t>:</w:t>
      </w:r>
      <w:r>
        <w:tab/>
        <w:t>INF.16 (IRU)</w:t>
      </w:r>
    </w:p>
    <w:p w14:paraId="1FD59454" w14:textId="4C72239E" w:rsidR="00B67CD5" w:rsidRPr="00B3449E" w:rsidRDefault="0000121E" w:rsidP="00B67CD5">
      <w:pPr>
        <w:spacing w:after="120"/>
        <w:ind w:left="1134" w:right="1134"/>
        <w:jc w:val="both"/>
        <w:rPr>
          <w:lang w:val="fr-FR"/>
        </w:rPr>
      </w:pPr>
      <w:r>
        <w:rPr>
          <w:lang w:val="fr-FR"/>
        </w:rPr>
        <w:t>32</w:t>
      </w:r>
      <w:r w:rsidR="00B67CD5">
        <w:rPr>
          <w:lang w:val="fr-FR"/>
        </w:rPr>
        <w:t>.</w:t>
      </w:r>
      <w:r w:rsidR="00B67CD5">
        <w:rPr>
          <w:lang w:val="fr-FR"/>
        </w:rPr>
        <w:tab/>
      </w:r>
      <w:r w:rsidR="00B67CD5" w:rsidRPr="00B3449E">
        <w:rPr>
          <w:lang w:val="fr-FR"/>
        </w:rPr>
        <w:t>Mise</w:t>
      </w:r>
      <w:r w:rsidR="00B67CD5">
        <w:rPr>
          <w:lang w:val="fr-FR"/>
        </w:rPr>
        <w:t>s</w:t>
      </w:r>
      <w:r w:rsidR="00B67CD5" w:rsidRPr="00B3449E">
        <w:rPr>
          <w:lang w:val="fr-FR"/>
        </w:rPr>
        <w:t xml:space="preserve"> aux voix, </w:t>
      </w:r>
      <w:r w:rsidR="00B67CD5">
        <w:rPr>
          <w:lang w:val="fr-FR"/>
        </w:rPr>
        <w:t>les trois</w:t>
      </w:r>
      <w:r w:rsidR="00B67CD5" w:rsidRPr="00B3449E">
        <w:rPr>
          <w:lang w:val="fr-FR"/>
        </w:rPr>
        <w:t xml:space="preserve"> proposition</w:t>
      </w:r>
      <w:r w:rsidR="00B67CD5">
        <w:rPr>
          <w:lang w:val="fr-FR"/>
        </w:rPr>
        <w:t xml:space="preserve">s ont </w:t>
      </w:r>
      <w:r w:rsidR="00B67CD5" w:rsidRPr="00B3449E">
        <w:rPr>
          <w:lang w:val="fr-FR"/>
        </w:rPr>
        <w:t>été adoptée</w:t>
      </w:r>
      <w:r w:rsidR="00B67CD5">
        <w:rPr>
          <w:lang w:val="fr-FR"/>
        </w:rPr>
        <w:t>s</w:t>
      </w:r>
      <w:r w:rsidR="00B67CD5" w:rsidRPr="00B3449E">
        <w:rPr>
          <w:lang w:val="fr-FR"/>
        </w:rPr>
        <w:t xml:space="preserve"> pour </w:t>
      </w:r>
      <w:proofErr w:type="spellStart"/>
      <w:r w:rsidR="00B67CD5" w:rsidRPr="00B3449E">
        <w:rPr>
          <w:lang w:val="fr-FR"/>
        </w:rPr>
        <w:t>entrée</w:t>
      </w:r>
      <w:proofErr w:type="spellEnd"/>
      <w:r w:rsidR="00B67CD5" w:rsidRPr="00B3449E">
        <w:rPr>
          <w:lang w:val="fr-FR"/>
        </w:rPr>
        <w:t xml:space="preserve"> en vigueur au 1</w:t>
      </w:r>
      <w:r w:rsidR="00B67CD5" w:rsidRPr="00B3449E">
        <w:rPr>
          <w:vertAlign w:val="superscript"/>
          <w:lang w:val="fr-FR"/>
        </w:rPr>
        <w:t>er</w:t>
      </w:r>
      <w:r w:rsidR="00B67CD5">
        <w:rPr>
          <w:lang w:val="fr-FR"/>
        </w:rPr>
        <w:t> </w:t>
      </w:r>
      <w:r w:rsidR="00B67CD5" w:rsidRPr="00B3449E">
        <w:rPr>
          <w:lang w:val="fr-FR"/>
        </w:rPr>
        <w:t>janvier 201</w:t>
      </w:r>
      <w:r w:rsidR="00B67CD5">
        <w:rPr>
          <w:lang w:val="fr-FR"/>
        </w:rPr>
        <w:t>9 avec quelques modifications</w:t>
      </w:r>
      <w:r w:rsidR="00B67CD5" w:rsidRPr="00B3449E">
        <w:rPr>
          <w:lang w:val="fr-FR"/>
        </w:rPr>
        <w:t xml:space="preserve"> (voir annexe</w:t>
      </w:r>
      <w:r w:rsidR="00B67CD5">
        <w:rPr>
          <w:lang w:val="fr-FR"/>
        </w:rPr>
        <w:t xml:space="preserve"> </w:t>
      </w:r>
      <w:r>
        <w:rPr>
          <w:lang w:val="fr-FR"/>
        </w:rPr>
        <w:t>I</w:t>
      </w:r>
      <w:r w:rsidRPr="00B3449E">
        <w:rPr>
          <w:lang w:val="fr-FR"/>
        </w:rPr>
        <w:t>).</w:t>
      </w:r>
    </w:p>
    <w:p w14:paraId="5FA817BB" w14:textId="77777777" w:rsidR="00B67CD5" w:rsidRDefault="00B67CD5" w:rsidP="00B67CD5">
      <w:pPr>
        <w:pStyle w:val="H23G"/>
      </w:pPr>
      <w:r>
        <w:tab/>
        <w:t>3.</w:t>
      </w:r>
      <w:r>
        <w:tab/>
      </w:r>
      <w:r w:rsidRPr="002C53EE">
        <w:t>Proposition de définition du transport par des particuliers selon le 1.1.3.1 a)</w:t>
      </w:r>
    </w:p>
    <w:p w14:paraId="4EA34A22" w14:textId="77777777" w:rsidR="00B67CD5" w:rsidRDefault="00B67CD5" w:rsidP="00B67CD5">
      <w:pPr>
        <w:pStyle w:val="SingleTxtG"/>
        <w:tabs>
          <w:tab w:val="left" w:pos="1418"/>
        </w:tabs>
        <w:ind w:left="3119" w:hanging="1985"/>
        <w:jc w:val="left"/>
      </w:pPr>
      <w:r>
        <w:rPr>
          <w:i/>
        </w:rPr>
        <w:t>Document</w:t>
      </w:r>
      <w:r>
        <w:t>:</w:t>
      </w:r>
      <w:r>
        <w:tab/>
        <w:t>ECE/TRANS/WP.15/2017/9 (Suisse)</w:t>
      </w:r>
    </w:p>
    <w:p w14:paraId="695FD516" w14:textId="77777777" w:rsidR="00B67CD5" w:rsidRDefault="00B67CD5" w:rsidP="00B67CD5">
      <w:pPr>
        <w:pStyle w:val="SingleTxtG"/>
        <w:tabs>
          <w:tab w:val="left" w:pos="1418"/>
        </w:tabs>
        <w:ind w:left="3119" w:hanging="1985"/>
        <w:jc w:val="left"/>
      </w:pPr>
      <w:r>
        <w:rPr>
          <w:i/>
        </w:rPr>
        <w:t>Document informel</w:t>
      </w:r>
      <w:r w:rsidRPr="00252359">
        <w:t>:</w:t>
      </w:r>
      <w:r>
        <w:tab/>
        <w:t>INF.5 (Suisse)</w:t>
      </w:r>
    </w:p>
    <w:p w14:paraId="1C7EABEC" w14:textId="3568D0D8" w:rsidR="00B67CD5" w:rsidRDefault="0000121E" w:rsidP="00B67CD5">
      <w:pPr>
        <w:spacing w:after="120"/>
        <w:ind w:left="1134" w:right="1134"/>
        <w:jc w:val="both"/>
        <w:rPr>
          <w:lang w:val="fr-FR"/>
        </w:rPr>
      </w:pPr>
      <w:r>
        <w:rPr>
          <w:lang w:val="fr-FR"/>
        </w:rPr>
        <w:t>33</w:t>
      </w:r>
      <w:r w:rsidR="00B67CD5">
        <w:rPr>
          <w:lang w:val="fr-FR"/>
        </w:rPr>
        <w:t>.</w:t>
      </w:r>
      <w:r w:rsidR="00B67CD5">
        <w:rPr>
          <w:lang w:val="fr-FR"/>
        </w:rPr>
        <w:tab/>
        <w:t xml:space="preserve">Le Groupe de travail a remercié le représentant de la Suisse pour son document qui présentait une synthèse des discussions ayant déjà eu lieu au sein du Groupe de travail. </w:t>
      </w:r>
    </w:p>
    <w:p w14:paraId="42964B09" w14:textId="080665F8" w:rsidR="00B67CD5" w:rsidRDefault="0000121E" w:rsidP="00B67CD5">
      <w:pPr>
        <w:spacing w:after="120"/>
        <w:ind w:left="1134" w:right="1134"/>
        <w:jc w:val="both"/>
        <w:rPr>
          <w:lang w:val="fr-FR"/>
        </w:rPr>
      </w:pPr>
      <w:r>
        <w:rPr>
          <w:lang w:val="fr-FR"/>
        </w:rPr>
        <w:t>34</w:t>
      </w:r>
      <w:r w:rsidR="00B67CD5">
        <w:rPr>
          <w:lang w:val="fr-FR"/>
        </w:rPr>
        <w:t>.</w:t>
      </w:r>
      <w:r w:rsidR="00B67CD5">
        <w:rPr>
          <w:lang w:val="fr-FR"/>
        </w:rPr>
        <w:tab/>
        <w:t>Le Groupe de travail a noté que les exemptions du 1.1.3.1 a) étaient interprétées et mises en œuvre différemment dans les pays des délégations qui se sont prononcées et qu’il était difficile de clarifier la portée du 1.1.3.1 a) dans ces conditions. Plusieurs délégations considéraient que les modifications proposées ne résolvaient pas les problèmes soulevés. Certaines délégations ont estimé que cette question concernait également le RID.</w:t>
      </w:r>
    </w:p>
    <w:p w14:paraId="1AC96AFE" w14:textId="514A9CA6" w:rsidR="00B67CD5" w:rsidRDefault="0000121E" w:rsidP="00B67CD5">
      <w:pPr>
        <w:spacing w:after="120"/>
        <w:ind w:left="1134" w:right="1134"/>
        <w:jc w:val="both"/>
        <w:rPr>
          <w:lang w:val="fr-FR"/>
        </w:rPr>
      </w:pPr>
      <w:r>
        <w:rPr>
          <w:lang w:val="fr-FR"/>
        </w:rPr>
        <w:t>35</w:t>
      </w:r>
      <w:r w:rsidR="00B67CD5">
        <w:rPr>
          <w:lang w:val="fr-FR"/>
        </w:rPr>
        <w:t>.</w:t>
      </w:r>
      <w:r w:rsidR="00B67CD5">
        <w:rPr>
          <w:lang w:val="fr-FR"/>
        </w:rPr>
        <w:tab/>
        <w:t>Le représentant de la Suisse a retiré sa proposition pour cette session et tiendra compte des commentaires reçus pour répondre aux questions qui se posent.</w:t>
      </w:r>
    </w:p>
    <w:p w14:paraId="3C1A5A21" w14:textId="32B9CFC6" w:rsidR="00B67CD5" w:rsidRDefault="00B67CD5" w:rsidP="00B67CD5">
      <w:pPr>
        <w:pStyle w:val="H23G"/>
      </w:pPr>
      <w:r>
        <w:tab/>
        <w:t>4.</w:t>
      </w:r>
      <w:r>
        <w:tab/>
      </w:r>
      <w:r w:rsidRPr="007C331E">
        <w:t>Référence au Code de bonne</w:t>
      </w:r>
      <w:r w:rsidR="0000121E">
        <w:t>s</w:t>
      </w:r>
      <w:r w:rsidRPr="007C331E">
        <w:t xml:space="preserve"> pratique</w:t>
      </w:r>
      <w:r w:rsidR="0000121E">
        <w:t>s</w:t>
      </w:r>
      <w:r w:rsidRPr="007C331E">
        <w:t xml:space="preserve"> OMI/OIT/CEE pour le chargement des cargaisons dans des engins de transport (Code CTU)</w:t>
      </w:r>
    </w:p>
    <w:p w14:paraId="5A00853E" w14:textId="77777777" w:rsidR="00B67CD5" w:rsidRDefault="00B67CD5" w:rsidP="00B67CD5">
      <w:pPr>
        <w:pStyle w:val="SingleTxtG"/>
        <w:tabs>
          <w:tab w:val="left" w:pos="1418"/>
        </w:tabs>
        <w:ind w:left="3119" w:hanging="1985"/>
        <w:jc w:val="left"/>
      </w:pPr>
      <w:r>
        <w:rPr>
          <w:i/>
        </w:rPr>
        <w:t>Document</w:t>
      </w:r>
      <w:r>
        <w:t>:</w:t>
      </w:r>
      <w:r>
        <w:tab/>
        <w:t>ECE/TRANS/WP.15/2017/12 (Secrétariat)</w:t>
      </w:r>
    </w:p>
    <w:p w14:paraId="610492E2" w14:textId="30B6BABC" w:rsidR="00B67CD5" w:rsidRDefault="0000121E" w:rsidP="00B67CD5">
      <w:pPr>
        <w:pStyle w:val="SingleTxtG"/>
      </w:pPr>
      <w:r>
        <w:t>36</w:t>
      </w:r>
      <w:r w:rsidR="00B67CD5">
        <w:t>.</w:t>
      </w:r>
      <w:r w:rsidR="00B67CD5">
        <w:tab/>
        <w:t>Mise aux voix, la proposition visant à faire référence aux chapitres 9 et 10 du Code CTU dans la note de bas de page relative au 7.5.7.1 de l’ADR a été adoptée</w:t>
      </w:r>
      <w:r w:rsidR="00DD540B">
        <w:t xml:space="preserve"> (voir annexe I)</w:t>
      </w:r>
      <w:r w:rsidR="00B67CD5">
        <w:t>.</w:t>
      </w:r>
    </w:p>
    <w:p w14:paraId="0783CF82" w14:textId="6D267D9C" w:rsidR="00B67CD5" w:rsidRDefault="0000121E" w:rsidP="00B67CD5">
      <w:pPr>
        <w:pStyle w:val="SingleTxtG"/>
      </w:pPr>
      <w:r>
        <w:t>37</w:t>
      </w:r>
      <w:r w:rsidR="00B67CD5">
        <w:t>.</w:t>
      </w:r>
      <w:r w:rsidR="00B67CD5">
        <w:tab/>
        <w:t>La représentante de l’Allemagne a indiqué qu’elle pourrait présenter, à la prochaine session, une proposition visant à étendre cette référence à la totalité du code CTU.</w:t>
      </w:r>
    </w:p>
    <w:p w14:paraId="0924AD70" w14:textId="77777777" w:rsidR="00B67CD5" w:rsidRDefault="00B67CD5" w:rsidP="00B67CD5">
      <w:pPr>
        <w:pStyle w:val="H23G"/>
      </w:pPr>
      <w:r>
        <w:tab/>
        <w:t>5.</w:t>
      </w:r>
      <w:r>
        <w:tab/>
        <w:t>Augmentation de la q</w:t>
      </w:r>
      <w:r w:rsidRPr="0092400A">
        <w:t xml:space="preserve">uantité </w:t>
      </w:r>
      <w:r>
        <w:t>d’explosifs</w:t>
      </w:r>
      <w:r w:rsidRPr="0092400A">
        <w:t xml:space="preserve"> autorisée par unité de transport</w:t>
      </w:r>
    </w:p>
    <w:p w14:paraId="5F1E4CC5" w14:textId="77777777" w:rsidR="00B67CD5" w:rsidRDefault="00B67CD5" w:rsidP="00B67CD5">
      <w:pPr>
        <w:pStyle w:val="SingleTxtG"/>
        <w:tabs>
          <w:tab w:val="left" w:pos="1418"/>
        </w:tabs>
        <w:ind w:left="3119" w:hanging="1985"/>
        <w:jc w:val="left"/>
      </w:pPr>
      <w:r>
        <w:rPr>
          <w:i/>
        </w:rPr>
        <w:t>Document</w:t>
      </w:r>
      <w:r>
        <w:t>:</w:t>
      </w:r>
      <w:r>
        <w:tab/>
        <w:t>ECE/TRANS/WP.15/2017/8 (Espagne)</w:t>
      </w:r>
    </w:p>
    <w:p w14:paraId="28740C6A" w14:textId="0F033437" w:rsidR="00B67CD5" w:rsidRDefault="00B67CD5" w:rsidP="00B67CD5">
      <w:pPr>
        <w:pStyle w:val="SingleTxtG"/>
        <w:tabs>
          <w:tab w:val="left" w:pos="1418"/>
        </w:tabs>
        <w:ind w:left="3119" w:hanging="1985"/>
        <w:jc w:val="left"/>
      </w:pPr>
      <w:r>
        <w:rPr>
          <w:i/>
        </w:rPr>
        <w:t>Documents informels</w:t>
      </w:r>
      <w:r w:rsidRPr="00252359">
        <w:t>:</w:t>
      </w:r>
      <w:r>
        <w:tab/>
        <w:t>INF.7 (</w:t>
      </w:r>
      <w:r w:rsidR="00552182">
        <w:t>Irlande</w:t>
      </w:r>
      <w:r>
        <w:t>), INF.17 (</w:t>
      </w:r>
      <w:r w:rsidR="00552182">
        <w:t>Irlande et Espagne</w:t>
      </w:r>
      <w:r>
        <w:t xml:space="preserve">) </w:t>
      </w:r>
      <w:r w:rsidR="00552182">
        <w:t xml:space="preserve">et </w:t>
      </w:r>
      <w:r>
        <w:t>INF.20 (</w:t>
      </w:r>
      <w:r w:rsidR="00552182">
        <w:t>Espagne</w:t>
      </w:r>
      <w:r>
        <w:t>)</w:t>
      </w:r>
    </w:p>
    <w:p w14:paraId="070D191A" w14:textId="08F6DCA7" w:rsidR="00B67CD5" w:rsidRDefault="00552182" w:rsidP="00B67CD5">
      <w:pPr>
        <w:spacing w:after="120"/>
        <w:ind w:left="1134" w:right="1134"/>
        <w:jc w:val="both"/>
        <w:rPr>
          <w:lang w:val="fr-FR"/>
        </w:rPr>
      </w:pPr>
      <w:r>
        <w:rPr>
          <w:lang w:val="fr-FR"/>
        </w:rPr>
        <w:t>38</w:t>
      </w:r>
      <w:r w:rsidR="00B67CD5">
        <w:rPr>
          <w:lang w:val="fr-FR"/>
        </w:rPr>
        <w:t>.</w:t>
      </w:r>
      <w:r w:rsidR="00B67CD5">
        <w:rPr>
          <w:lang w:val="fr-FR"/>
        </w:rPr>
        <w:tab/>
        <w:t xml:space="preserve">La plupart des délégations qui se sont prononcées n’étaient pas en faveur de la proposition de l’Espagne d’augmenter la masse nette maximale autorisée par unité de </w:t>
      </w:r>
      <w:r w:rsidR="00B67CD5">
        <w:rPr>
          <w:lang w:val="fr-FR"/>
        </w:rPr>
        <w:lastRenderedPageBreak/>
        <w:t xml:space="preserve">transport pour les Nos ONU </w:t>
      </w:r>
      <w:r w:rsidR="00B67CD5" w:rsidRPr="00C067BB">
        <w:rPr>
          <w:lang w:val="fr-FR"/>
        </w:rPr>
        <w:t>0027, 0081, 0082, 0083, 0084, 0241, 0331 et 0332</w:t>
      </w:r>
      <w:r w:rsidR="00B67CD5">
        <w:rPr>
          <w:lang w:val="fr-FR"/>
        </w:rPr>
        <w:t xml:space="preserve"> en véhicules EX/III.</w:t>
      </w:r>
    </w:p>
    <w:p w14:paraId="1C889EB7" w14:textId="04419870" w:rsidR="00B67CD5" w:rsidRDefault="00552182" w:rsidP="00B67CD5">
      <w:pPr>
        <w:spacing w:after="120"/>
        <w:ind w:left="1134" w:right="1134"/>
        <w:jc w:val="both"/>
        <w:rPr>
          <w:lang w:val="fr-FR"/>
        </w:rPr>
      </w:pPr>
      <w:r>
        <w:rPr>
          <w:lang w:val="fr-FR"/>
        </w:rPr>
        <w:t>39</w:t>
      </w:r>
      <w:r w:rsidR="00B67CD5">
        <w:rPr>
          <w:lang w:val="fr-FR"/>
        </w:rPr>
        <w:t>.</w:t>
      </w:r>
      <w:r w:rsidR="00B67CD5">
        <w:rPr>
          <w:lang w:val="fr-FR"/>
        </w:rPr>
        <w:tab/>
        <w:t>Le représentant de l’Espagne a pris note des commentaires et réserves formulés et présentera une proposition révisée à une prochaine session afin de les prendre en compte et d’y apporter des réponses.</w:t>
      </w:r>
    </w:p>
    <w:p w14:paraId="75653C62" w14:textId="77777777" w:rsidR="00D34402" w:rsidRPr="00F078D1" w:rsidRDefault="00D34402" w:rsidP="00D34402">
      <w:pPr>
        <w:pStyle w:val="H23G"/>
        <w:rPr>
          <w:lang w:val="fr-FR"/>
        </w:rPr>
      </w:pPr>
      <w:r w:rsidRPr="00F078D1">
        <w:rPr>
          <w:lang w:val="fr-FR"/>
        </w:rPr>
        <w:tab/>
        <w:t>6.</w:t>
      </w:r>
      <w:r w:rsidRPr="00F078D1">
        <w:rPr>
          <w:lang w:val="fr-FR"/>
        </w:rPr>
        <w:tab/>
        <w:t>Signalisation orange lors d’un transport dans une chaîne de transport comportant un parcours maritime ou aérien</w:t>
      </w:r>
    </w:p>
    <w:p w14:paraId="47CA61F4" w14:textId="77777777" w:rsidR="00D34402" w:rsidRPr="00F078D1" w:rsidRDefault="00D34402" w:rsidP="00D34402">
      <w:pPr>
        <w:pStyle w:val="SingleTxtG"/>
        <w:tabs>
          <w:tab w:val="left" w:pos="1418"/>
        </w:tabs>
        <w:ind w:left="3119" w:hanging="1985"/>
        <w:jc w:val="left"/>
        <w:rPr>
          <w:lang w:val="fr-FR"/>
        </w:rPr>
      </w:pPr>
      <w:r w:rsidRPr="00F078D1">
        <w:rPr>
          <w:i/>
          <w:lang w:val="fr-FR"/>
        </w:rPr>
        <w:t>Document</w:t>
      </w:r>
      <w:r w:rsidRPr="00F078D1">
        <w:rPr>
          <w:lang w:val="fr-FR"/>
        </w:rPr>
        <w:t>:</w:t>
      </w:r>
      <w:r w:rsidRPr="00F078D1">
        <w:rPr>
          <w:lang w:val="fr-FR"/>
        </w:rPr>
        <w:tab/>
        <w:t>ECE/TRANS/WP.15/2017/2 (Suisse)</w:t>
      </w:r>
    </w:p>
    <w:p w14:paraId="3A1CAC47" w14:textId="77777777" w:rsidR="00D34402" w:rsidRPr="00F078D1" w:rsidRDefault="00D34402" w:rsidP="00D34402">
      <w:pPr>
        <w:pStyle w:val="SingleTxtG"/>
        <w:tabs>
          <w:tab w:val="left" w:pos="1418"/>
        </w:tabs>
        <w:ind w:left="3119" w:hanging="1985"/>
        <w:jc w:val="left"/>
        <w:rPr>
          <w:lang w:val="fr-FR"/>
        </w:rPr>
      </w:pPr>
      <w:r w:rsidRPr="00F078D1">
        <w:rPr>
          <w:i/>
          <w:lang w:val="fr-FR"/>
        </w:rPr>
        <w:t>Document informel</w:t>
      </w:r>
      <w:r w:rsidRPr="00F078D1">
        <w:rPr>
          <w:lang w:val="fr-FR"/>
        </w:rPr>
        <w:t>:</w:t>
      </w:r>
      <w:r w:rsidRPr="00F078D1">
        <w:rPr>
          <w:lang w:val="fr-FR"/>
        </w:rPr>
        <w:tab/>
        <w:t>INF.21 (Suisse et Norvège)</w:t>
      </w:r>
    </w:p>
    <w:p w14:paraId="7909E313" w14:textId="2B67D72F" w:rsidR="00D34402" w:rsidRDefault="00552182" w:rsidP="00D34402">
      <w:pPr>
        <w:pStyle w:val="SingleTxtG"/>
        <w:rPr>
          <w:lang w:val="fr-FR"/>
        </w:rPr>
      </w:pPr>
      <w:r>
        <w:rPr>
          <w:lang w:val="fr-FR"/>
        </w:rPr>
        <w:t>40</w:t>
      </w:r>
      <w:r w:rsidR="00D34402">
        <w:rPr>
          <w:lang w:val="fr-FR"/>
        </w:rPr>
        <w:t>.</w:t>
      </w:r>
      <w:r w:rsidR="00D34402">
        <w:rPr>
          <w:lang w:val="fr-FR"/>
        </w:rPr>
        <w:tab/>
        <w:t>Le Groupe de travail a confirmé que, nonobstant les dispositions du 1.1.4.2.2, l</w:t>
      </w:r>
      <w:r w:rsidR="00D34402" w:rsidRPr="00E64BF4">
        <w:rPr>
          <w:lang w:val="fr-FR"/>
        </w:rPr>
        <w:t xml:space="preserve">es unités de transport composées d’un ou de plusieurs véhicules, autres que celles transportant des conteneurs, citernes mobiles, conteneurs-citernes ou CGEM selon les dispositions prévues au 1.1.4.2.1 c), </w:t>
      </w:r>
      <w:r w:rsidR="00D34402" w:rsidRPr="0014613F">
        <w:rPr>
          <w:lang w:val="fr-FR"/>
        </w:rPr>
        <w:t>munis de plaques-étiquettes non conformes aux dispositions du 5.3.1 de l’ADR, mais dont les marques et plaques étiquettes sont conformes au chapitre 5.3 du Code IMDG</w:t>
      </w:r>
      <w:r w:rsidR="00D34402" w:rsidRPr="00E64BF4">
        <w:rPr>
          <w:lang w:val="fr-FR"/>
        </w:rPr>
        <w:t>, admises aux transports dans une chaîne de transport comportant un parcours maritime</w:t>
      </w:r>
      <w:r w:rsidR="00D34402">
        <w:rPr>
          <w:lang w:val="fr-FR"/>
        </w:rPr>
        <w:t>, n’ont pas à porter la signalisation orange dans les cas où celle-ci n’est pas requise par l’ADR (par exemple en application du 1.1.3.6).</w:t>
      </w:r>
    </w:p>
    <w:p w14:paraId="0B595474" w14:textId="31F969E0" w:rsidR="00D34402" w:rsidRDefault="00552182" w:rsidP="00D34402">
      <w:pPr>
        <w:pStyle w:val="SingleTxtG"/>
        <w:rPr>
          <w:lang w:val="fr-FR"/>
        </w:rPr>
      </w:pPr>
      <w:r>
        <w:rPr>
          <w:lang w:val="fr-FR"/>
        </w:rPr>
        <w:t>41</w:t>
      </w:r>
      <w:r w:rsidR="00D34402">
        <w:rPr>
          <w:lang w:val="fr-FR"/>
        </w:rPr>
        <w:t>.</w:t>
      </w:r>
      <w:r w:rsidR="00D34402">
        <w:rPr>
          <w:lang w:val="fr-FR"/>
        </w:rPr>
        <w:tab/>
        <w:t xml:space="preserve">La majorité des délégations ont estimé que cette interprétation n’était pas en contradiction avec la rédaction actuelle du 1.1.4.2.2. Mise aux voix, la proposition de la Suisse et de la Norvège visant à clarifier le texte en ce sens n’a pas été adoptée. </w:t>
      </w:r>
    </w:p>
    <w:p w14:paraId="7D09A60D" w14:textId="77777777" w:rsidR="00D34402" w:rsidRPr="00F078D1" w:rsidRDefault="00D34402" w:rsidP="00D34402">
      <w:pPr>
        <w:pStyle w:val="H23G"/>
        <w:rPr>
          <w:lang w:val="fr-FR"/>
        </w:rPr>
      </w:pPr>
      <w:r w:rsidRPr="00F078D1">
        <w:rPr>
          <w:lang w:val="fr-FR"/>
        </w:rPr>
        <w:tab/>
        <w:t>7.</w:t>
      </w:r>
      <w:r w:rsidRPr="00F078D1">
        <w:rPr>
          <w:lang w:val="fr-FR"/>
        </w:rPr>
        <w:tab/>
        <w:t>Application des restrictions en tunnel pour les rubriques des moteurs et machines, Nos ONU 3528, 3529 et 3530</w:t>
      </w:r>
    </w:p>
    <w:p w14:paraId="76343E99" w14:textId="77777777" w:rsidR="00D34402" w:rsidRPr="00F078D1" w:rsidRDefault="00D34402" w:rsidP="00D34402">
      <w:pPr>
        <w:pStyle w:val="SingleTxtG"/>
        <w:tabs>
          <w:tab w:val="left" w:pos="1418"/>
        </w:tabs>
        <w:ind w:left="3119" w:hanging="1985"/>
        <w:jc w:val="left"/>
        <w:rPr>
          <w:lang w:val="fr-FR"/>
        </w:rPr>
      </w:pPr>
      <w:r w:rsidRPr="00F078D1">
        <w:rPr>
          <w:i/>
          <w:lang w:val="fr-FR"/>
        </w:rPr>
        <w:t>Document</w:t>
      </w:r>
      <w:r w:rsidRPr="00F078D1">
        <w:rPr>
          <w:lang w:val="fr-FR"/>
        </w:rPr>
        <w:t>:</w:t>
      </w:r>
      <w:r w:rsidRPr="00F078D1">
        <w:rPr>
          <w:lang w:val="fr-FR"/>
        </w:rPr>
        <w:tab/>
        <w:t>ECE/TRANS/WP.15/2017/3 (Suisse)</w:t>
      </w:r>
    </w:p>
    <w:p w14:paraId="4D5279C7" w14:textId="77777777" w:rsidR="00D34402" w:rsidRPr="00F078D1" w:rsidRDefault="00D34402" w:rsidP="00D34402">
      <w:pPr>
        <w:pStyle w:val="SingleTxtG"/>
        <w:tabs>
          <w:tab w:val="left" w:pos="1418"/>
        </w:tabs>
        <w:ind w:left="3119" w:hanging="1985"/>
        <w:jc w:val="left"/>
        <w:rPr>
          <w:lang w:val="fr-FR"/>
        </w:rPr>
      </w:pPr>
      <w:r w:rsidRPr="00F078D1">
        <w:rPr>
          <w:i/>
          <w:lang w:val="fr-FR"/>
        </w:rPr>
        <w:t>Document informel</w:t>
      </w:r>
      <w:r w:rsidRPr="00F078D1">
        <w:rPr>
          <w:lang w:val="fr-FR"/>
        </w:rPr>
        <w:t>:</w:t>
      </w:r>
      <w:r w:rsidRPr="00F078D1">
        <w:rPr>
          <w:lang w:val="fr-FR"/>
        </w:rPr>
        <w:tab/>
        <w:t>INF.19 (Suisse)</w:t>
      </w:r>
    </w:p>
    <w:p w14:paraId="7016AD6B" w14:textId="19641394" w:rsidR="00D34402" w:rsidRDefault="00552182" w:rsidP="00D34402">
      <w:pPr>
        <w:pStyle w:val="SingleTxtG"/>
        <w:rPr>
          <w:lang w:val="fr-FR"/>
        </w:rPr>
      </w:pPr>
      <w:r>
        <w:rPr>
          <w:lang w:val="fr-FR"/>
        </w:rPr>
        <w:t>42</w:t>
      </w:r>
      <w:r w:rsidR="00D34402">
        <w:rPr>
          <w:lang w:val="fr-FR"/>
        </w:rPr>
        <w:t>.</w:t>
      </w:r>
      <w:r w:rsidR="00D34402">
        <w:rPr>
          <w:lang w:val="fr-FR"/>
        </w:rPr>
        <w:tab/>
      </w:r>
      <w:r w:rsidR="00D34402" w:rsidRPr="00F078D1">
        <w:rPr>
          <w:lang w:val="fr-FR"/>
        </w:rPr>
        <w:t xml:space="preserve">Le Groupe de travail s’est exprimé en faveur de dispositions visant à requérir, en vue de l’application de restrictions d’accès dans les tunnels, des panneaux orange pour les véhicules transportant des moteurs ou machines </w:t>
      </w:r>
      <w:proofErr w:type="spellStart"/>
      <w:r w:rsidR="00D34402" w:rsidRPr="00F078D1">
        <w:rPr>
          <w:lang w:val="fr-FR"/>
        </w:rPr>
        <w:t>d</w:t>
      </w:r>
      <w:r w:rsidR="00D34402">
        <w:rPr>
          <w:lang w:val="fr-FR"/>
        </w:rPr>
        <w:t>es</w:t>
      </w:r>
      <w:proofErr w:type="spellEnd"/>
      <w:r w:rsidR="00D34402">
        <w:rPr>
          <w:lang w:val="fr-FR"/>
        </w:rPr>
        <w:t xml:space="preserve"> Nos ONU 3528, 3529 et 3530 selon la disposition spéciale 363.</w:t>
      </w:r>
    </w:p>
    <w:p w14:paraId="3107D1D1" w14:textId="26DAF4FE" w:rsidR="00D34402" w:rsidRDefault="00552182" w:rsidP="00D34402">
      <w:pPr>
        <w:pStyle w:val="SingleTxtG"/>
        <w:rPr>
          <w:lang w:bidi="fr-CH"/>
        </w:rPr>
      </w:pPr>
      <w:r>
        <w:rPr>
          <w:lang w:val="fr-FR"/>
        </w:rPr>
        <w:t>43</w:t>
      </w:r>
      <w:r w:rsidR="00D34402">
        <w:rPr>
          <w:lang w:val="fr-FR"/>
        </w:rPr>
        <w:t>.</w:t>
      </w:r>
      <w:r w:rsidR="00D34402">
        <w:rPr>
          <w:lang w:val="fr-FR"/>
        </w:rPr>
        <w:tab/>
        <w:t xml:space="preserve">Le représentant de la Suisse a préparé une proposition révisée dans le document informel INF.19 afin de tenir compte des commentaires formulés en session et des amendements à la disposition spéciale 363 préparés par le </w:t>
      </w:r>
      <w:r w:rsidR="00D34402" w:rsidRPr="005C53B5">
        <w:rPr>
          <w:lang w:bidi="fr-CH"/>
        </w:rPr>
        <w:t xml:space="preserve">Groupe de travail spécial de l’harmonisation </w:t>
      </w:r>
      <w:r w:rsidR="00D34402">
        <w:rPr>
          <w:lang w:bidi="fr-CH"/>
        </w:rPr>
        <w:t>d</w:t>
      </w:r>
      <w:r w:rsidR="00D34402" w:rsidRPr="005C53B5">
        <w:rPr>
          <w:lang w:bidi="fr-CH"/>
        </w:rPr>
        <w:t>es Règlements RID/ADR/ADN avec les Recommandations de</w:t>
      </w:r>
      <w:r w:rsidR="00D34402">
        <w:rPr>
          <w:lang w:bidi="fr-CH"/>
        </w:rPr>
        <w:t>s Nations Unies</w:t>
      </w:r>
      <w:r w:rsidR="00D34402" w:rsidRPr="005C53B5">
        <w:rPr>
          <w:lang w:bidi="fr-CH"/>
        </w:rPr>
        <w:t xml:space="preserve"> relatives au transport des marchandises dangereuses</w:t>
      </w:r>
      <w:r w:rsidR="00D34402">
        <w:rPr>
          <w:lang w:bidi="fr-CH"/>
        </w:rPr>
        <w:t xml:space="preserve"> qui seront discutés lors de la session d’automne 2017 de la Réunion commune.</w:t>
      </w:r>
    </w:p>
    <w:p w14:paraId="140900CA" w14:textId="3E14EED2" w:rsidR="00D34402" w:rsidRDefault="00552182" w:rsidP="00D34402">
      <w:pPr>
        <w:pStyle w:val="SingleTxtG"/>
      </w:pPr>
      <w:r>
        <w:rPr>
          <w:lang w:bidi="fr-CH"/>
        </w:rPr>
        <w:t>44</w:t>
      </w:r>
      <w:r w:rsidR="00D34402">
        <w:rPr>
          <w:lang w:bidi="fr-CH"/>
        </w:rPr>
        <w:t>.</w:t>
      </w:r>
      <w:r w:rsidR="00D34402">
        <w:rPr>
          <w:lang w:bidi="fr-CH"/>
        </w:rPr>
        <w:tab/>
        <w:t xml:space="preserve">Mises aux voix, la proposition 1 a été adoptée avec quelques modifications et la proposition 2 a été adoptée avec des amendements de conséquence au 1.9.5 </w:t>
      </w:r>
      <w:r w:rsidR="00D34402">
        <w:t xml:space="preserve">(voir annexe </w:t>
      </w:r>
      <w:r>
        <w:t>I).</w:t>
      </w:r>
    </w:p>
    <w:p w14:paraId="38701243" w14:textId="77777777" w:rsidR="00D34402" w:rsidRPr="00F078D1" w:rsidRDefault="00D34402" w:rsidP="00D34402">
      <w:pPr>
        <w:pStyle w:val="H23G"/>
        <w:rPr>
          <w:lang w:val="fr-FR"/>
        </w:rPr>
      </w:pPr>
      <w:r w:rsidRPr="00F078D1">
        <w:rPr>
          <w:lang w:val="fr-FR"/>
        </w:rPr>
        <w:tab/>
        <w:t>8.</w:t>
      </w:r>
      <w:r w:rsidRPr="00F078D1">
        <w:rPr>
          <w:lang w:val="fr-FR"/>
        </w:rPr>
        <w:tab/>
        <w:t>Proposition d’amendement des 5.3.2.1.4 et 5.3.2.1.6</w:t>
      </w:r>
    </w:p>
    <w:p w14:paraId="3E7955C1" w14:textId="77777777" w:rsidR="00D34402" w:rsidRDefault="00D34402" w:rsidP="00D34402">
      <w:pPr>
        <w:pStyle w:val="SingleTxtG"/>
        <w:tabs>
          <w:tab w:val="left" w:pos="1418"/>
        </w:tabs>
        <w:ind w:left="3119" w:hanging="1985"/>
        <w:jc w:val="left"/>
        <w:rPr>
          <w:lang w:val="fr-FR"/>
        </w:rPr>
      </w:pPr>
      <w:r w:rsidRPr="00F078D1">
        <w:rPr>
          <w:i/>
          <w:lang w:val="fr-FR"/>
        </w:rPr>
        <w:t>Document</w:t>
      </w:r>
      <w:r w:rsidRPr="00F078D1">
        <w:rPr>
          <w:lang w:val="fr-FR"/>
        </w:rPr>
        <w:t>:</w:t>
      </w:r>
      <w:r w:rsidRPr="00F078D1">
        <w:rPr>
          <w:lang w:val="fr-FR"/>
        </w:rPr>
        <w:tab/>
        <w:t>ECE/TRANS/WP.15/2017/10 (Autriche)</w:t>
      </w:r>
    </w:p>
    <w:p w14:paraId="4FDB968B" w14:textId="48D6F8EE" w:rsidR="00D34402" w:rsidRPr="005F7F51" w:rsidRDefault="00147929" w:rsidP="00D34402">
      <w:pPr>
        <w:pStyle w:val="SingleTxtG"/>
      </w:pPr>
      <w:r>
        <w:t>45</w:t>
      </w:r>
      <w:r w:rsidR="00D34402" w:rsidRPr="005F7F51">
        <w:t>.</w:t>
      </w:r>
      <w:r w:rsidR="00D34402" w:rsidRPr="005F7F51">
        <w:tab/>
        <w:t xml:space="preserve">Mise aux voix, la proposition de modification du 5.3.2.1.6 a été adoptée et sera maintenue entre crochets pour confirmation à la prochaine session (voir annexe </w:t>
      </w:r>
      <w:r>
        <w:t>I</w:t>
      </w:r>
      <w:r w:rsidRPr="005F7F51">
        <w:t xml:space="preserve">). </w:t>
      </w:r>
      <w:r w:rsidR="00D34402" w:rsidRPr="005F7F51">
        <w:t xml:space="preserve">Mise aux voix, la proposition de modification du 5.3.2.1.4 a été adoptée avec une modification (voir annexe </w:t>
      </w:r>
      <w:r>
        <w:t>I</w:t>
      </w:r>
      <w:r w:rsidRPr="005F7F51">
        <w:t xml:space="preserve">). </w:t>
      </w:r>
    </w:p>
    <w:p w14:paraId="362B2CA3" w14:textId="1CEE65BF" w:rsidR="00D34402" w:rsidRPr="00F078D1" w:rsidRDefault="00D34402" w:rsidP="00D34402">
      <w:pPr>
        <w:pStyle w:val="H23G"/>
        <w:rPr>
          <w:lang w:val="fr-FR"/>
        </w:rPr>
      </w:pPr>
      <w:r w:rsidRPr="00F078D1">
        <w:rPr>
          <w:lang w:val="fr-FR"/>
        </w:rPr>
        <w:lastRenderedPageBreak/>
        <w:tab/>
        <w:t>9.</w:t>
      </w:r>
      <w:r w:rsidRPr="00F078D1">
        <w:rPr>
          <w:lang w:val="fr-FR"/>
        </w:rPr>
        <w:tab/>
      </w:r>
      <w:r>
        <w:rPr>
          <w:lang w:val="fr-FR"/>
        </w:rPr>
        <w:t xml:space="preserve">Amendement au </w:t>
      </w:r>
      <w:r w:rsidRPr="00F078D1">
        <w:rPr>
          <w:lang w:val="fr-FR"/>
        </w:rPr>
        <w:t xml:space="preserve">8.1.2.1 a) </w:t>
      </w:r>
    </w:p>
    <w:p w14:paraId="315C3066" w14:textId="77777777" w:rsidR="00D34402" w:rsidRPr="00F078D1" w:rsidRDefault="00D34402" w:rsidP="00D34402">
      <w:pPr>
        <w:pStyle w:val="SingleTxtG"/>
        <w:tabs>
          <w:tab w:val="left" w:pos="1418"/>
        </w:tabs>
        <w:ind w:left="3119" w:hanging="1985"/>
        <w:jc w:val="left"/>
        <w:rPr>
          <w:lang w:val="fr-FR"/>
        </w:rPr>
      </w:pPr>
      <w:r w:rsidRPr="00F078D1">
        <w:rPr>
          <w:i/>
          <w:lang w:val="fr-FR"/>
        </w:rPr>
        <w:t>Document informel</w:t>
      </w:r>
      <w:r w:rsidRPr="00F078D1">
        <w:rPr>
          <w:lang w:val="fr-FR"/>
        </w:rPr>
        <w:t>:</w:t>
      </w:r>
      <w:r w:rsidRPr="00F078D1">
        <w:rPr>
          <w:lang w:val="fr-FR"/>
        </w:rPr>
        <w:tab/>
        <w:t>INF.3 (Suède)</w:t>
      </w:r>
    </w:p>
    <w:p w14:paraId="38B981F6" w14:textId="2FA1F55F" w:rsidR="00D34402" w:rsidRPr="00F60BC4" w:rsidRDefault="00147929" w:rsidP="00D34402">
      <w:pPr>
        <w:pStyle w:val="SingleTxtG"/>
      </w:pPr>
      <w:r>
        <w:t>46</w:t>
      </w:r>
      <w:r w:rsidR="00D34402">
        <w:t>.</w:t>
      </w:r>
      <w:r w:rsidR="00D34402">
        <w:tab/>
        <w:t xml:space="preserve">La proposition de la Suède a été adoptée (voir annexe </w:t>
      </w:r>
      <w:r w:rsidR="0022452E">
        <w:t xml:space="preserve">I). </w:t>
      </w:r>
    </w:p>
    <w:p w14:paraId="3FBB8A17" w14:textId="77777777" w:rsidR="00D34402" w:rsidRPr="00F078D1" w:rsidRDefault="00D34402" w:rsidP="00D34402">
      <w:pPr>
        <w:pStyle w:val="H23G"/>
        <w:rPr>
          <w:lang w:val="fr-FR"/>
        </w:rPr>
      </w:pPr>
      <w:r w:rsidRPr="00F078D1">
        <w:rPr>
          <w:lang w:val="fr-FR"/>
        </w:rPr>
        <w:tab/>
        <w:t>10.</w:t>
      </w:r>
      <w:r w:rsidRPr="00F078D1">
        <w:rPr>
          <w:lang w:val="fr-FR"/>
        </w:rPr>
        <w:tab/>
        <w:t>Correction au 6.8.2.4.3</w:t>
      </w:r>
    </w:p>
    <w:p w14:paraId="18AD7863" w14:textId="77777777" w:rsidR="00D34402" w:rsidRPr="00F078D1" w:rsidRDefault="00D34402" w:rsidP="00D34402">
      <w:pPr>
        <w:pStyle w:val="SingleTxtG"/>
        <w:tabs>
          <w:tab w:val="left" w:pos="1418"/>
        </w:tabs>
        <w:ind w:left="3119" w:hanging="1985"/>
        <w:jc w:val="left"/>
        <w:rPr>
          <w:lang w:val="fr-FR"/>
        </w:rPr>
      </w:pPr>
      <w:r w:rsidRPr="00F078D1">
        <w:rPr>
          <w:i/>
          <w:lang w:val="fr-FR"/>
        </w:rPr>
        <w:t>Document informel</w:t>
      </w:r>
      <w:r w:rsidRPr="00F078D1">
        <w:rPr>
          <w:lang w:val="fr-FR"/>
        </w:rPr>
        <w:t>:</w:t>
      </w:r>
      <w:r w:rsidRPr="00F078D1">
        <w:rPr>
          <w:lang w:val="fr-FR"/>
        </w:rPr>
        <w:tab/>
        <w:t>INF.14 (France)</w:t>
      </w:r>
    </w:p>
    <w:p w14:paraId="51F0343F" w14:textId="555887B6" w:rsidR="00D34402" w:rsidRDefault="0022452E" w:rsidP="00D34402">
      <w:pPr>
        <w:pStyle w:val="SingleTxtG"/>
      </w:pPr>
      <w:r>
        <w:t>47</w:t>
      </w:r>
      <w:r w:rsidR="00D34402" w:rsidRPr="00F60BC4">
        <w:t>.</w:t>
      </w:r>
      <w:r w:rsidR="00D34402" w:rsidRPr="00F60BC4">
        <w:tab/>
      </w:r>
      <w:r w:rsidR="00D34402">
        <w:t>Le Groupe de travail a confirmé que le texte du 6.8.2.4.3 adopté par le Groupe de travail sur la base d’une proposition du Groupe de travail sur les citernes de la Réunion commune comportait une erreur de traduction dans la version française.</w:t>
      </w:r>
    </w:p>
    <w:p w14:paraId="07113D44" w14:textId="43D11DCA" w:rsidR="00D34402" w:rsidRPr="00844917" w:rsidRDefault="0022452E" w:rsidP="00D34402">
      <w:pPr>
        <w:spacing w:after="120"/>
        <w:ind w:left="1134" w:right="1134"/>
        <w:jc w:val="both"/>
      </w:pPr>
      <w:r>
        <w:t>48</w:t>
      </w:r>
      <w:r w:rsidR="00D34402">
        <w:t>.</w:t>
      </w:r>
      <w:r w:rsidR="00D34402">
        <w:tab/>
        <w:t xml:space="preserve">Le Groupe de travail a adopté la correction du texte français et a prié le secrétariat de </w:t>
      </w:r>
      <w:r w:rsidR="00D34402" w:rsidRPr="00BF4685">
        <w:rPr>
          <w:lang w:val="fr-FR"/>
        </w:rPr>
        <w:t>faire le nécessaire pour qu'un rectificatif puisse être publié au plus vite</w:t>
      </w:r>
      <w:r w:rsidR="00D34402">
        <w:rPr>
          <w:lang w:val="fr-FR"/>
        </w:rPr>
        <w:t xml:space="preserve"> (voir annexe</w:t>
      </w:r>
      <w:r w:rsidR="00C102B5">
        <w:rPr>
          <w:lang w:val="fr-FR"/>
        </w:rPr>
        <w:t>s</w:t>
      </w:r>
      <w:r>
        <w:rPr>
          <w:lang w:val="fr-FR"/>
        </w:rPr>
        <w:t xml:space="preserve"> II</w:t>
      </w:r>
      <w:r w:rsidR="00C102B5">
        <w:rPr>
          <w:lang w:val="fr-FR"/>
        </w:rPr>
        <w:t xml:space="preserve"> et III</w:t>
      </w:r>
      <w:r>
        <w:rPr>
          <w:lang w:val="fr-FR"/>
        </w:rPr>
        <w:t>).</w:t>
      </w:r>
    </w:p>
    <w:p w14:paraId="40AA321A" w14:textId="38E75A26" w:rsidR="00B67CD5" w:rsidRDefault="00B67CD5" w:rsidP="00B67CD5">
      <w:pPr>
        <w:pStyle w:val="HChG"/>
      </w:pPr>
      <w:r>
        <w:tab/>
        <w:t>VII.</w:t>
      </w:r>
      <w:r>
        <w:tab/>
      </w:r>
      <w:r w:rsidRPr="00787CF7">
        <w:rPr>
          <w:lang w:val="fr-FR"/>
        </w:rPr>
        <w:t>Interprétation de l’ADR</w:t>
      </w:r>
      <w:r>
        <w:rPr>
          <w:lang w:val="fr-FR"/>
        </w:rPr>
        <w:t xml:space="preserve"> </w:t>
      </w:r>
      <w:r w:rsidRPr="005B2C1D">
        <w:t xml:space="preserve">(point </w:t>
      </w:r>
      <w:r>
        <w:t>6</w:t>
      </w:r>
      <w:r w:rsidRPr="005B2C1D">
        <w:t xml:space="preserve"> de l</w:t>
      </w:r>
      <w:r>
        <w:t>’</w:t>
      </w:r>
      <w:r w:rsidRPr="005B2C1D">
        <w:t>ordre du jour)</w:t>
      </w:r>
    </w:p>
    <w:p w14:paraId="5C50E443" w14:textId="77777777" w:rsidR="00B67CD5" w:rsidRDefault="00B67CD5" w:rsidP="00B67CD5">
      <w:pPr>
        <w:pStyle w:val="H1G"/>
      </w:pPr>
      <w:r>
        <w:tab/>
        <w:t>A.</w:t>
      </w:r>
      <w:r>
        <w:tab/>
        <w:t>Informations dans le document de transport</w:t>
      </w:r>
    </w:p>
    <w:p w14:paraId="2651CFDC" w14:textId="77777777" w:rsidR="00B67CD5" w:rsidRDefault="00B67CD5" w:rsidP="00B67CD5">
      <w:pPr>
        <w:pStyle w:val="SingleTxtG"/>
        <w:tabs>
          <w:tab w:val="left" w:pos="1418"/>
        </w:tabs>
        <w:ind w:left="3119" w:hanging="1985"/>
        <w:jc w:val="left"/>
      </w:pPr>
      <w:r>
        <w:rPr>
          <w:i/>
        </w:rPr>
        <w:t>Document</w:t>
      </w:r>
      <w:r>
        <w:t>:</w:t>
      </w:r>
      <w:r>
        <w:tab/>
        <w:t>ECE/TRANS/WP.15/2017/1 (Pologne)</w:t>
      </w:r>
    </w:p>
    <w:p w14:paraId="2B9FE584" w14:textId="12DA82D7" w:rsidR="00B67CD5" w:rsidRDefault="0022452E" w:rsidP="00B67CD5">
      <w:pPr>
        <w:spacing w:after="120"/>
        <w:ind w:left="1134" w:right="1134"/>
        <w:jc w:val="both"/>
        <w:rPr>
          <w:lang w:val="fr-FR"/>
        </w:rPr>
      </w:pPr>
      <w:r>
        <w:rPr>
          <w:lang w:val="fr-FR"/>
        </w:rPr>
        <w:t>49</w:t>
      </w:r>
      <w:r w:rsidR="00B67CD5">
        <w:rPr>
          <w:lang w:val="fr-FR"/>
        </w:rPr>
        <w:t>.</w:t>
      </w:r>
      <w:r w:rsidR="00B67CD5">
        <w:rPr>
          <w:lang w:val="fr-FR"/>
        </w:rPr>
        <w:tab/>
        <w:t>Le Groupe de travail a confirmé que l’ADR n’interdit pas d’ajouter au document de transport des informations supplémentaires à celles énumérées au 5.4.1 et que les autorités compétentes peuvent demander d’y faire figurer des informations complémentaires requises pour des raisons autre que la sécurité en cours de route en application de l’article 4 (1) de l’accord.</w:t>
      </w:r>
    </w:p>
    <w:p w14:paraId="3034D471" w14:textId="63DA2581" w:rsidR="00B67CD5" w:rsidRDefault="0022452E" w:rsidP="00B67CD5">
      <w:pPr>
        <w:spacing w:after="120"/>
        <w:ind w:left="1134" w:right="1134"/>
        <w:jc w:val="both"/>
      </w:pPr>
      <w:r>
        <w:rPr>
          <w:lang w:val="fr-FR"/>
        </w:rPr>
        <w:t>50</w:t>
      </w:r>
      <w:r w:rsidR="00B67CD5">
        <w:rPr>
          <w:lang w:val="fr-FR"/>
        </w:rPr>
        <w:t>.</w:t>
      </w:r>
      <w:r w:rsidR="00B67CD5">
        <w:rPr>
          <w:lang w:val="fr-FR"/>
        </w:rPr>
        <w:tab/>
        <w:t xml:space="preserve">Plusieurs délégations ont rappelé que la loi adoptée en Pologne exigeant d’ajouter dans le document de transport </w:t>
      </w:r>
      <w:r w:rsidR="00B67CD5">
        <w:t>le nom et l’adresse du propriétaire des marchandises dangereuses transportées, bien que conforme à l’article 4 (1) de l’accord ADR, faisait obstacle au commerce international de marchandises dangereuses (voir également ECE/TRANS/WP.15/235, paragraphes 37 à 43).</w:t>
      </w:r>
    </w:p>
    <w:p w14:paraId="75C6C492" w14:textId="4EBFA5F9" w:rsidR="00B67CD5" w:rsidRDefault="0022452E" w:rsidP="00B67CD5">
      <w:pPr>
        <w:spacing w:after="120"/>
        <w:ind w:left="1134" w:right="1134"/>
        <w:jc w:val="both"/>
      </w:pPr>
      <w:r>
        <w:t>51</w:t>
      </w:r>
      <w:r w:rsidR="00B67CD5">
        <w:t>.</w:t>
      </w:r>
      <w:r w:rsidR="00B67CD5">
        <w:tab/>
        <w:t xml:space="preserve">Le représentant de l’IRU a regretté que des restrictions imposées dans certains pays en application de l’article 4 (1) de l’ADR posaient des problèmes pour les entreprises de transport et pouvaient être vécues comme des barrières commerciales d’autant plus que l’information relative à ces restrictions pouvait être difficile à obtenir. Il a invité les parties contractantes à communiquer ces informations par l’intermédiaire du site Internet du secrétariat de la Commission économique des Nations Unies pour l’Europe. </w:t>
      </w:r>
    </w:p>
    <w:p w14:paraId="657006DA" w14:textId="7191A7C6" w:rsidR="00B67CD5" w:rsidRDefault="0022452E" w:rsidP="00B67CD5">
      <w:pPr>
        <w:spacing w:after="120"/>
        <w:ind w:left="1134" w:right="1134"/>
        <w:jc w:val="both"/>
      </w:pPr>
      <w:r>
        <w:t>52</w:t>
      </w:r>
      <w:r w:rsidR="00B67CD5">
        <w:t>.</w:t>
      </w:r>
      <w:r w:rsidR="00B67CD5">
        <w:tab/>
        <w:t>Le Président a relevé que, malheureusement, dans le contexte économique actuel en Europe, plusieurs gouvernements avaient tendance à appliquer des mesures assimilables à des mesures protectionnistes</w:t>
      </w:r>
      <w:r w:rsidR="00B67CD5" w:rsidRPr="00B178C3">
        <w:t xml:space="preserve"> </w:t>
      </w:r>
      <w:r w:rsidR="00B67CD5">
        <w:t>au transport des marchandises en général, et pas seulement au transport des marchandises dangereuses. Plusieurs délégations partageaient cet avis et regrettaient ce type de situation. Les autorités compétentes de l’ADR n’étaient d’ailleurs pas toujours au courant des mesures en question relevant souvent de ministères autres que les ministères des transports et pouvaient difficilement informer les transporteurs des restrictions qui ne relevaient pas de leur compétence. Il a été suggéré que ces problèmes devraient être portés à l’attention du Comité des transports intérieurs.</w:t>
      </w:r>
    </w:p>
    <w:p w14:paraId="15C3D61B" w14:textId="77777777" w:rsidR="00B67CD5" w:rsidRDefault="00B67CD5" w:rsidP="00B67CD5">
      <w:pPr>
        <w:pStyle w:val="H1G"/>
      </w:pPr>
      <w:r>
        <w:tab/>
        <w:t>B.</w:t>
      </w:r>
      <w:r>
        <w:tab/>
        <w:t>Mesure transitoire c pour 9.2.2.6 dans le tableau du 9.2.1.1</w:t>
      </w:r>
    </w:p>
    <w:p w14:paraId="14F9756B" w14:textId="77777777" w:rsidR="00B67CD5" w:rsidRDefault="00B67CD5" w:rsidP="00B67CD5">
      <w:pPr>
        <w:pStyle w:val="SingleTxtG"/>
        <w:tabs>
          <w:tab w:val="left" w:pos="1418"/>
        </w:tabs>
        <w:ind w:left="3119" w:hanging="1985"/>
        <w:jc w:val="left"/>
      </w:pPr>
      <w:r>
        <w:rPr>
          <w:i/>
        </w:rPr>
        <w:t>Document informel</w:t>
      </w:r>
      <w:r>
        <w:t>:</w:t>
      </w:r>
      <w:r>
        <w:tab/>
        <w:t>INF.13 (Roumanie)</w:t>
      </w:r>
    </w:p>
    <w:p w14:paraId="411A58C5" w14:textId="79AE862C" w:rsidR="00B67CD5" w:rsidRDefault="0022452E" w:rsidP="00B67CD5">
      <w:pPr>
        <w:spacing w:after="120"/>
        <w:ind w:left="1134" w:right="1134"/>
        <w:jc w:val="both"/>
      </w:pPr>
      <w:r>
        <w:lastRenderedPageBreak/>
        <w:t>53</w:t>
      </w:r>
      <w:r w:rsidR="00B67CD5">
        <w:t>.</w:t>
      </w:r>
      <w:r w:rsidR="00B67CD5">
        <w:tab/>
        <w:t xml:space="preserve">Le Groupe de travail a confirmé que la remarque c dans le tableau du 9.2.1.1 s’applique aux véhicules à moteur destinés à tracter des remorques d’une masse maximale supérieure à 3,5 tonnes et aux remorques d’une masse maximale supérieure à 3,5 tonnes immatriculés pour la première fois (ou mis en service, dans le cas où l’immatriculation n’est pas obligatoire) après le 31 mars 2018. C’était bien l’intention de la proposition ECE/TRANS/WP.15/2015/15 qui avait été adoptée par le Groupe de travail mais dont la traduction en français comportait une erreur. </w:t>
      </w:r>
    </w:p>
    <w:p w14:paraId="2ACC61AC" w14:textId="343FA245" w:rsidR="00B67CD5" w:rsidRPr="00844917" w:rsidRDefault="0022452E" w:rsidP="00B67CD5">
      <w:pPr>
        <w:spacing w:after="120"/>
        <w:ind w:left="1134" w:right="1134"/>
        <w:jc w:val="both"/>
      </w:pPr>
      <w:r>
        <w:t>54</w:t>
      </w:r>
      <w:r w:rsidR="00B67CD5">
        <w:t>.</w:t>
      </w:r>
      <w:r w:rsidR="00B67CD5">
        <w:tab/>
        <w:t xml:space="preserve">Le Groupe de travail a adopté la correction du texte français et a prié le secrétariat de </w:t>
      </w:r>
      <w:r w:rsidR="00B67CD5" w:rsidRPr="00BF4685">
        <w:rPr>
          <w:lang w:val="fr-FR"/>
        </w:rPr>
        <w:t>faire le nécessaire pour qu'un rectificatif puisse être publié au plus vite</w:t>
      </w:r>
      <w:r w:rsidR="00B67CD5">
        <w:rPr>
          <w:lang w:val="fr-FR"/>
        </w:rPr>
        <w:t xml:space="preserve"> (voir annexe</w:t>
      </w:r>
      <w:r w:rsidR="00C102B5">
        <w:rPr>
          <w:lang w:val="fr-FR"/>
        </w:rPr>
        <w:t>s</w:t>
      </w:r>
      <w:r>
        <w:rPr>
          <w:lang w:val="fr-FR"/>
        </w:rPr>
        <w:t xml:space="preserve"> II</w:t>
      </w:r>
      <w:r w:rsidR="00C102B5">
        <w:rPr>
          <w:lang w:val="fr-FR"/>
        </w:rPr>
        <w:t xml:space="preserve"> et III</w:t>
      </w:r>
      <w:r>
        <w:rPr>
          <w:lang w:val="fr-FR"/>
        </w:rPr>
        <w:t>).</w:t>
      </w:r>
    </w:p>
    <w:p w14:paraId="77098A23" w14:textId="77777777" w:rsidR="00D34402" w:rsidRPr="00F078D1" w:rsidRDefault="00D34402" w:rsidP="00D34402">
      <w:pPr>
        <w:pStyle w:val="HChG"/>
        <w:rPr>
          <w:lang w:val="fr-FR"/>
        </w:rPr>
      </w:pPr>
      <w:r w:rsidRPr="00F078D1">
        <w:rPr>
          <w:lang w:val="fr-FR"/>
        </w:rPr>
        <w:tab/>
        <w:t>VIII.</w:t>
      </w:r>
      <w:r w:rsidRPr="00F078D1">
        <w:rPr>
          <w:lang w:val="fr-FR"/>
        </w:rPr>
        <w:tab/>
        <w:t>Programme de travail (point 7 de l’ordre du jour)</w:t>
      </w:r>
    </w:p>
    <w:p w14:paraId="440547E4" w14:textId="33D51F87" w:rsidR="00D34402" w:rsidRPr="00F078D1" w:rsidRDefault="00D34402" w:rsidP="00D34402">
      <w:pPr>
        <w:pStyle w:val="H1G"/>
        <w:rPr>
          <w:lang w:val="fr-FR"/>
        </w:rPr>
      </w:pPr>
      <w:r w:rsidRPr="00F078D1">
        <w:rPr>
          <w:lang w:val="fr-FR"/>
        </w:rPr>
        <w:tab/>
        <w:t>A.</w:t>
      </w:r>
      <w:r w:rsidRPr="00F078D1">
        <w:rPr>
          <w:lang w:val="fr-FR"/>
        </w:rPr>
        <w:tab/>
      </w:r>
      <w:r w:rsidR="00C76112" w:rsidRPr="00F078D1">
        <w:rPr>
          <w:lang w:val="fr-FR"/>
        </w:rPr>
        <w:t xml:space="preserve">Projet de programme de travail </w:t>
      </w:r>
      <w:r w:rsidR="00C76112">
        <w:rPr>
          <w:lang w:val="fr-FR"/>
        </w:rPr>
        <w:t>et p</w:t>
      </w:r>
      <w:r w:rsidR="00C76112" w:rsidRPr="00F078D1">
        <w:rPr>
          <w:lang w:val="fr-FR"/>
        </w:rPr>
        <w:t>rogramme</w:t>
      </w:r>
      <w:r w:rsidR="00C76112">
        <w:rPr>
          <w:lang w:val="fr-FR"/>
        </w:rPr>
        <w:br/>
      </w:r>
      <w:r w:rsidR="00C76112" w:rsidRPr="00F078D1">
        <w:rPr>
          <w:lang w:val="fr-FR"/>
        </w:rPr>
        <w:t>des réunions pour la période 2018-2019</w:t>
      </w:r>
    </w:p>
    <w:p w14:paraId="19A3D451" w14:textId="77777777" w:rsidR="00D34402" w:rsidRPr="00F078D1" w:rsidRDefault="00D34402" w:rsidP="00D34402">
      <w:pPr>
        <w:pStyle w:val="SingleTxtG"/>
        <w:tabs>
          <w:tab w:val="left" w:pos="3000"/>
        </w:tabs>
        <w:ind w:left="2268" w:hanging="1134"/>
        <w:jc w:val="left"/>
        <w:rPr>
          <w:lang w:val="fr-FR"/>
        </w:rPr>
      </w:pPr>
      <w:r w:rsidRPr="00F078D1">
        <w:rPr>
          <w:i/>
          <w:lang w:val="fr-FR"/>
        </w:rPr>
        <w:t>Document informel</w:t>
      </w:r>
      <w:r w:rsidRPr="00F078D1">
        <w:rPr>
          <w:lang w:val="fr-FR"/>
        </w:rPr>
        <w:t xml:space="preserve">: </w:t>
      </w:r>
      <w:r w:rsidRPr="00F078D1">
        <w:rPr>
          <w:lang w:val="fr-FR"/>
        </w:rPr>
        <w:tab/>
        <w:t>INF.8 (Secrétariat)</w:t>
      </w:r>
    </w:p>
    <w:p w14:paraId="3D14DCC6" w14:textId="4AF948D0" w:rsidR="00D34402" w:rsidRPr="00F078D1" w:rsidRDefault="00D34402" w:rsidP="00D34402">
      <w:pPr>
        <w:pStyle w:val="SingleTxtG"/>
        <w:rPr>
          <w:lang w:val="fr-FR"/>
        </w:rPr>
      </w:pPr>
      <w:r>
        <w:rPr>
          <w:lang w:val="fr-FR"/>
        </w:rPr>
        <w:t>55</w:t>
      </w:r>
      <w:r w:rsidRPr="00F078D1">
        <w:rPr>
          <w:lang w:val="fr-FR"/>
        </w:rPr>
        <w:t>.</w:t>
      </w:r>
      <w:r w:rsidRPr="00F078D1">
        <w:rPr>
          <w:lang w:val="fr-FR"/>
        </w:rPr>
        <w:tab/>
        <w:t>Le Groupe de travail a adopté le projet de programme de travail pour 2018-2019 tel que préparé par</w:t>
      </w:r>
      <w:r>
        <w:rPr>
          <w:lang w:val="fr-FR"/>
        </w:rPr>
        <w:t xml:space="preserve"> le secrétariat avec une modification concernant le nombre de sessions prévues pour le Groupe de travail pour tenir compte de la décision </w:t>
      </w:r>
      <w:r w:rsidRPr="00F078D1">
        <w:rPr>
          <w:lang w:val="fr-FR"/>
        </w:rPr>
        <w:t xml:space="preserve">de réduire le temps prévu pour </w:t>
      </w:r>
      <w:r>
        <w:rPr>
          <w:lang w:val="fr-FR"/>
        </w:rPr>
        <w:t>l</w:t>
      </w:r>
      <w:r w:rsidRPr="00F078D1">
        <w:rPr>
          <w:lang w:val="fr-FR"/>
        </w:rPr>
        <w:t>a session de novembre 2018 à 8 demi-journées au lieu de 10</w:t>
      </w:r>
      <w:r>
        <w:rPr>
          <w:lang w:val="fr-FR"/>
        </w:rPr>
        <w:t xml:space="preserve"> (voir annexe </w:t>
      </w:r>
      <w:r w:rsidR="0022452E">
        <w:rPr>
          <w:lang w:val="fr-FR"/>
        </w:rPr>
        <w:t>V</w:t>
      </w:r>
      <w:r>
        <w:rPr>
          <w:lang w:val="fr-FR"/>
        </w:rPr>
        <w:t>)</w:t>
      </w:r>
      <w:r w:rsidRPr="00F078D1">
        <w:rPr>
          <w:lang w:val="fr-FR"/>
        </w:rPr>
        <w:t>.</w:t>
      </w:r>
    </w:p>
    <w:p w14:paraId="64667E5B" w14:textId="77777777" w:rsidR="00D34402" w:rsidRPr="00F078D1" w:rsidRDefault="00D34402" w:rsidP="00D34402">
      <w:pPr>
        <w:pStyle w:val="H1G"/>
        <w:keepNext w:val="0"/>
        <w:keepLines w:val="0"/>
        <w:rPr>
          <w:lang w:val="fr-FR"/>
        </w:rPr>
      </w:pPr>
      <w:r w:rsidRPr="00F078D1">
        <w:rPr>
          <w:lang w:val="fr-FR"/>
        </w:rPr>
        <w:tab/>
        <w:t>B.</w:t>
      </w:r>
      <w:r w:rsidRPr="00F078D1">
        <w:rPr>
          <w:lang w:val="fr-FR"/>
        </w:rPr>
        <w:tab/>
        <w:t>103</w:t>
      </w:r>
      <w:r w:rsidRPr="00F078D1">
        <w:rPr>
          <w:vertAlign w:val="superscript"/>
          <w:lang w:val="fr-FR"/>
        </w:rPr>
        <w:t>e</w:t>
      </w:r>
      <w:r w:rsidRPr="00F078D1">
        <w:rPr>
          <w:lang w:val="fr-FR"/>
        </w:rPr>
        <w:t xml:space="preserve"> session</w:t>
      </w:r>
    </w:p>
    <w:p w14:paraId="4B0A4E83" w14:textId="77777777" w:rsidR="00D34402" w:rsidRPr="00F078D1" w:rsidRDefault="00D34402" w:rsidP="00D34402">
      <w:pPr>
        <w:pStyle w:val="SingleTxtG"/>
        <w:rPr>
          <w:lang w:val="fr-FR"/>
        </w:rPr>
      </w:pPr>
      <w:r>
        <w:rPr>
          <w:lang w:val="fr-FR"/>
        </w:rPr>
        <w:t>56</w:t>
      </w:r>
      <w:r w:rsidRPr="00F078D1">
        <w:rPr>
          <w:lang w:val="fr-FR"/>
        </w:rPr>
        <w:t>.</w:t>
      </w:r>
      <w:r w:rsidRPr="00F078D1">
        <w:rPr>
          <w:lang w:val="fr-FR"/>
        </w:rPr>
        <w:tab/>
        <w:t>Les points à l'ordre du jour</w:t>
      </w:r>
      <w:r>
        <w:rPr>
          <w:lang w:val="fr-FR"/>
        </w:rPr>
        <w:t xml:space="preserve"> de la prochaine session seront les mêmes que pour cette session avec l’ajout d’un point pour l’anniversaire de l’ADR et avec l’ajout d’un point pour l’é</w:t>
      </w:r>
      <w:r w:rsidRPr="00F078D1">
        <w:rPr>
          <w:lang w:val="fr-FR"/>
        </w:rPr>
        <w:t>lection du bureau pour 2018</w:t>
      </w:r>
      <w:r>
        <w:rPr>
          <w:lang w:val="fr-FR"/>
        </w:rPr>
        <w:t>.</w:t>
      </w:r>
    </w:p>
    <w:p w14:paraId="6572CF2E" w14:textId="77777777" w:rsidR="00D34402" w:rsidRDefault="00D34402" w:rsidP="00D34402">
      <w:pPr>
        <w:pStyle w:val="SingleTxtG"/>
        <w:rPr>
          <w:lang w:val="fr-FR"/>
        </w:rPr>
      </w:pPr>
      <w:r>
        <w:rPr>
          <w:lang w:val="fr-FR"/>
        </w:rPr>
        <w:t>57</w:t>
      </w:r>
      <w:r w:rsidRPr="00F078D1">
        <w:rPr>
          <w:lang w:val="fr-FR"/>
        </w:rPr>
        <w:t>.</w:t>
      </w:r>
      <w:r w:rsidRPr="00F078D1">
        <w:rPr>
          <w:lang w:val="fr-FR"/>
        </w:rPr>
        <w:tab/>
      </w:r>
      <w:r>
        <w:rPr>
          <w:lang w:val="fr-FR"/>
        </w:rPr>
        <w:t xml:space="preserve">Afin de s’assurer de la présence des experts concernés, </w:t>
      </w:r>
      <w:r w:rsidRPr="00F078D1">
        <w:rPr>
          <w:lang w:val="fr-FR"/>
        </w:rPr>
        <w:t xml:space="preserve">le Groupe de travail est convenu de réserver, lors de sa prochaine session, </w:t>
      </w:r>
      <w:r w:rsidRPr="00D404BD">
        <w:rPr>
          <w:lang w:val="fr-FR"/>
        </w:rPr>
        <w:t xml:space="preserve">la matinée du mercredi 8 novembre 2017 </w:t>
      </w:r>
      <w:r>
        <w:rPr>
          <w:lang w:val="fr-FR"/>
        </w:rPr>
        <w:t xml:space="preserve">pour la discussion relative à la construction des </w:t>
      </w:r>
      <w:r w:rsidRPr="00D404BD">
        <w:rPr>
          <w:lang w:val="fr-FR"/>
        </w:rPr>
        <w:t>caisses des</w:t>
      </w:r>
      <w:r>
        <w:rPr>
          <w:lang w:val="fr-FR"/>
        </w:rPr>
        <w:t xml:space="preserve"> véhicules EX.</w:t>
      </w:r>
    </w:p>
    <w:p w14:paraId="0082FE84" w14:textId="77777777" w:rsidR="00D34402" w:rsidRPr="00F078D1" w:rsidRDefault="00D34402" w:rsidP="00D34402">
      <w:pPr>
        <w:pStyle w:val="SingleTxtG"/>
        <w:rPr>
          <w:lang w:val="fr-FR"/>
        </w:rPr>
      </w:pPr>
      <w:r>
        <w:rPr>
          <w:lang w:val="fr-FR"/>
        </w:rPr>
        <w:t>58</w:t>
      </w:r>
      <w:r w:rsidRPr="00F078D1">
        <w:rPr>
          <w:lang w:val="fr-FR"/>
        </w:rPr>
        <w:t>.</w:t>
      </w:r>
      <w:r w:rsidRPr="00F078D1">
        <w:rPr>
          <w:lang w:val="fr-FR"/>
        </w:rPr>
        <w:tab/>
      </w:r>
      <w:r>
        <w:rPr>
          <w:lang w:val="fr-FR"/>
        </w:rPr>
        <w:t>L</w:t>
      </w:r>
      <w:r w:rsidRPr="00F078D1">
        <w:rPr>
          <w:lang w:val="fr-FR"/>
        </w:rPr>
        <w:t xml:space="preserve">e Groupe de travail est </w:t>
      </w:r>
      <w:r>
        <w:rPr>
          <w:lang w:val="fr-FR"/>
        </w:rPr>
        <w:t xml:space="preserve">également </w:t>
      </w:r>
      <w:r w:rsidRPr="00F078D1">
        <w:rPr>
          <w:lang w:val="fr-FR"/>
        </w:rPr>
        <w:t xml:space="preserve">convenu de réserver, lors de sa prochaine session, </w:t>
      </w:r>
      <w:r w:rsidRPr="00D13A78">
        <w:rPr>
          <w:lang w:val="fr-FR"/>
        </w:rPr>
        <w:t>l'après-midi du 6 novembre 2017 pour l'organisation d'une table ronde sur le thème du transport des marchandises dangereuses.</w:t>
      </w:r>
    </w:p>
    <w:p w14:paraId="3C6AC986" w14:textId="77777777" w:rsidR="00D34402" w:rsidRDefault="00D34402" w:rsidP="00D34402">
      <w:pPr>
        <w:pStyle w:val="SingleTxtG"/>
        <w:rPr>
          <w:lang w:val="fr-FR"/>
        </w:rPr>
      </w:pPr>
      <w:r>
        <w:rPr>
          <w:lang w:val="fr-FR"/>
        </w:rPr>
        <w:t>59</w:t>
      </w:r>
      <w:r w:rsidRPr="00F078D1">
        <w:rPr>
          <w:lang w:val="fr-FR"/>
        </w:rPr>
        <w:t>.</w:t>
      </w:r>
      <w:r w:rsidRPr="00F078D1">
        <w:rPr>
          <w:lang w:val="fr-FR"/>
        </w:rPr>
        <w:tab/>
        <w:t xml:space="preserve">Le secrétariat a invité les délégations qui le souhaiteraient à lui transmettre par écrit avant fin </w:t>
      </w:r>
      <w:r>
        <w:rPr>
          <w:lang w:val="fr-FR"/>
        </w:rPr>
        <w:t xml:space="preserve">juillet </w:t>
      </w:r>
      <w:r w:rsidRPr="00F078D1">
        <w:rPr>
          <w:lang w:val="fr-FR"/>
        </w:rPr>
        <w:t>2017 toute proposition concernant l'animation de cette table ronde ainsi que les éventuelles présentations envisagées.</w:t>
      </w:r>
    </w:p>
    <w:p w14:paraId="67C1DCAA" w14:textId="77777777" w:rsidR="00D34402" w:rsidRPr="00F078D1" w:rsidRDefault="00D34402" w:rsidP="00D34402">
      <w:pPr>
        <w:pStyle w:val="H1G"/>
        <w:rPr>
          <w:lang w:val="fr-FR"/>
        </w:rPr>
      </w:pPr>
      <w:r w:rsidRPr="00F078D1">
        <w:rPr>
          <w:lang w:val="fr-FR"/>
        </w:rPr>
        <w:tab/>
        <w:t>C.</w:t>
      </w:r>
      <w:r w:rsidRPr="00F078D1">
        <w:rPr>
          <w:lang w:val="fr-FR"/>
        </w:rPr>
        <w:tab/>
        <w:t>Évaluations bisannuelles</w:t>
      </w:r>
    </w:p>
    <w:p w14:paraId="133B59E6" w14:textId="77777777" w:rsidR="00D34402" w:rsidRPr="00F078D1" w:rsidRDefault="00D34402" w:rsidP="00D34402">
      <w:pPr>
        <w:pStyle w:val="SingleTxtG"/>
        <w:tabs>
          <w:tab w:val="left" w:pos="3000"/>
        </w:tabs>
        <w:ind w:left="2268" w:hanging="1134"/>
        <w:jc w:val="left"/>
        <w:rPr>
          <w:lang w:val="fr-FR"/>
        </w:rPr>
      </w:pPr>
      <w:r w:rsidRPr="00F078D1">
        <w:rPr>
          <w:i/>
          <w:lang w:val="fr-FR"/>
        </w:rPr>
        <w:t xml:space="preserve">Document informel: </w:t>
      </w:r>
      <w:r w:rsidRPr="00F078D1">
        <w:rPr>
          <w:lang w:val="fr-FR"/>
        </w:rPr>
        <w:t>INF.8 (Secrétariat)</w:t>
      </w:r>
    </w:p>
    <w:p w14:paraId="66F494DC" w14:textId="77777777" w:rsidR="00D34402" w:rsidRPr="00F078D1" w:rsidRDefault="00D34402" w:rsidP="00D34402">
      <w:pPr>
        <w:pStyle w:val="SingleTxtG"/>
        <w:rPr>
          <w:lang w:val="fr-FR"/>
        </w:rPr>
      </w:pPr>
      <w:r>
        <w:rPr>
          <w:lang w:val="fr-FR"/>
        </w:rPr>
        <w:t>60</w:t>
      </w:r>
      <w:r w:rsidRPr="00F078D1">
        <w:rPr>
          <w:lang w:val="fr-FR"/>
        </w:rPr>
        <w:t>.</w:t>
      </w:r>
      <w:r w:rsidRPr="00F078D1">
        <w:rPr>
          <w:lang w:val="fr-FR"/>
        </w:rPr>
        <w:tab/>
        <w:t xml:space="preserve">Le Groupe de travail a </w:t>
      </w:r>
      <w:r>
        <w:rPr>
          <w:lang w:val="fr-FR"/>
        </w:rPr>
        <w:t>demandé au secrétariat de mettre à jour les parties II et III du document informel INF.8 et de les présenter en tant que document officiel pour la prochaine session.</w:t>
      </w:r>
    </w:p>
    <w:p w14:paraId="4FFFA0A0" w14:textId="77777777" w:rsidR="00D34402" w:rsidRPr="00F078D1" w:rsidRDefault="00D34402" w:rsidP="00D34402">
      <w:pPr>
        <w:pStyle w:val="SingleTxtG"/>
        <w:rPr>
          <w:lang w:val="fr-FR"/>
        </w:rPr>
      </w:pPr>
      <w:r>
        <w:rPr>
          <w:lang w:val="fr-FR"/>
        </w:rPr>
        <w:t>61</w:t>
      </w:r>
      <w:r w:rsidRPr="00F078D1">
        <w:rPr>
          <w:lang w:val="fr-FR"/>
        </w:rPr>
        <w:t>.</w:t>
      </w:r>
      <w:r w:rsidRPr="00F078D1">
        <w:rPr>
          <w:lang w:val="fr-FR"/>
        </w:rPr>
        <w:tab/>
        <w:t xml:space="preserve">Le Groupe de travail a invité les pays pour lesquels ces informations ne sont pas disponibles à communiquer au secrétariat de la CEE les adresses des autorités et organismes désignés par elles qui sont compétents conformément à la législation nationale d'application de l'ADR, en mentionnant pour chaque cas la disposition pertinente de l'ADR, </w:t>
      </w:r>
      <w:r w:rsidRPr="00F078D1">
        <w:rPr>
          <w:lang w:val="fr-FR"/>
        </w:rPr>
        <w:lastRenderedPageBreak/>
        <w:t>ainsi que les adresses auxquelles il y a lieu de soumettre les demandes y relatives. Le cas échéant, les pays sont invités à confirmer que seule l’autorité compétente principale est compétente pour toutes les prescriptions de l'ADR.</w:t>
      </w:r>
    </w:p>
    <w:p w14:paraId="1CC1F8C3" w14:textId="77777777" w:rsidR="00D34402" w:rsidRPr="00F078D1" w:rsidRDefault="00D34402" w:rsidP="00D34402">
      <w:pPr>
        <w:pStyle w:val="SingleTxtG"/>
        <w:spacing w:line="240" w:lineRule="auto"/>
        <w:rPr>
          <w:lang w:val="fr-FR"/>
        </w:rPr>
      </w:pPr>
      <w:r>
        <w:rPr>
          <w:lang w:val="fr-FR"/>
        </w:rPr>
        <w:t>62</w:t>
      </w:r>
      <w:r w:rsidRPr="00F078D1">
        <w:rPr>
          <w:lang w:val="fr-FR"/>
        </w:rPr>
        <w:t>.</w:t>
      </w:r>
      <w:r w:rsidRPr="00F078D1">
        <w:rPr>
          <w:lang w:val="fr-FR"/>
        </w:rPr>
        <w:tab/>
        <w:t xml:space="preserve">Le Groupe de travail a également invité les pays qui ne l'ont pas encore fait à envoyer </w:t>
      </w:r>
      <w:r>
        <w:rPr>
          <w:lang w:val="fr-FR"/>
        </w:rPr>
        <w:t xml:space="preserve">leurs traductions officielles des consignes écrites suivant le modèle du 5.4.3 et </w:t>
      </w:r>
      <w:r w:rsidRPr="00F078D1">
        <w:rPr>
          <w:lang w:val="fr-FR"/>
        </w:rPr>
        <w:t>les modèles de certificats de formation ADR qu’ils délivrent ou à confirmer qu'aucun certificat n’était délivré dans leur pays le cas échéant.</w:t>
      </w:r>
    </w:p>
    <w:p w14:paraId="58711420" w14:textId="77777777" w:rsidR="00D34402" w:rsidRPr="00F078D1" w:rsidRDefault="00D34402" w:rsidP="00D34402">
      <w:pPr>
        <w:pStyle w:val="HChG"/>
        <w:rPr>
          <w:lang w:val="fr-FR"/>
        </w:rPr>
      </w:pPr>
      <w:r w:rsidRPr="00F078D1">
        <w:rPr>
          <w:lang w:val="fr-FR"/>
        </w:rPr>
        <w:tab/>
        <w:t>IX.</w:t>
      </w:r>
      <w:r w:rsidRPr="00F078D1">
        <w:rPr>
          <w:lang w:val="fr-FR"/>
        </w:rPr>
        <w:tab/>
        <w:t>Questions diverses (point 8 de l’ordre du jour)</w:t>
      </w:r>
    </w:p>
    <w:p w14:paraId="051DEDD0" w14:textId="77777777" w:rsidR="00D34402" w:rsidRPr="00F078D1" w:rsidRDefault="00D34402" w:rsidP="00D34402">
      <w:pPr>
        <w:pStyle w:val="SingleTxtG"/>
        <w:tabs>
          <w:tab w:val="left" w:pos="3000"/>
        </w:tabs>
        <w:ind w:left="2268" w:hanging="1134"/>
        <w:jc w:val="left"/>
        <w:rPr>
          <w:lang w:val="fr-FR"/>
        </w:rPr>
      </w:pPr>
      <w:r w:rsidRPr="00F078D1">
        <w:rPr>
          <w:i/>
          <w:lang w:val="fr-FR"/>
        </w:rPr>
        <w:t xml:space="preserve">Document informel: </w:t>
      </w:r>
      <w:r w:rsidRPr="00F078D1">
        <w:rPr>
          <w:lang w:val="fr-FR"/>
        </w:rPr>
        <w:t>INF.4 (CEFIC)</w:t>
      </w:r>
    </w:p>
    <w:p w14:paraId="68390466" w14:textId="3F5254E9" w:rsidR="00D34402" w:rsidRPr="00F078D1" w:rsidRDefault="00D34402" w:rsidP="00D34402">
      <w:pPr>
        <w:pStyle w:val="SingleTxtG"/>
        <w:rPr>
          <w:lang w:val="fr-FR"/>
        </w:rPr>
      </w:pPr>
      <w:r>
        <w:rPr>
          <w:lang w:val="fr-FR"/>
        </w:rPr>
        <w:t>63.</w:t>
      </w:r>
      <w:r>
        <w:rPr>
          <w:lang w:val="fr-FR"/>
        </w:rPr>
        <w:tab/>
      </w:r>
      <w:r w:rsidRPr="00F078D1">
        <w:rPr>
          <w:lang w:val="fr-FR"/>
        </w:rPr>
        <w:t xml:space="preserve">Le Groupe de travail a pris note </w:t>
      </w:r>
      <w:r>
        <w:rPr>
          <w:lang w:val="fr-FR"/>
        </w:rPr>
        <w:t xml:space="preserve">avec intérêt </w:t>
      </w:r>
      <w:r w:rsidRPr="00F078D1">
        <w:rPr>
          <w:lang w:val="fr-FR"/>
        </w:rPr>
        <w:t>de la version révisée des directives élaborées par l’industrie pour l’application du chapitre 1.10 de l’ADR concernant la sûreté du transport des marchandises dangereuses par ro</w:t>
      </w:r>
      <w:r>
        <w:rPr>
          <w:lang w:val="fr-FR"/>
        </w:rPr>
        <w:t>ute et a remercié les organisations concernées. Plusieurs délégations ont tenu à souligner l’utilité de ces directives et se sont félicitées de leur mise à jour régulière.</w:t>
      </w:r>
    </w:p>
    <w:p w14:paraId="6E6AB3F7" w14:textId="77777777" w:rsidR="00D34402" w:rsidRPr="00F078D1" w:rsidRDefault="00D34402" w:rsidP="00D34402">
      <w:pPr>
        <w:pStyle w:val="HChG"/>
        <w:rPr>
          <w:lang w:val="fr-FR"/>
        </w:rPr>
      </w:pPr>
      <w:r w:rsidRPr="00F078D1">
        <w:rPr>
          <w:lang w:val="fr-FR"/>
        </w:rPr>
        <w:tab/>
        <w:t>X.</w:t>
      </w:r>
      <w:r w:rsidRPr="00F078D1">
        <w:rPr>
          <w:lang w:val="fr-FR"/>
        </w:rPr>
        <w:tab/>
        <w:t>Adoption du rapport (point 9 de l’ordre du jour)</w:t>
      </w:r>
    </w:p>
    <w:p w14:paraId="0E86EEB0" w14:textId="77777777" w:rsidR="00D34402" w:rsidRDefault="00D34402" w:rsidP="00D34402">
      <w:pPr>
        <w:pStyle w:val="SingleTxtG"/>
        <w:rPr>
          <w:lang w:val="fr-FR"/>
        </w:rPr>
      </w:pPr>
      <w:r>
        <w:rPr>
          <w:lang w:val="fr-FR"/>
        </w:rPr>
        <w:t>64</w:t>
      </w:r>
      <w:r w:rsidRPr="00F078D1">
        <w:rPr>
          <w:lang w:val="fr-FR"/>
        </w:rPr>
        <w:t>.</w:t>
      </w:r>
      <w:r w:rsidRPr="00F078D1">
        <w:rPr>
          <w:lang w:val="fr-FR"/>
        </w:rPr>
        <w:tab/>
        <w:t>Le Groupe de travail a adopté le rapport sur sa 102</w:t>
      </w:r>
      <w:r w:rsidRPr="00F078D1">
        <w:rPr>
          <w:vertAlign w:val="superscript"/>
          <w:lang w:val="fr-FR"/>
        </w:rPr>
        <w:t>e</w:t>
      </w:r>
      <w:r w:rsidRPr="00F078D1">
        <w:rPr>
          <w:lang w:val="fr-FR"/>
        </w:rPr>
        <w:t xml:space="preserve"> session et ses annexes sur la base d'un projet établi par le secrétariat.</w:t>
      </w:r>
    </w:p>
    <w:p w14:paraId="5406D896" w14:textId="7ACD1AA7" w:rsidR="008C7AD9" w:rsidRDefault="008C7AD9">
      <w:pPr>
        <w:suppressAutoHyphens w:val="0"/>
        <w:spacing w:line="240" w:lineRule="auto"/>
      </w:pPr>
      <w:r>
        <w:br w:type="page"/>
      </w:r>
    </w:p>
    <w:p w14:paraId="71AA2000" w14:textId="77777777" w:rsidR="008C7AD9" w:rsidRDefault="008C7AD9" w:rsidP="008C7AD9">
      <w:pPr>
        <w:pStyle w:val="HChG"/>
      </w:pPr>
      <w:r>
        <w:lastRenderedPageBreak/>
        <w:t>Annexe I</w:t>
      </w:r>
    </w:p>
    <w:p w14:paraId="269A9903" w14:textId="77777777" w:rsidR="008C7AD9" w:rsidRPr="0005447D" w:rsidRDefault="008C7AD9" w:rsidP="008C7AD9">
      <w:pPr>
        <w:pStyle w:val="HChG"/>
      </w:pPr>
      <w:r w:rsidRPr="0005447D">
        <w:tab/>
      </w:r>
      <w:r w:rsidRPr="0005447D">
        <w:tab/>
        <w:t xml:space="preserve">Projet d’amendements </w:t>
      </w:r>
      <w:r>
        <w:t xml:space="preserve">aux </w:t>
      </w:r>
      <w:r w:rsidRPr="0005447D">
        <w:t>annexe</w:t>
      </w:r>
      <w:r>
        <w:t>s</w:t>
      </w:r>
      <w:r w:rsidRPr="0005447D">
        <w:t xml:space="preserve"> A et B de l’ADR </w:t>
      </w:r>
      <w:r>
        <w:br/>
      </w:r>
      <w:r w:rsidRPr="000A56E1">
        <w:t xml:space="preserve">adopté par le Groupe de travail </w:t>
      </w:r>
      <w:r w:rsidRPr="0005447D">
        <w:t xml:space="preserve">pour </w:t>
      </w:r>
      <w:proofErr w:type="spellStart"/>
      <w:r w:rsidRPr="0005447D">
        <w:t>entrée</w:t>
      </w:r>
      <w:proofErr w:type="spellEnd"/>
      <w:r w:rsidRPr="0005447D">
        <w:t xml:space="preserve"> en vigueur </w:t>
      </w:r>
      <w:r>
        <w:br/>
      </w:r>
      <w:r w:rsidRPr="0005447D">
        <w:t>le 1er janvier 2019</w:t>
      </w:r>
    </w:p>
    <w:p w14:paraId="23589459" w14:textId="20B62E8D" w:rsidR="00E0792D" w:rsidRPr="006C3DF2" w:rsidRDefault="00E0792D" w:rsidP="00E0792D">
      <w:pPr>
        <w:pStyle w:val="H1G"/>
      </w:pPr>
      <w:r>
        <w:tab/>
      </w:r>
      <w:r>
        <w:tab/>
      </w:r>
      <w:r w:rsidRPr="006C3DF2">
        <w:t>Chapitre 1.1</w:t>
      </w:r>
    </w:p>
    <w:p w14:paraId="183FD767" w14:textId="4B108D94" w:rsidR="00E0792D" w:rsidRPr="006C3DF2" w:rsidRDefault="00E0792D" w:rsidP="00E0792D">
      <w:pPr>
        <w:pStyle w:val="SingleTxtG"/>
        <w:rPr>
          <w:lang w:val="fr-FR"/>
        </w:rPr>
      </w:pPr>
      <w:r w:rsidRPr="006C3DF2">
        <w:rPr>
          <w:lang w:val="fr-FR"/>
        </w:rPr>
        <w:t>1.1.3.6.3</w:t>
      </w:r>
      <w:r w:rsidRPr="006C3DF2">
        <w:rPr>
          <w:lang w:val="fr-FR"/>
        </w:rPr>
        <w:tab/>
        <w:t xml:space="preserve">Dans le titre de la colonne (3) du tableau, ajouter une note de bas de tableau </w:t>
      </w:r>
      <w:r w:rsidR="009843EC">
        <w:rPr>
          <w:lang w:val="fr-FR"/>
        </w:rPr>
        <w:t xml:space="preserve">b </w:t>
      </w:r>
      <w:r w:rsidRPr="006C3DF2">
        <w:rPr>
          <w:lang w:val="fr-FR"/>
        </w:rPr>
        <w:t>libellée comme suit:</w:t>
      </w:r>
    </w:p>
    <w:p w14:paraId="64373F51" w14:textId="2CDC779B" w:rsidR="00E0792D" w:rsidRPr="006C3DF2" w:rsidRDefault="00E0792D" w:rsidP="00E0792D">
      <w:pPr>
        <w:pStyle w:val="SingleTxtG"/>
        <w:rPr>
          <w:u w:val="single"/>
          <w:lang w:val="fr-FR"/>
        </w:rPr>
      </w:pPr>
      <w:r w:rsidRPr="006C3DF2">
        <w:rPr>
          <w:lang w:val="fr-FR"/>
        </w:rPr>
        <w:t>«</w:t>
      </w:r>
      <w:proofErr w:type="gramStart"/>
      <w:r w:rsidR="009843EC" w:rsidRPr="009843EC">
        <w:rPr>
          <w:rStyle w:val="FootnoteTextChar"/>
          <w:b/>
          <w:sz w:val="20"/>
          <w:vertAlign w:val="superscript"/>
          <w:lang w:val="fr-FR"/>
        </w:rPr>
        <w:t>b</w:t>
      </w:r>
      <w:proofErr w:type="gramEnd"/>
      <w:r w:rsidR="009843EC">
        <w:rPr>
          <w:rStyle w:val="FootnoteTextChar"/>
          <w:sz w:val="20"/>
          <w:lang w:val="fr-FR"/>
        </w:rPr>
        <w:tab/>
      </w:r>
      <w:r w:rsidRPr="006C3DF2">
        <w:rPr>
          <w:rStyle w:val="FootnoteTextChar"/>
          <w:sz w:val="20"/>
          <w:lang w:val="fr-FR"/>
        </w:rPr>
        <w:t>La quantité maximale totale pour chaque catégorie de transport correspond à une valeur calculée de “1 000” (voir aussi le 1.1.3.6.4)</w:t>
      </w:r>
      <w:r w:rsidRPr="006C3DF2">
        <w:rPr>
          <w:lang w:val="fr-FR"/>
        </w:rPr>
        <w:t>.».</w:t>
      </w:r>
    </w:p>
    <w:p w14:paraId="3684E968" w14:textId="77777777" w:rsidR="00E0792D" w:rsidRPr="006C3DF2" w:rsidRDefault="00E0792D" w:rsidP="00E0792D">
      <w:pPr>
        <w:pStyle w:val="SingleTxtG"/>
        <w:rPr>
          <w:i/>
          <w:lang w:val="fr-FR"/>
        </w:rPr>
      </w:pPr>
      <w:r w:rsidRPr="006C3DF2">
        <w:rPr>
          <w:i/>
          <w:lang w:val="fr-FR"/>
        </w:rPr>
        <w:t>(Document de référence: ECE/TRANS/WP.15/2017/5, proposition 3, telle que modifiée)</w:t>
      </w:r>
    </w:p>
    <w:p w14:paraId="23FB1299" w14:textId="77777777" w:rsidR="00E0792D" w:rsidRPr="006C3DF2" w:rsidRDefault="00E0792D" w:rsidP="00E0792D">
      <w:pPr>
        <w:pStyle w:val="SingleTxtG"/>
        <w:rPr>
          <w:lang w:val="fr-FR"/>
        </w:rPr>
      </w:pPr>
      <w:r w:rsidRPr="006C3DF2">
        <w:rPr>
          <w:lang w:val="fr-FR"/>
        </w:rPr>
        <w:t>1.1.3.6.4</w:t>
      </w:r>
      <w:r w:rsidRPr="006C3DF2">
        <w:rPr>
          <w:lang w:val="fr-FR"/>
        </w:rPr>
        <w:tab/>
        <w:t xml:space="preserve">À la fin, après les tirets, après «ne doit pas dépasser», ajouter «une valeur calculée de». </w:t>
      </w:r>
    </w:p>
    <w:p w14:paraId="72054CEC" w14:textId="77777777" w:rsidR="00E0792D" w:rsidRPr="006C3DF2" w:rsidRDefault="00E0792D" w:rsidP="00E0792D">
      <w:pPr>
        <w:pStyle w:val="SingleTxtG"/>
        <w:rPr>
          <w:i/>
          <w:lang w:val="fr-FR"/>
        </w:rPr>
      </w:pPr>
      <w:r w:rsidRPr="006C3DF2">
        <w:rPr>
          <w:i/>
          <w:lang w:val="fr-FR"/>
        </w:rPr>
        <w:t>(Document de référence: ECE/TRANS/WP.15/2017/5, proposition 3, telle que modifiée)</w:t>
      </w:r>
    </w:p>
    <w:p w14:paraId="5064F5AA" w14:textId="77777777" w:rsidR="00E0792D" w:rsidRPr="00E0792D" w:rsidRDefault="00E0792D" w:rsidP="00E0792D">
      <w:pPr>
        <w:pStyle w:val="H1G"/>
      </w:pPr>
      <w:r w:rsidRPr="00E0792D">
        <w:tab/>
      </w:r>
      <w:r w:rsidRPr="00E0792D">
        <w:tab/>
        <w:t>Chapter 1.2</w:t>
      </w:r>
    </w:p>
    <w:p w14:paraId="4C316561" w14:textId="4B9AFABF" w:rsidR="00E0792D" w:rsidRPr="006C3DF2" w:rsidRDefault="00E0792D" w:rsidP="00E73877">
      <w:pPr>
        <w:pStyle w:val="SingleTxtG"/>
        <w:tabs>
          <w:tab w:val="left" w:pos="2268"/>
        </w:tabs>
        <w:rPr>
          <w:lang w:val="fr-FR"/>
        </w:rPr>
      </w:pPr>
      <w:r w:rsidRPr="006C3DF2">
        <w:rPr>
          <w:lang w:val="fr-FR"/>
        </w:rPr>
        <w:t>1.2.1</w:t>
      </w:r>
      <w:r w:rsidRPr="006C3DF2">
        <w:rPr>
          <w:lang w:val="fr-FR"/>
        </w:rPr>
        <w:tab/>
        <w:t>Insérer les nouvelles définitions suivantes dans l'ordre alphabétique:</w:t>
      </w:r>
    </w:p>
    <w:p w14:paraId="1E0B264A" w14:textId="77777777" w:rsidR="00E0792D" w:rsidRPr="006C3DF2" w:rsidRDefault="00E0792D" w:rsidP="00E0792D">
      <w:pPr>
        <w:pStyle w:val="SingleTxtG"/>
        <w:rPr>
          <w:lang w:val="fr-FR"/>
        </w:rPr>
      </w:pPr>
      <w:r w:rsidRPr="006C3DF2">
        <w:rPr>
          <w:lang w:val="fr-FR"/>
        </w:rPr>
        <w:t>«</w:t>
      </w:r>
      <w:r w:rsidRPr="006C3DF2">
        <w:rPr>
          <w:i/>
          <w:lang w:val="fr-FR"/>
        </w:rPr>
        <w:t>“</w:t>
      </w:r>
      <w:r w:rsidRPr="006C3DF2">
        <w:rPr>
          <w:bCs/>
          <w:i/>
          <w:iCs/>
          <w:lang w:val="fr-FR"/>
        </w:rPr>
        <w:t>Diamètre</w:t>
      </w:r>
      <w:r w:rsidRPr="006C3DF2">
        <w:rPr>
          <w:i/>
          <w:lang w:val="fr-FR"/>
        </w:rPr>
        <w:t>”</w:t>
      </w:r>
      <w:r w:rsidRPr="006C3DF2">
        <w:rPr>
          <w:lang w:val="fr-FR"/>
        </w:rPr>
        <w:t xml:space="preserve"> (pour les réservoirs de citernes)</w:t>
      </w:r>
      <w:r w:rsidRPr="006C3DF2">
        <w:rPr>
          <w:i/>
          <w:lang w:val="fr-FR"/>
        </w:rPr>
        <w:t xml:space="preserve">, </w:t>
      </w:r>
      <w:r w:rsidRPr="006C3DF2">
        <w:rPr>
          <w:lang w:val="fr-FR"/>
        </w:rPr>
        <w:t xml:space="preserve">le diamètre intérieur du </w:t>
      </w:r>
      <w:r w:rsidRPr="006C3DF2">
        <w:rPr>
          <w:iCs/>
          <w:lang w:val="fr-FR"/>
        </w:rPr>
        <w:t>réservoir</w:t>
      </w:r>
      <w:r w:rsidRPr="006C3DF2">
        <w:rPr>
          <w:lang w:val="fr-FR"/>
        </w:rPr>
        <w:t>.».</w:t>
      </w:r>
    </w:p>
    <w:p w14:paraId="261C9803" w14:textId="58977574" w:rsidR="00E0792D" w:rsidRPr="006C3DF2" w:rsidRDefault="00E0792D" w:rsidP="00E0792D">
      <w:pPr>
        <w:pStyle w:val="SingleTxtG"/>
        <w:rPr>
          <w:rFonts w:eastAsia="MS Mincho"/>
          <w:color w:val="000000"/>
          <w:lang w:val="fr-FR" w:eastAsia="en-GB"/>
        </w:rPr>
      </w:pPr>
      <w:r w:rsidRPr="006C3DF2">
        <w:rPr>
          <w:lang w:val="fr-FR"/>
        </w:rPr>
        <w:t>«</w:t>
      </w:r>
      <w:r w:rsidRPr="006C3DF2">
        <w:rPr>
          <w:i/>
          <w:lang w:val="fr-FR"/>
        </w:rPr>
        <w:t>“Revêtement protecteur”</w:t>
      </w:r>
      <w:r w:rsidRPr="006C3DF2">
        <w:rPr>
          <w:sz w:val="18"/>
          <w:szCs w:val="18"/>
          <w:lang w:val="fr-FR"/>
        </w:rPr>
        <w:t xml:space="preserve"> (</w:t>
      </w:r>
      <w:r w:rsidRPr="006C3DF2">
        <w:rPr>
          <w:rFonts w:eastAsia="MS Mincho"/>
          <w:color w:val="000000"/>
          <w:lang w:val="fr-FR" w:eastAsia="en-GB"/>
        </w:rPr>
        <w:t>pour les citernes), revêtement protégeant le matériau métallique de la citerne des matières à </w:t>
      </w:r>
      <w:proofErr w:type="gramStart"/>
      <w:r w:rsidRPr="006C3DF2">
        <w:rPr>
          <w:rFonts w:eastAsia="MS Mincho"/>
          <w:color w:val="000000"/>
          <w:lang w:val="fr-FR" w:eastAsia="en-GB"/>
        </w:rPr>
        <w:t>transporter;</w:t>
      </w:r>
      <w:proofErr w:type="gramEnd"/>
    </w:p>
    <w:p w14:paraId="32006144" w14:textId="77777777" w:rsidR="00E0792D" w:rsidRPr="006C3DF2" w:rsidRDefault="00E0792D" w:rsidP="00E0792D">
      <w:pPr>
        <w:pStyle w:val="SingleTxtG"/>
        <w:rPr>
          <w:lang w:val="fr-FR"/>
        </w:rPr>
      </w:pPr>
      <w:proofErr w:type="gramStart"/>
      <w:r w:rsidRPr="006C3DF2">
        <w:rPr>
          <w:b/>
          <w:i/>
          <w:lang w:val="fr-FR"/>
        </w:rPr>
        <w:t>NOTA:</w:t>
      </w:r>
      <w:proofErr w:type="gramEnd"/>
      <w:r w:rsidRPr="006C3DF2">
        <w:rPr>
          <w:b/>
          <w:i/>
          <w:lang w:val="fr-FR"/>
        </w:rPr>
        <w:t xml:space="preserve"> </w:t>
      </w:r>
      <w:r w:rsidRPr="006C3DF2">
        <w:rPr>
          <w:i/>
          <w:lang w:val="fr-FR"/>
        </w:rPr>
        <w:t>Cette définition ne s’applique pas au revêtement servant uniquement à protéger la matière à transporter.</w:t>
      </w:r>
      <w:r w:rsidRPr="006C3DF2">
        <w:rPr>
          <w:lang w:val="fr-FR"/>
        </w:rPr>
        <w:t>».</w:t>
      </w:r>
    </w:p>
    <w:p w14:paraId="7AB22C7C" w14:textId="77777777" w:rsidR="00C20E32" w:rsidRPr="006C3DF2" w:rsidRDefault="00C20E32" w:rsidP="00C20E32">
      <w:pPr>
        <w:pStyle w:val="SingleTxtG"/>
        <w:rPr>
          <w:i/>
          <w:iCs/>
          <w:lang w:val="fr-FR"/>
        </w:rPr>
      </w:pPr>
      <w:r w:rsidRPr="006C3DF2">
        <w:rPr>
          <w:i/>
          <w:iCs/>
          <w:lang w:val="fr-FR"/>
        </w:rPr>
        <w:t>(Document de référence: ECE/TRANS/WP.15/AC.1/144, annexe II</w:t>
      </w:r>
      <w:r>
        <w:rPr>
          <w:i/>
          <w:iCs/>
          <w:lang w:val="fr-FR"/>
        </w:rPr>
        <w:t xml:space="preserve"> et</w:t>
      </w:r>
      <w:r w:rsidRPr="006C3DF2">
        <w:rPr>
          <w:i/>
          <w:iCs/>
          <w:lang w:val="fr-FR"/>
        </w:rPr>
        <w:t xml:space="preserve"> ECE/TRANS/WP.15/AC.1/146, annexe II)</w:t>
      </w:r>
    </w:p>
    <w:p w14:paraId="4305BDC9" w14:textId="77777777" w:rsidR="00E0792D" w:rsidRPr="006C3DF2" w:rsidRDefault="00E0792D" w:rsidP="00E73877">
      <w:pPr>
        <w:pStyle w:val="SingleTxtG"/>
        <w:tabs>
          <w:tab w:val="left" w:pos="2268"/>
        </w:tabs>
        <w:rPr>
          <w:b/>
          <w:lang w:val="fr-FR"/>
        </w:rPr>
      </w:pPr>
      <w:r w:rsidRPr="006C3DF2">
        <w:rPr>
          <w:lang w:val="fr-FR"/>
        </w:rPr>
        <w:t>1.2.1</w:t>
      </w:r>
      <w:r w:rsidRPr="006C3DF2">
        <w:rPr>
          <w:lang w:val="fr-FR"/>
        </w:rPr>
        <w:tab/>
        <w:t xml:space="preserve">Modifier la définition de «citerne fermée hermétiquement» pour lire comme </w:t>
      </w:r>
      <w:proofErr w:type="gramStart"/>
      <w:r w:rsidRPr="006C3DF2">
        <w:rPr>
          <w:lang w:val="fr-FR"/>
        </w:rPr>
        <w:t>suit:</w:t>
      </w:r>
      <w:proofErr w:type="gramEnd"/>
    </w:p>
    <w:p w14:paraId="4E4EA3BB" w14:textId="77777777" w:rsidR="00E0792D" w:rsidRPr="006C3DF2" w:rsidRDefault="00E0792D" w:rsidP="00E0792D">
      <w:pPr>
        <w:pStyle w:val="SingleTxtG"/>
        <w:rPr>
          <w:lang w:val="fr-FR"/>
        </w:rPr>
      </w:pPr>
      <w:r w:rsidRPr="006C3DF2">
        <w:rPr>
          <w:lang w:val="fr-FR"/>
        </w:rPr>
        <w:t>«</w:t>
      </w:r>
      <w:r w:rsidRPr="006C3DF2">
        <w:rPr>
          <w:i/>
          <w:iCs/>
          <w:lang w:val="fr-FR"/>
        </w:rPr>
        <w:t>"</w:t>
      </w:r>
      <w:r w:rsidRPr="006C3DF2">
        <w:rPr>
          <w:bCs/>
          <w:i/>
          <w:iCs/>
          <w:lang w:val="fr-FR"/>
        </w:rPr>
        <w:t>citerne fermée hermétiquement</w:t>
      </w:r>
      <w:r w:rsidRPr="006C3DF2">
        <w:rPr>
          <w:i/>
          <w:iCs/>
          <w:lang w:val="fr-FR"/>
        </w:rPr>
        <w:t>"</w:t>
      </w:r>
      <w:r w:rsidRPr="006C3DF2">
        <w:rPr>
          <w:lang w:val="fr-FR"/>
        </w:rPr>
        <w:t>, une citerne qui:</w:t>
      </w:r>
    </w:p>
    <w:p w14:paraId="39EC235C" w14:textId="0945BC21" w:rsidR="00E0792D" w:rsidRPr="006C3DF2" w:rsidRDefault="00E0792D" w:rsidP="00E0792D">
      <w:pPr>
        <w:pStyle w:val="SingleTxtG"/>
        <w:rPr>
          <w:lang w:val="fr-FR"/>
        </w:rPr>
      </w:pPr>
      <w:r w:rsidRPr="006C3DF2">
        <w:rPr>
          <w:lang w:val="fr-FR"/>
        </w:rPr>
        <w:t>‒</w:t>
      </w:r>
      <w:r w:rsidRPr="006C3DF2">
        <w:rPr>
          <w:lang w:val="fr-FR"/>
        </w:rPr>
        <w:tab/>
        <w:t xml:space="preserve">n’est pas équipée de </w:t>
      </w:r>
      <w:r w:rsidRPr="006C3DF2">
        <w:rPr>
          <w:iCs/>
          <w:lang w:val="fr-FR"/>
        </w:rPr>
        <w:t>soupapes de sécurité</w:t>
      </w:r>
      <w:r w:rsidRPr="006C3DF2">
        <w:rPr>
          <w:lang w:val="fr-FR"/>
        </w:rPr>
        <w:t xml:space="preserve">, de disques de rupture, d’autres dispositifs semblables de sécurité ou de </w:t>
      </w:r>
      <w:r w:rsidRPr="006C3DF2">
        <w:rPr>
          <w:iCs/>
          <w:lang w:val="fr-FR"/>
        </w:rPr>
        <w:t xml:space="preserve">soupapes de </w:t>
      </w:r>
      <w:proofErr w:type="gramStart"/>
      <w:r w:rsidRPr="006C3DF2">
        <w:rPr>
          <w:iCs/>
          <w:lang w:val="fr-FR"/>
        </w:rPr>
        <w:t>dépression</w:t>
      </w:r>
      <w:r w:rsidRPr="006C3DF2">
        <w:rPr>
          <w:lang w:val="fr-FR"/>
        </w:rPr>
        <w:t>;</w:t>
      </w:r>
      <w:proofErr w:type="gramEnd"/>
      <w:r w:rsidRPr="006C3DF2">
        <w:rPr>
          <w:lang w:val="fr-FR"/>
        </w:rPr>
        <w:t xml:space="preserve"> ou</w:t>
      </w:r>
    </w:p>
    <w:p w14:paraId="331565E0" w14:textId="1521212A" w:rsidR="00E0792D" w:rsidRPr="006C3DF2" w:rsidRDefault="00E0792D" w:rsidP="00E0792D">
      <w:pPr>
        <w:pStyle w:val="SingleTxtG"/>
        <w:rPr>
          <w:lang w:val="fr-FR"/>
        </w:rPr>
      </w:pPr>
      <w:r w:rsidRPr="006C3DF2">
        <w:rPr>
          <w:lang w:val="fr-FR"/>
        </w:rPr>
        <w:t>‒</w:t>
      </w:r>
      <w:r w:rsidRPr="006C3DF2">
        <w:rPr>
          <w:lang w:val="fr-FR"/>
        </w:rPr>
        <w:tab/>
        <w:t xml:space="preserve">est équipée de </w:t>
      </w:r>
      <w:r w:rsidRPr="006C3DF2">
        <w:rPr>
          <w:iCs/>
          <w:lang w:val="fr-FR"/>
        </w:rPr>
        <w:t>soupapes de sécurit</w:t>
      </w:r>
      <w:r>
        <w:rPr>
          <w:iCs/>
          <w:lang w:val="fr-FR"/>
        </w:rPr>
        <w:t>é</w:t>
      </w:r>
      <w:r w:rsidRPr="006C3DF2">
        <w:rPr>
          <w:lang w:val="fr-FR"/>
        </w:rPr>
        <w:t xml:space="preserve"> </w:t>
      </w:r>
      <w:r>
        <w:rPr>
          <w:iCs/>
          <w:lang w:val="fr-FR"/>
        </w:rPr>
        <w:t>précédées</w:t>
      </w:r>
      <w:r w:rsidRPr="006C3DF2">
        <w:rPr>
          <w:lang w:val="fr-FR"/>
        </w:rPr>
        <w:t xml:space="preserve"> d’un disque de rupture conformément au 6.8.2.2.10, mais n’est pas équipée de </w:t>
      </w:r>
      <w:r w:rsidRPr="006C3DF2">
        <w:rPr>
          <w:iCs/>
          <w:lang w:val="fr-FR"/>
        </w:rPr>
        <w:t>soupapes de dépression</w:t>
      </w:r>
      <w:r w:rsidRPr="006C3DF2">
        <w:rPr>
          <w:lang w:val="fr-FR"/>
        </w:rPr>
        <w:t>.</w:t>
      </w:r>
    </w:p>
    <w:p w14:paraId="56F219F7" w14:textId="77777777" w:rsidR="00E0792D" w:rsidRPr="006C3DF2" w:rsidRDefault="00E0792D" w:rsidP="00E0792D">
      <w:pPr>
        <w:pStyle w:val="SingleTxtG"/>
        <w:rPr>
          <w:lang w:val="fr-FR"/>
        </w:rPr>
      </w:pPr>
      <w:r w:rsidRPr="006C3DF2">
        <w:rPr>
          <w:lang w:val="fr-FR"/>
        </w:rPr>
        <w:t xml:space="preserve">Une citerne destinée au transport de </w:t>
      </w:r>
      <w:r w:rsidRPr="006C3DF2">
        <w:rPr>
          <w:iCs/>
          <w:lang w:val="fr-FR"/>
        </w:rPr>
        <w:t>liquides</w:t>
      </w:r>
      <w:r w:rsidRPr="006C3DF2">
        <w:rPr>
          <w:lang w:val="fr-FR"/>
        </w:rPr>
        <w:t xml:space="preserve"> ayant une </w:t>
      </w:r>
      <w:r w:rsidRPr="006C3DF2">
        <w:rPr>
          <w:iCs/>
          <w:lang w:val="fr-FR"/>
        </w:rPr>
        <w:t>pression de calcul</w:t>
      </w:r>
      <w:r w:rsidRPr="006C3DF2">
        <w:rPr>
          <w:lang w:val="fr-FR"/>
        </w:rPr>
        <w:t xml:space="preserve"> d’au moins 4 bar ou destinée au transport de matières </w:t>
      </w:r>
      <w:r w:rsidRPr="006C3DF2">
        <w:rPr>
          <w:iCs/>
          <w:lang w:val="fr-FR"/>
        </w:rPr>
        <w:t>solides</w:t>
      </w:r>
      <w:r w:rsidRPr="006C3DF2">
        <w:rPr>
          <w:lang w:val="fr-FR"/>
        </w:rPr>
        <w:t xml:space="preserve"> (pulvérulentes ou granulaires) quelle que soit sa </w:t>
      </w:r>
      <w:r w:rsidRPr="006C3DF2">
        <w:rPr>
          <w:iCs/>
          <w:lang w:val="fr-FR"/>
        </w:rPr>
        <w:t>pression de calcul</w:t>
      </w:r>
      <w:r w:rsidRPr="006C3DF2">
        <w:rPr>
          <w:lang w:val="fr-FR"/>
        </w:rPr>
        <w:t>, est aussi considérée comme étant fermée hermétiquement si:</w:t>
      </w:r>
    </w:p>
    <w:p w14:paraId="20DAFF89" w14:textId="18E17B3D" w:rsidR="00E0792D" w:rsidRPr="006C3DF2" w:rsidRDefault="00E0792D" w:rsidP="00E0792D">
      <w:pPr>
        <w:pStyle w:val="SingleTxtG"/>
        <w:rPr>
          <w:lang w:val="fr-FR"/>
        </w:rPr>
      </w:pPr>
      <w:r w:rsidRPr="006C3DF2">
        <w:rPr>
          <w:lang w:val="fr-FR"/>
        </w:rPr>
        <w:t>‒</w:t>
      </w:r>
      <w:r w:rsidRPr="006C3DF2">
        <w:rPr>
          <w:lang w:val="fr-FR"/>
        </w:rPr>
        <w:tab/>
        <w:t xml:space="preserve">Elle est équipée de </w:t>
      </w:r>
      <w:r w:rsidRPr="006C3DF2">
        <w:rPr>
          <w:iCs/>
          <w:lang w:val="fr-FR"/>
        </w:rPr>
        <w:t>soupapes de sécurit</w:t>
      </w:r>
      <w:r>
        <w:rPr>
          <w:iCs/>
          <w:lang w:val="fr-FR"/>
        </w:rPr>
        <w:t>é</w:t>
      </w:r>
      <w:r w:rsidRPr="006C3DF2">
        <w:rPr>
          <w:iCs/>
          <w:lang w:val="fr-FR"/>
        </w:rPr>
        <w:t xml:space="preserve"> </w:t>
      </w:r>
      <w:r>
        <w:rPr>
          <w:iCs/>
          <w:lang w:val="fr-FR"/>
        </w:rPr>
        <w:t>précédées</w:t>
      </w:r>
      <w:r w:rsidRPr="006C3DF2">
        <w:rPr>
          <w:lang w:val="fr-FR"/>
        </w:rPr>
        <w:t xml:space="preserve"> d’un disque de rupture conformément au 6.8.2.2.10, et de </w:t>
      </w:r>
      <w:r w:rsidRPr="006C3DF2">
        <w:rPr>
          <w:iCs/>
          <w:lang w:val="fr-FR"/>
        </w:rPr>
        <w:t xml:space="preserve">soupapes de </w:t>
      </w:r>
      <w:r w:rsidR="00587B24" w:rsidRPr="006C3DF2">
        <w:rPr>
          <w:iCs/>
          <w:lang w:val="fr-FR"/>
        </w:rPr>
        <w:t>dépression</w:t>
      </w:r>
      <w:r w:rsidR="00587B24" w:rsidRPr="006C3DF2">
        <w:rPr>
          <w:lang w:val="fr-FR"/>
        </w:rPr>
        <w:t xml:space="preserve"> conformément</w:t>
      </w:r>
      <w:r w:rsidRPr="006C3DF2">
        <w:rPr>
          <w:lang w:val="fr-FR"/>
        </w:rPr>
        <w:t xml:space="preserve"> aux prescriptions du </w:t>
      </w:r>
      <w:proofErr w:type="gramStart"/>
      <w:r w:rsidRPr="006C3DF2">
        <w:rPr>
          <w:lang w:val="fr-FR"/>
        </w:rPr>
        <w:t>6.8.2.2.3;</w:t>
      </w:r>
      <w:proofErr w:type="gramEnd"/>
      <w:r w:rsidRPr="006C3DF2">
        <w:rPr>
          <w:lang w:val="fr-FR"/>
        </w:rPr>
        <w:t xml:space="preserve"> ou</w:t>
      </w:r>
    </w:p>
    <w:p w14:paraId="0C89E657" w14:textId="04026AF2" w:rsidR="00E0792D" w:rsidRPr="006C3DF2" w:rsidRDefault="00E0792D" w:rsidP="00E0792D">
      <w:pPr>
        <w:pStyle w:val="SingleTxtG"/>
        <w:rPr>
          <w:bCs/>
          <w:lang w:val="fr-FR"/>
        </w:rPr>
      </w:pPr>
      <w:r w:rsidRPr="006C3DF2">
        <w:rPr>
          <w:lang w:val="fr-FR"/>
        </w:rPr>
        <w:t>‒</w:t>
      </w:r>
      <w:r w:rsidRPr="006C3DF2">
        <w:rPr>
          <w:lang w:val="fr-FR"/>
        </w:rPr>
        <w:tab/>
        <w:t xml:space="preserve">Elle n’est pas équipée de </w:t>
      </w:r>
      <w:r w:rsidRPr="006C3DF2">
        <w:rPr>
          <w:iCs/>
          <w:lang w:val="fr-FR"/>
        </w:rPr>
        <w:t xml:space="preserve">soupapes de </w:t>
      </w:r>
      <w:r>
        <w:rPr>
          <w:iCs/>
          <w:lang w:val="fr-FR"/>
        </w:rPr>
        <w:t>sécurité</w:t>
      </w:r>
      <w:r w:rsidRPr="006C3DF2">
        <w:rPr>
          <w:lang w:val="fr-FR"/>
        </w:rPr>
        <w:t xml:space="preserve">, de disques de rupture ou d’autres dispositifs semblables de </w:t>
      </w:r>
      <w:r>
        <w:rPr>
          <w:lang w:val="fr-FR"/>
        </w:rPr>
        <w:t>sécurité</w:t>
      </w:r>
      <w:r w:rsidRPr="006C3DF2">
        <w:rPr>
          <w:lang w:val="fr-FR"/>
        </w:rPr>
        <w:t xml:space="preserve">, mais est équipée de </w:t>
      </w:r>
      <w:r w:rsidRPr="006C3DF2">
        <w:rPr>
          <w:iCs/>
          <w:lang w:val="fr-FR"/>
        </w:rPr>
        <w:t xml:space="preserve">soupapes de </w:t>
      </w:r>
      <w:r w:rsidR="00587B24" w:rsidRPr="006C3DF2">
        <w:rPr>
          <w:iCs/>
          <w:lang w:val="fr-FR"/>
        </w:rPr>
        <w:t>dépression</w:t>
      </w:r>
      <w:r w:rsidR="00587B24" w:rsidRPr="006C3DF2">
        <w:rPr>
          <w:lang w:val="fr-FR"/>
        </w:rPr>
        <w:t xml:space="preserve"> conformément</w:t>
      </w:r>
      <w:r w:rsidRPr="006C3DF2">
        <w:rPr>
          <w:lang w:val="fr-FR"/>
        </w:rPr>
        <w:t xml:space="preserve"> aux prescriptions du 6.8.2.2.3</w:t>
      </w:r>
      <w:r w:rsidRPr="006C3DF2">
        <w:rPr>
          <w:bCs/>
          <w:lang w:val="fr-FR"/>
        </w:rPr>
        <w:t>.».</w:t>
      </w:r>
    </w:p>
    <w:p w14:paraId="21565A98" w14:textId="77777777" w:rsidR="00E0792D" w:rsidRPr="006C3DF2" w:rsidRDefault="00E0792D" w:rsidP="00E0792D">
      <w:pPr>
        <w:pStyle w:val="SingleTxtG"/>
        <w:rPr>
          <w:i/>
          <w:iCs/>
          <w:lang w:val="fr-FR"/>
        </w:rPr>
      </w:pPr>
      <w:r w:rsidRPr="006C3DF2">
        <w:rPr>
          <w:i/>
          <w:iCs/>
          <w:lang w:val="fr-FR"/>
        </w:rPr>
        <w:lastRenderedPageBreak/>
        <w:t>(Document de référence: ECE/TRANS/WP15/AC.1/146, annexe II)</w:t>
      </w:r>
    </w:p>
    <w:p w14:paraId="512B3339" w14:textId="77777777" w:rsidR="00E0792D" w:rsidRPr="00E0792D" w:rsidRDefault="00E0792D" w:rsidP="00E0792D">
      <w:pPr>
        <w:pStyle w:val="H1G"/>
      </w:pPr>
      <w:r w:rsidRPr="00E0792D">
        <w:tab/>
      </w:r>
      <w:r w:rsidRPr="00E0792D">
        <w:tab/>
        <w:t>Chapter 1.4</w:t>
      </w:r>
    </w:p>
    <w:p w14:paraId="0158FD3C" w14:textId="77777777" w:rsidR="00E0792D" w:rsidRPr="006C3DF2" w:rsidRDefault="00E0792D" w:rsidP="00E0792D">
      <w:pPr>
        <w:pStyle w:val="SingleTxtG"/>
        <w:rPr>
          <w:lang w:val="fr-FR"/>
        </w:rPr>
      </w:pPr>
      <w:r w:rsidRPr="006C3DF2">
        <w:rPr>
          <w:lang w:val="fr-FR"/>
        </w:rPr>
        <w:t>1.4.2.2.2</w:t>
      </w:r>
      <w:r w:rsidRPr="006C3DF2">
        <w:rPr>
          <w:lang w:val="fr-FR"/>
        </w:rPr>
        <w:tab/>
        <w:t xml:space="preserve">Ajouter la nouvelle phrase suivante à la </w:t>
      </w:r>
      <w:proofErr w:type="gramStart"/>
      <w:r w:rsidRPr="006C3DF2">
        <w:rPr>
          <w:lang w:val="fr-FR"/>
        </w:rPr>
        <w:t>fin:</w:t>
      </w:r>
      <w:proofErr w:type="gramEnd"/>
      <w:r w:rsidRPr="006C3DF2">
        <w:rPr>
          <w:lang w:val="fr-FR"/>
        </w:rPr>
        <w:t xml:space="preserve"> «Dans le cas du 1.4.2.2.1 c), il peut se fier aux attestations du "certificat d’empotage du conteneur ou du véhicule" fourni conformément au 5.4.2.».</w:t>
      </w:r>
    </w:p>
    <w:p w14:paraId="4DF78D03"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2CE977FF" w14:textId="60F23193" w:rsidR="00E0792D" w:rsidRPr="00E0792D" w:rsidRDefault="00E0792D" w:rsidP="00E0792D">
      <w:pPr>
        <w:pStyle w:val="H1G"/>
      </w:pPr>
      <w:r>
        <w:tab/>
      </w:r>
      <w:r>
        <w:tab/>
      </w:r>
      <w:r w:rsidRPr="00E0792D">
        <w:t>Chapter 1.6</w:t>
      </w:r>
    </w:p>
    <w:p w14:paraId="13AD30A8" w14:textId="2DF3A2B7" w:rsidR="00E0792D" w:rsidRPr="006C3DF2" w:rsidRDefault="00E0792D" w:rsidP="00E73877">
      <w:pPr>
        <w:pStyle w:val="SingleTxtG"/>
        <w:tabs>
          <w:tab w:val="left" w:pos="2268"/>
        </w:tabs>
        <w:rPr>
          <w:lang w:val="fr-FR"/>
        </w:rPr>
      </w:pPr>
      <w:r w:rsidRPr="006C3DF2">
        <w:rPr>
          <w:lang w:val="fr-FR"/>
        </w:rPr>
        <w:t>1.6.1</w:t>
      </w:r>
      <w:r w:rsidRPr="006C3DF2">
        <w:rPr>
          <w:lang w:val="fr-FR"/>
        </w:rPr>
        <w:tab/>
        <w:t>Ajouter les nouvelles mesures transitoires suivantes:</w:t>
      </w:r>
    </w:p>
    <w:p w14:paraId="7630474A" w14:textId="76B613E1" w:rsidR="00E0792D" w:rsidRPr="006C3DF2" w:rsidRDefault="00E0792D" w:rsidP="00E0792D">
      <w:pPr>
        <w:pStyle w:val="SingleTxtG"/>
        <w:rPr>
          <w:lang w:val="fr-FR"/>
        </w:rPr>
      </w:pPr>
      <w:r w:rsidRPr="006C3DF2">
        <w:rPr>
          <w:lang w:val="fr-FR"/>
        </w:rPr>
        <w:t>«1.6.1.44</w:t>
      </w:r>
      <w:r w:rsidRPr="006C3DF2">
        <w:rPr>
          <w:lang w:val="fr-FR"/>
        </w:rPr>
        <w:tab/>
        <w:t>Les entreprises qui participent au transport de marchandises dangereuses seulement en tant qu’expéditeurs et qui n’avaient pas l’obligation de désigner un conseiller à la sécurité sur la base des dispositions applicables jusqu'au 31 décembre 2018 devront, par dérogation aux dispositions du 1.8.3.1 applicables à partir du 1er janvier 2019, nommer un conseiller à la sécurité au plus tard le 31 décembre 2022.</w:t>
      </w:r>
    </w:p>
    <w:p w14:paraId="4182B512" w14:textId="4B42C24F" w:rsidR="00E0792D" w:rsidRPr="006C3DF2" w:rsidRDefault="00E0792D" w:rsidP="00E0792D">
      <w:pPr>
        <w:pStyle w:val="SingleTxtG"/>
        <w:rPr>
          <w:iCs/>
          <w:lang w:val="fr-FR"/>
        </w:rPr>
      </w:pPr>
      <w:r w:rsidRPr="006C3DF2">
        <w:rPr>
          <w:iCs/>
          <w:lang w:val="fr-FR"/>
        </w:rPr>
        <w:t>1.6.1.45</w:t>
      </w:r>
      <w:r w:rsidRPr="006C3DF2">
        <w:rPr>
          <w:iCs/>
          <w:lang w:val="fr-FR"/>
        </w:rPr>
        <w:tab/>
      </w:r>
      <w:r w:rsidRPr="006C3DF2">
        <w:rPr>
          <w:szCs w:val="24"/>
          <w:lang w:val="fr-FR"/>
        </w:rPr>
        <w:t xml:space="preserve">Les Parties </w:t>
      </w:r>
      <w:r w:rsidR="00587B24" w:rsidRPr="006C3DF2">
        <w:rPr>
          <w:szCs w:val="24"/>
          <w:lang w:val="fr-FR"/>
        </w:rPr>
        <w:t>contractantes pourront, jusqu’au</w:t>
      </w:r>
      <w:r w:rsidRPr="006C3DF2">
        <w:rPr>
          <w:szCs w:val="24"/>
          <w:lang w:val="fr-FR"/>
        </w:rPr>
        <w:t xml:space="preserve"> 31 décembre 2020, continuer à délivrer des certificats de formation pour les conseillers à la sécurité conformes au modèle applicable jusqu’au 31 décembre 2018, en lieu et place des certificats conformes aux prescriptions du paragraphe 1.8.3.18 applicables à partir du 1er janvier 2019. Ces certificats pourront continuer à être utilisés jusqu’au terme de leur validité de cinq ans.</w:t>
      </w:r>
      <w:r w:rsidRPr="006C3DF2">
        <w:rPr>
          <w:iCs/>
          <w:lang w:val="fr-FR"/>
        </w:rPr>
        <w:t>».</w:t>
      </w:r>
    </w:p>
    <w:p w14:paraId="4E69467C"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37C1DFCF" w14:textId="77777777" w:rsidR="00E0792D" w:rsidRPr="00587B24" w:rsidRDefault="00E0792D" w:rsidP="00E73877">
      <w:pPr>
        <w:pStyle w:val="SingleTxtG"/>
        <w:tabs>
          <w:tab w:val="left" w:pos="2268"/>
        </w:tabs>
        <w:rPr>
          <w:lang w:val="fr-FR"/>
        </w:rPr>
      </w:pPr>
      <w:r w:rsidRPr="006C3DF2">
        <w:rPr>
          <w:lang w:val="fr-FR"/>
        </w:rPr>
        <w:t>1.6.3</w:t>
      </w:r>
      <w:r w:rsidRPr="006C3DF2">
        <w:rPr>
          <w:lang w:val="fr-FR"/>
        </w:rPr>
        <w:tab/>
        <w:t>Ajouter les nouvelles mesures transitoire suivantes:</w:t>
      </w:r>
    </w:p>
    <w:p w14:paraId="23B3DD18" w14:textId="0A7754CC" w:rsidR="00E0792D" w:rsidRPr="006C3DF2" w:rsidRDefault="00E0792D" w:rsidP="00E0792D">
      <w:pPr>
        <w:pStyle w:val="SingleTxtG"/>
        <w:rPr>
          <w:lang w:val="fr-FR"/>
        </w:rPr>
      </w:pPr>
      <w:r w:rsidRPr="006C3DF2">
        <w:rPr>
          <w:lang w:val="fr-FR"/>
        </w:rPr>
        <w:t>«</w:t>
      </w:r>
      <w:r w:rsidRPr="006C3DF2">
        <w:rPr>
          <w:bCs/>
          <w:lang w:val="fr-FR"/>
        </w:rPr>
        <w:t>1.6.3.47</w:t>
      </w:r>
      <w:r w:rsidRPr="006C3DF2">
        <w:rPr>
          <w:lang w:val="fr-FR"/>
        </w:rPr>
        <w:tab/>
        <w:t xml:space="preserve">Les citernes fixes (véhicules-citernes) et citernes démontables </w:t>
      </w:r>
      <w:r>
        <w:rPr>
          <w:lang w:val="fr-FR"/>
        </w:rPr>
        <w:t>construites</w:t>
      </w:r>
      <w:r w:rsidRPr="006C3DF2">
        <w:rPr>
          <w:lang w:val="fr-FR"/>
        </w:rPr>
        <w:t xml:space="preserve"> avant le 1</w:t>
      </w:r>
      <w:r w:rsidRPr="006C3DF2">
        <w:rPr>
          <w:vertAlign w:val="superscript"/>
          <w:lang w:val="fr-FR"/>
        </w:rPr>
        <w:t>er</w:t>
      </w:r>
      <w:r w:rsidRPr="006C3DF2">
        <w:rPr>
          <w:lang w:val="fr-FR"/>
        </w:rPr>
        <w:t xml:space="preserve"> juillet 2019, </w:t>
      </w:r>
      <w:r>
        <w:rPr>
          <w:lang w:val="fr-FR"/>
        </w:rPr>
        <w:t>équipées</w:t>
      </w:r>
      <w:r w:rsidRPr="006C3DF2">
        <w:rPr>
          <w:lang w:val="fr-FR"/>
        </w:rPr>
        <w:t xml:space="preserve"> de soupapes de sécurité répondant aux prescriptions applicables jusqu’au 31 décembre 2018, mais qui ne satisfont pas aux prescriptions du dernier paragraphe du 6.8.3.2.9 concernant leur conception ou protection applicables à partir du 1</w:t>
      </w:r>
      <w:r w:rsidRPr="006C3DF2">
        <w:rPr>
          <w:vertAlign w:val="superscript"/>
          <w:lang w:val="fr-FR"/>
        </w:rPr>
        <w:t>er</w:t>
      </w:r>
      <w:r w:rsidRPr="006C3DF2">
        <w:rPr>
          <w:lang w:val="fr-FR"/>
        </w:rPr>
        <w:t xml:space="preserve"> janvier 2019, pourront </w:t>
      </w:r>
      <w:r w:rsidR="00587B24">
        <w:rPr>
          <w:lang w:val="fr-FR"/>
        </w:rPr>
        <w:t>encore</w:t>
      </w:r>
      <w:r w:rsidRPr="006C3DF2">
        <w:rPr>
          <w:lang w:val="fr-FR"/>
        </w:rPr>
        <w:t xml:space="preserve"> être </w:t>
      </w:r>
      <w:r>
        <w:rPr>
          <w:lang w:val="fr-FR"/>
        </w:rPr>
        <w:t>utilisées</w:t>
      </w:r>
      <w:r w:rsidRPr="006C3DF2">
        <w:rPr>
          <w:lang w:val="fr-FR"/>
        </w:rPr>
        <w:t xml:space="preserve"> jusqu’au prochain contrôle intermédiaire ou périodique devant avoir lieu après le 1</w:t>
      </w:r>
      <w:r w:rsidRPr="006C3DF2">
        <w:rPr>
          <w:vertAlign w:val="superscript"/>
          <w:lang w:val="fr-FR"/>
        </w:rPr>
        <w:t>er</w:t>
      </w:r>
      <w:r w:rsidRPr="006C3DF2">
        <w:rPr>
          <w:lang w:val="fr-FR"/>
        </w:rPr>
        <w:t> janvier 2021.</w:t>
      </w:r>
    </w:p>
    <w:p w14:paraId="4635B3D7" w14:textId="789019C4" w:rsidR="00E0792D" w:rsidRPr="006C3DF2" w:rsidRDefault="00E0792D" w:rsidP="00E0792D">
      <w:pPr>
        <w:pStyle w:val="SingleTxtG"/>
        <w:rPr>
          <w:lang w:val="fr-FR"/>
        </w:rPr>
      </w:pPr>
      <w:r w:rsidRPr="006C3DF2">
        <w:rPr>
          <w:bCs/>
          <w:lang w:val="fr-FR"/>
        </w:rPr>
        <w:t>1.6.3.48</w:t>
      </w:r>
      <w:r w:rsidRPr="006C3DF2">
        <w:rPr>
          <w:b/>
          <w:lang w:val="fr-FR"/>
        </w:rPr>
        <w:tab/>
      </w:r>
      <w:r w:rsidRPr="006C3DF2">
        <w:rPr>
          <w:lang w:val="fr-FR"/>
        </w:rPr>
        <w:t>Nonobstant les prescription</w:t>
      </w:r>
      <w:r w:rsidR="00587B24">
        <w:rPr>
          <w:lang w:val="fr-FR"/>
        </w:rPr>
        <w:t>s de la disposition spéciale TU</w:t>
      </w:r>
      <w:r w:rsidR="00DD0FEC">
        <w:rPr>
          <w:lang w:val="fr-FR"/>
        </w:rPr>
        <w:t xml:space="preserve"> </w:t>
      </w:r>
      <w:r w:rsidRPr="006C3DF2">
        <w:rPr>
          <w:lang w:val="fr-FR"/>
        </w:rPr>
        <w:t>42 du 4.3.5 applicables à partir du 1</w:t>
      </w:r>
      <w:r w:rsidRPr="006C3DF2">
        <w:rPr>
          <w:vertAlign w:val="superscript"/>
          <w:lang w:val="fr-FR"/>
        </w:rPr>
        <w:t>er</w:t>
      </w:r>
      <w:r w:rsidRPr="006C3DF2">
        <w:rPr>
          <w:lang w:val="fr-FR"/>
        </w:rPr>
        <w:t xml:space="preserve"> janvier 2019, les citernes fixes (véhicules-citernes) et citernes démontables dont le réservoir est construit en alliage d’aluminium, y compris celles équipées d’un revêtement protecteur, qui étaient </w:t>
      </w:r>
      <w:r>
        <w:rPr>
          <w:lang w:val="fr-FR"/>
        </w:rPr>
        <w:t>utilisées</w:t>
      </w:r>
      <w:r w:rsidRPr="006C3DF2">
        <w:rPr>
          <w:lang w:val="fr-FR"/>
        </w:rPr>
        <w:t xml:space="preserve"> avant le 1</w:t>
      </w:r>
      <w:r w:rsidRPr="006C3DF2">
        <w:rPr>
          <w:vertAlign w:val="superscript"/>
          <w:lang w:val="fr-FR"/>
        </w:rPr>
        <w:t>er</w:t>
      </w:r>
      <w:r w:rsidRPr="006C3DF2">
        <w:rPr>
          <w:lang w:val="fr-FR"/>
        </w:rPr>
        <w:t xml:space="preserve"> janvier 2019 pour le transport de matières avec un pH inférieur à 5,0 ou supérieur à 8,0, pourront </w:t>
      </w:r>
      <w:r w:rsidR="00587B24">
        <w:rPr>
          <w:lang w:val="fr-FR"/>
        </w:rPr>
        <w:t>encore</w:t>
      </w:r>
      <w:r w:rsidRPr="006C3DF2">
        <w:rPr>
          <w:lang w:val="fr-FR"/>
        </w:rPr>
        <w:t xml:space="preserve"> être </w:t>
      </w:r>
      <w:r>
        <w:rPr>
          <w:lang w:val="fr-FR"/>
        </w:rPr>
        <w:t>utilisées</w:t>
      </w:r>
      <w:r w:rsidRPr="006C3DF2">
        <w:rPr>
          <w:lang w:val="fr-FR"/>
        </w:rPr>
        <w:t xml:space="preserve"> pour le transport de ces matières jusqu’au 31 décembre 2022.</w:t>
      </w:r>
    </w:p>
    <w:p w14:paraId="7BE790E5" w14:textId="5F345439" w:rsidR="00E0792D" w:rsidRPr="006C3DF2" w:rsidRDefault="00E0792D" w:rsidP="00E0792D">
      <w:pPr>
        <w:pStyle w:val="SingleTxtG"/>
        <w:rPr>
          <w:lang w:val="fr-FR"/>
        </w:rPr>
      </w:pPr>
      <w:r w:rsidRPr="006C3DF2">
        <w:rPr>
          <w:bCs/>
          <w:lang w:val="fr-FR"/>
        </w:rPr>
        <w:t>1.6.3.51</w:t>
      </w:r>
      <w:r w:rsidRPr="006C3DF2">
        <w:rPr>
          <w:b/>
          <w:lang w:val="fr-FR"/>
        </w:rPr>
        <w:tab/>
      </w:r>
      <w:r w:rsidRPr="006C3DF2">
        <w:rPr>
          <w:lang w:val="fr-FR"/>
        </w:rPr>
        <w:t xml:space="preserve">Les citernes fixes (véhicules-citernes) et citernes démontables </w:t>
      </w:r>
      <w:r>
        <w:rPr>
          <w:lang w:val="fr-FR"/>
        </w:rPr>
        <w:t>construites</w:t>
      </w:r>
      <w:r w:rsidRPr="006C3DF2">
        <w:rPr>
          <w:lang w:val="fr-FR"/>
        </w:rPr>
        <w:t xml:space="preserve"> avant le 1</w:t>
      </w:r>
      <w:r w:rsidRPr="006C3DF2">
        <w:rPr>
          <w:vertAlign w:val="superscript"/>
          <w:lang w:val="fr-FR"/>
        </w:rPr>
        <w:t>er</w:t>
      </w:r>
      <w:r w:rsidRPr="006C3DF2">
        <w:rPr>
          <w:lang w:val="fr-FR"/>
        </w:rPr>
        <w:t> juillet 2019 conformément aux prescriptions applicables jusqu’au 31 décembre 2018, mais qui ne sont pas conformes aux prescriptions du 6.8.2.1.23 en ce qui concerne le contrôle des soudures dans la carre des fonds de la citerne applicables à partir du 1</w:t>
      </w:r>
      <w:r w:rsidRPr="006C3DF2">
        <w:rPr>
          <w:vertAlign w:val="superscript"/>
          <w:lang w:val="fr-FR"/>
        </w:rPr>
        <w:t>er</w:t>
      </w:r>
      <w:r w:rsidRPr="006C3DF2">
        <w:rPr>
          <w:lang w:val="fr-FR"/>
        </w:rPr>
        <w:t xml:space="preserve"> janvier 2019 </w:t>
      </w:r>
      <w:r>
        <w:rPr>
          <w:lang w:val="fr-FR"/>
        </w:rPr>
        <w:t>pourront encore être utilisées</w:t>
      </w:r>
      <w:r w:rsidRPr="006C3DF2">
        <w:rPr>
          <w:lang w:val="fr-FR"/>
        </w:rPr>
        <w:t>.</w:t>
      </w:r>
    </w:p>
    <w:p w14:paraId="2B10A37F" w14:textId="705D8D56" w:rsidR="00E0792D" w:rsidRPr="006C3DF2" w:rsidRDefault="00E0792D" w:rsidP="00E0792D">
      <w:pPr>
        <w:pStyle w:val="SingleTxtG"/>
        <w:rPr>
          <w:lang w:val="fr-FR"/>
        </w:rPr>
      </w:pPr>
      <w:r w:rsidRPr="006C3DF2">
        <w:rPr>
          <w:bCs/>
          <w:lang w:val="fr-FR"/>
        </w:rPr>
        <w:t>1.6.3.52</w:t>
      </w:r>
      <w:r w:rsidRPr="006C3DF2">
        <w:rPr>
          <w:b/>
          <w:lang w:val="fr-FR"/>
        </w:rPr>
        <w:tab/>
      </w:r>
      <w:r w:rsidRPr="006C3DF2">
        <w:rPr>
          <w:lang w:val="fr-FR"/>
        </w:rPr>
        <w:t xml:space="preserve">Les citernes fixes (véhicules-citernes) et citernes démontables </w:t>
      </w:r>
      <w:r>
        <w:rPr>
          <w:lang w:val="fr-FR"/>
        </w:rPr>
        <w:t>construites</w:t>
      </w:r>
      <w:r w:rsidRPr="006C3DF2">
        <w:rPr>
          <w:lang w:val="fr-FR"/>
        </w:rPr>
        <w:t xml:space="preserve"> avant le 1</w:t>
      </w:r>
      <w:r w:rsidRPr="006C3DF2">
        <w:rPr>
          <w:vertAlign w:val="superscript"/>
          <w:lang w:val="fr-FR"/>
        </w:rPr>
        <w:t>er</w:t>
      </w:r>
      <w:r w:rsidRPr="006C3DF2">
        <w:rPr>
          <w:lang w:val="fr-FR"/>
        </w:rPr>
        <w:t> juillet 2019 conformément aux prescriptions applicables jusqu’au 31 décembre 2018, mais qui ne sont pas conformes aux prescriptions du 6.8.2.2.11 applicables à partir du 1</w:t>
      </w:r>
      <w:r w:rsidRPr="006C3DF2">
        <w:rPr>
          <w:vertAlign w:val="superscript"/>
          <w:lang w:val="fr-FR"/>
        </w:rPr>
        <w:t>er</w:t>
      </w:r>
      <w:r w:rsidRPr="006C3DF2">
        <w:rPr>
          <w:lang w:val="fr-FR"/>
        </w:rPr>
        <w:t xml:space="preserve"> janvier 2019 </w:t>
      </w:r>
      <w:r>
        <w:rPr>
          <w:lang w:val="fr-FR"/>
        </w:rPr>
        <w:t>pourront encore être utilisées</w:t>
      </w:r>
      <w:r w:rsidRPr="006C3DF2">
        <w:rPr>
          <w:lang w:val="fr-FR"/>
        </w:rPr>
        <w:t>.».</w:t>
      </w:r>
    </w:p>
    <w:p w14:paraId="45E6D540" w14:textId="77777777" w:rsidR="00C20E32" w:rsidRPr="006C3DF2" w:rsidRDefault="00C20E32" w:rsidP="00C20E32">
      <w:pPr>
        <w:pStyle w:val="SingleTxtG"/>
        <w:rPr>
          <w:i/>
          <w:iCs/>
          <w:lang w:val="fr-FR"/>
        </w:rPr>
      </w:pPr>
      <w:r w:rsidRPr="006C3DF2">
        <w:rPr>
          <w:i/>
          <w:iCs/>
          <w:lang w:val="fr-FR"/>
        </w:rPr>
        <w:t>(Document de référence: ECE/TRANS/WP.15/AC.1/144, annexe II</w:t>
      </w:r>
      <w:r>
        <w:rPr>
          <w:i/>
          <w:iCs/>
          <w:lang w:val="fr-FR"/>
        </w:rPr>
        <w:t xml:space="preserve"> et</w:t>
      </w:r>
      <w:r w:rsidRPr="006C3DF2">
        <w:rPr>
          <w:i/>
          <w:iCs/>
          <w:lang w:val="fr-FR"/>
        </w:rPr>
        <w:t xml:space="preserve"> ECE/TRANS/WP.15/AC.1/146, annexe II)</w:t>
      </w:r>
    </w:p>
    <w:p w14:paraId="669CA01A" w14:textId="6EA1FF09" w:rsidR="00E0792D" w:rsidRPr="006C3DF2" w:rsidRDefault="00E0792D" w:rsidP="00E73877">
      <w:pPr>
        <w:pStyle w:val="SingleTxtG"/>
        <w:tabs>
          <w:tab w:val="left" w:pos="2268"/>
        </w:tabs>
        <w:rPr>
          <w:lang w:val="fr-FR"/>
        </w:rPr>
      </w:pPr>
      <w:r w:rsidRPr="006C3DF2">
        <w:rPr>
          <w:lang w:val="fr-FR"/>
        </w:rPr>
        <w:lastRenderedPageBreak/>
        <w:t>1.6.4</w:t>
      </w:r>
      <w:r w:rsidRPr="006C3DF2">
        <w:rPr>
          <w:lang w:val="fr-FR"/>
        </w:rPr>
        <w:tab/>
        <w:t>Ajouter les nouvelles mesures transitoires suivantes:</w:t>
      </w:r>
    </w:p>
    <w:p w14:paraId="21B6F8D6" w14:textId="4A001071" w:rsidR="00E0792D" w:rsidRPr="006C3DF2" w:rsidRDefault="00E0792D" w:rsidP="00E0792D">
      <w:pPr>
        <w:pStyle w:val="SingleTxtG"/>
        <w:rPr>
          <w:lang w:val="fr-FR"/>
        </w:rPr>
      </w:pPr>
      <w:r w:rsidRPr="006C3DF2">
        <w:rPr>
          <w:lang w:val="fr-FR"/>
        </w:rPr>
        <w:t>«</w:t>
      </w:r>
      <w:r w:rsidRPr="006C3DF2">
        <w:rPr>
          <w:bCs/>
          <w:lang w:val="fr-FR"/>
        </w:rPr>
        <w:t>1.6.4.49</w:t>
      </w:r>
      <w:r w:rsidRPr="006C3DF2">
        <w:rPr>
          <w:b/>
          <w:lang w:val="fr-FR"/>
        </w:rPr>
        <w:tab/>
      </w:r>
      <w:r w:rsidRPr="006C3DF2">
        <w:rPr>
          <w:lang w:val="fr-FR"/>
        </w:rPr>
        <w:t>Les conteneurs-citernes construits avant le 1</w:t>
      </w:r>
      <w:r w:rsidRPr="006C3DF2">
        <w:rPr>
          <w:vertAlign w:val="superscript"/>
          <w:lang w:val="fr-FR"/>
        </w:rPr>
        <w:t>er</w:t>
      </w:r>
      <w:r w:rsidRPr="006C3DF2">
        <w:rPr>
          <w:lang w:val="fr-FR"/>
        </w:rPr>
        <w:t xml:space="preserve"> juillet 2019, équipés de soupapes de sécurité répondant aux prescriptions applicables jusqu’au 31 décembre 2018, mais qui ne satisfont pas aux prescriptions du dernier paragraphe du 6.8.3.2.9 concernant leur conception ou protection applicables à partir du 1</w:t>
      </w:r>
      <w:r w:rsidRPr="006C3DF2">
        <w:rPr>
          <w:vertAlign w:val="superscript"/>
          <w:lang w:val="fr-FR"/>
        </w:rPr>
        <w:t>er</w:t>
      </w:r>
      <w:r w:rsidRPr="006C3DF2">
        <w:rPr>
          <w:lang w:val="fr-FR"/>
        </w:rPr>
        <w:t xml:space="preserve"> janvier 2019, pourront </w:t>
      </w:r>
      <w:r w:rsidR="00C20E32">
        <w:rPr>
          <w:lang w:val="fr-FR"/>
        </w:rPr>
        <w:t>encore</w:t>
      </w:r>
      <w:r w:rsidRPr="006C3DF2">
        <w:rPr>
          <w:lang w:val="fr-FR"/>
        </w:rPr>
        <w:t xml:space="preserve"> être utilisés jusqu’au prochain contrôle intermédiaire ou périodique devant avoir lieu après le 1</w:t>
      </w:r>
      <w:r w:rsidRPr="006C3DF2">
        <w:rPr>
          <w:vertAlign w:val="superscript"/>
          <w:lang w:val="fr-FR"/>
        </w:rPr>
        <w:t>er</w:t>
      </w:r>
      <w:r w:rsidRPr="006C3DF2">
        <w:rPr>
          <w:lang w:val="fr-FR"/>
        </w:rPr>
        <w:t> janvier 2021.</w:t>
      </w:r>
    </w:p>
    <w:p w14:paraId="3702752C" w14:textId="130A911D" w:rsidR="00E0792D" w:rsidRPr="006C3DF2" w:rsidRDefault="00E0792D" w:rsidP="00E0792D">
      <w:pPr>
        <w:pStyle w:val="SingleTxtG"/>
        <w:rPr>
          <w:b/>
          <w:lang w:val="fr-FR"/>
        </w:rPr>
      </w:pPr>
      <w:r w:rsidRPr="006C3DF2">
        <w:rPr>
          <w:bCs/>
          <w:lang w:val="fr-FR"/>
        </w:rPr>
        <w:t>1.6.4.50</w:t>
      </w:r>
      <w:r w:rsidRPr="006C3DF2">
        <w:rPr>
          <w:b/>
          <w:lang w:val="fr-FR"/>
        </w:rPr>
        <w:tab/>
      </w:r>
      <w:r w:rsidRPr="006C3DF2">
        <w:rPr>
          <w:lang w:val="fr-FR"/>
        </w:rPr>
        <w:t>Nonobstant les prescriptions de la disposition spéciale TU42 du 4.3.5 applicables à partir du 1</w:t>
      </w:r>
      <w:r w:rsidRPr="006C3DF2">
        <w:rPr>
          <w:vertAlign w:val="superscript"/>
          <w:lang w:val="fr-FR"/>
        </w:rPr>
        <w:t>er</w:t>
      </w:r>
      <w:r w:rsidRPr="006C3DF2">
        <w:rPr>
          <w:lang w:val="fr-FR"/>
        </w:rPr>
        <w:t> janvier 2019, les conteneurs-citernes dont le réservoir est construit en alliage d’aluminium, y compris ceux équipés d’un revêtement protecteur, qui étaient utilisés avant le 1</w:t>
      </w:r>
      <w:r w:rsidRPr="006C3DF2">
        <w:rPr>
          <w:vertAlign w:val="superscript"/>
          <w:lang w:val="fr-FR"/>
        </w:rPr>
        <w:t>er</w:t>
      </w:r>
      <w:r w:rsidRPr="006C3DF2">
        <w:rPr>
          <w:lang w:val="fr-FR"/>
        </w:rPr>
        <w:t xml:space="preserve"> janvier 2019 pour le transport de matières avec un pH inférieur à 5,0 ou supérieur à 8,0, pourront </w:t>
      </w:r>
      <w:r w:rsidR="00C20E32">
        <w:rPr>
          <w:lang w:val="fr-FR"/>
        </w:rPr>
        <w:t>encore</w:t>
      </w:r>
      <w:r w:rsidRPr="006C3DF2">
        <w:rPr>
          <w:lang w:val="fr-FR"/>
        </w:rPr>
        <w:t xml:space="preserve"> être utilisés pour le transport de ces matières jusqu’au 31 décembre 2022. </w:t>
      </w:r>
    </w:p>
    <w:p w14:paraId="6BF25E9F" w14:textId="438D3859" w:rsidR="00E0792D" w:rsidRPr="006C3DF2" w:rsidRDefault="00E0792D" w:rsidP="00E0792D">
      <w:pPr>
        <w:pStyle w:val="SingleTxtG"/>
        <w:rPr>
          <w:lang w:val="fr-FR"/>
        </w:rPr>
      </w:pPr>
      <w:r w:rsidRPr="006C3DF2">
        <w:rPr>
          <w:bCs/>
          <w:lang w:val="fr-FR"/>
        </w:rPr>
        <w:t>1.6.4.53</w:t>
      </w:r>
      <w:r w:rsidRPr="006C3DF2">
        <w:rPr>
          <w:b/>
          <w:lang w:val="fr-FR"/>
        </w:rPr>
        <w:tab/>
      </w:r>
      <w:r w:rsidRPr="006C3DF2">
        <w:rPr>
          <w:lang w:val="fr-FR"/>
        </w:rPr>
        <w:t>Les conteneurs-citernes construits avant le 1</w:t>
      </w:r>
      <w:r w:rsidRPr="006C3DF2">
        <w:rPr>
          <w:vertAlign w:val="superscript"/>
          <w:lang w:val="fr-FR"/>
        </w:rPr>
        <w:t>er</w:t>
      </w:r>
      <w:r w:rsidRPr="006C3DF2">
        <w:rPr>
          <w:lang w:val="fr-FR"/>
        </w:rPr>
        <w:t> juillet 2019 conformément aux prescriptions applicables jusqu’au 31 décembre 2018, mais qui ne sont pas conformes aux prescriptions du 6.8.2.1.23 en ce qui concerne le contrôle des soudures dans la carre des fonds de la citerne applicables à partir du 1</w:t>
      </w:r>
      <w:r w:rsidRPr="006C3DF2">
        <w:rPr>
          <w:vertAlign w:val="superscript"/>
          <w:lang w:val="fr-FR"/>
        </w:rPr>
        <w:t>er</w:t>
      </w:r>
      <w:r w:rsidRPr="006C3DF2">
        <w:rPr>
          <w:lang w:val="fr-FR"/>
        </w:rPr>
        <w:t xml:space="preserve"> janvier 2019 </w:t>
      </w:r>
      <w:r>
        <w:rPr>
          <w:lang w:val="fr-FR"/>
        </w:rPr>
        <w:t>pourront encore être utilisés</w:t>
      </w:r>
      <w:r w:rsidRPr="006C3DF2">
        <w:rPr>
          <w:lang w:val="fr-FR"/>
        </w:rPr>
        <w:t>.</w:t>
      </w:r>
    </w:p>
    <w:p w14:paraId="71737D7F" w14:textId="6A68B7BB" w:rsidR="00E0792D" w:rsidRPr="006C3DF2" w:rsidRDefault="00E0792D" w:rsidP="00E0792D">
      <w:pPr>
        <w:pStyle w:val="SingleTxtG"/>
        <w:rPr>
          <w:lang w:val="fr-FR"/>
        </w:rPr>
      </w:pPr>
      <w:r w:rsidRPr="006C3DF2">
        <w:rPr>
          <w:bCs/>
          <w:lang w:val="fr-FR"/>
        </w:rPr>
        <w:t>1.6.4.54</w:t>
      </w:r>
      <w:r w:rsidRPr="006C3DF2">
        <w:rPr>
          <w:b/>
          <w:lang w:val="fr-FR"/>
        </w:rPr>
        <w:tab/>
      </w:r>
      <w:r w:rsidRPr="006C3DF2">
        <w:rPr>
          <w:lang w:val="fr-FR"/>
        </w:rPr>
        <w:t>Les conteneurs-citernes construits avant le 1</w:t>
      </w:r>
      <w:r w:rsidRPr="006C3DF2">
        <w:rPr>
          <w:vertAlign w:val="superscript"/>
          <w:lang w:val="fr-FR"/>
        </w:rPr>
        <w:t>er</w:t>
      </w:r>
      <w:r w:rsidRPr="006C3DF2">
        <w:rPr>
          <w:lang w:val="fr-FR"/>
        </w:rPr>
        <w:t> juillet 2019 conformément aux prescriptions applicables jusqu’au 31 décembre 2018, mais qui ne sont pas conformes aux prescriptions du 6.8.2.2.11 applicables à partir du 1</w:t>
      </w:r>
      <w:r w:rsidRPr="006C3DF2">
        <w:rPr>
          <w:vertAlign w:val="superscript"/>
          <w:lang w:val="fr-FR"/>
        </w:rPr>
        <w:t>er</w:t>
      </w:r>
      <w:r w:rsidRPr="006C3DF2">
        <w:rPr>
          <w:lang w:val="fr-FR"/>
        </w:rPr>
        <w:t xml:space="preserve"> janvier 2019 </w:t>
      </w:r>
      <w:r>
        <w:rPr>
          <w:lang w:val="fr-FR"/>
        </w:rPr>
        <w:t>pourront encore être utilisés</w:t>
      </w:r>
      <w:r w:rsidRPr="006C3DF2">
        <w:rPr>
          <w:lang w:val="fr-FR"/>
        </w:rPr>
        <w:t>.».</w:t>
      </w:r>
    </w:p>
    <w:p w14:paraId="76A268CB" w14:textId="73B2DF74" w:rsidR="00E0792D" w:rsidRPr="006C3DF2" w:rsidRDefault="00E0792D" w:rsidP="00E0792D">
      <w:pPr>
        <w:pStyle w:val="SingleTxtG"/>
        <w:rPr>
          <w:i/>
          <w:iCs/>
          <w:lang w:val="fr-FR"/>
        </w:rPr>
      </w:pPr>
      <w:r w:rsidRPr="006C3DF2">
        <w:rPr>
          <w:i/>
          <w:iCs/>
          <w:lang w:val="fr-FR"/>
        </w:rPr>
        <w:t>(Document de référence: ECE/TRANS/WP.15/AC.1/144, annexe II</w:t>
      </w:r>
      <w:r w:rsidR="00C20E32">
        <w:rPr>
          <w:i/>
          <w:iCs/>
          <w:lang w:val="fr-FR"/>
        </w:rPr>
        <w:t xml:space="preserve"> et</w:t>
      </w:r>
      <w:r w:rsidRPr="006C3DF2">
        <w:rPr>
          <w:i/>
          <w:iCs/>
          <w:lang w:val="fr-FR"/>
        </w:rPr>
        <w:t xml:space="preserve"> ECE/TRANS/WP.15/AC.1/146, annexe II)</w:t>
      </w:r>
    </w:p>
    <w:p w14:paraId="4F9B3718" w14:textId="77777777" w:rsidR="00E0792D" w:rsidRPr="006C3DF2" w:rsidRDefault="00E0792D" w:rsidP="00E623CA">
      <w:pPr>
        <w:pStyle w:val="SingleTxtG"/>
        <w:tabs>
          <w:tab w:val="left" w:pos="2268"/>
        </w:tabs>
        <w:rPr>
          <w:lang w:val="fr-FR"/>
        </w:rPr>
      </w:pPr>
      <w:r w:rsidRPr="006C3DF2">
        <w:rPr>
          <w:lang w:val="fr-FR"/>
        </w:rPr>
        <w:t>1.6.5</w:t>
      </w:r>
      <w:r w:rsidRPr="006C3DF2">
        <w:rPr>
          <w:lang w:val="fr-FR"/>
        </w:rPr>
        <w:tab/>
        <w:t>Ajouter la nouvelle mesure transitoire suivante:</w:t>
      </w:r>
    </w:p>
    <w:p w14:paraId="109D7D98" w14:textId="72AAFC53" w:rsidR="00E0792D" w:rsidRPr="006C3DF2" w:rsidRDefault="00E0792D" w:rsidP="00E623CA">
      <w:pPr>
        <w:pStyle w:val="SingleTxtG"/>
        <w:tabs>
          <w:tab w:val="left" w:pos="2268"/>
        </w:tabs>
        <w:rPr>
          <w:lang w:val="fr-FR"/>
        </w:rPr>
      </w:pPr>
      <w:r w:rsidRPr="006C3DF2">
        <w:rPr>
          <w:lang w:val="fr-FR"/>
        </w:rPr>
        <w:t>«1.6.5.22</w:t>
      </w:r>
      <w:r w:rsidRPr="006C3DF2">
        <w:rPr>
          <w:lang w:val="fr-FR"/>
        </w:rPr>
        <w:tab/>
        <w:t xml:space="preserve">Les véhicules immatriculés pour la première fois (ou mis en circulation, si l’immatriculation n’est pas obligatoire) avant le </w:t>
      </w:r>
      <w:r>
        <w:rPr>
          <w:lang w:val="fr-FR"/>
        </w:rPr>
        <w:t>1</w:t>
      </w:r>
      <w:r w:rsidRPr="006C3DF2">
        <w:rPr>
          <w:lang w:val="fr-FR"/>
        </w:rPr>
        <w:t xml:space="preserve">er janvier 2021 qui sont conformes aux prescriptions </w:t>
      </w:r>
      <w:r w:rsidR="00B1494A">
        <w:rPr>
          <w:lang w:val="fr-FR"/>
        </w:rPr>
        <w:t>du</w:t>
      </w:r>
      <w:r w:rsidRPr="006C3DF2">
        <w:rPr>
          <w:lang w:val="fr-FR"/>
        </w:rPr>
        <w:t xml:space="preserve"> 9.7.3 applicables jusqu’au 31 décembre 2018, mais qui ne sont pas</w:t>
      </w:r>
      <w:r w:rsidRPr="006C3DF2" w:rsidDel="004E5308">
        <w:rPr>
          <w:lang w:val="fr-FR"/>
        </w:rPr>
        <w:t xml:space="preserve"> </w:t>
      </w:r>
      <w:r w:rsidRPr="006C3DF2">
        <w:rPr>
          <w:lang w:val="fr-FR"/>
        </w:rPr>
        <w:t xml:space="preserve">conformes aux prescriptions </w:t>
      </w:r>
      <w:r w:rsidR="00B1494A">
        <w:rPr>
          <w:lang w:val="fr-FR"/>
        </w:rPr>
        <w:t>du</w:t>
      </w:r>
      <w:r w:rsidRPr="006C3DF2">
        <w:rPr>
          <w:lang w:val="fr-FR"/>
        </w:rPr>
        <w:t xml:space="preserve"> 9.7.3 applicables à compter du 1er janvier 2019, </w:t>
      </w:r>
      <w:r>
        <w:rPr>
          <w:lang w:val="fr-FR"/>
        </w:rPr>
        <w:t>pourront encore être utilisés</w:t>
      </w:r>
      <w:r w:rsidRPr="006C3DF2">
        <w:rPr>
          <w:lang w:val="fr-FR"/>
        </w:rPr>
        <w:t>.».</w:t>
      </w:r>
    </w:p>
    <w:p w14:paraId="04E7FCF3" w14:textId="77777777" w:rsidR="00E0792D" w:rsidRPr="006C3DF2" w:rsidRDefault="00E0792D" w:rsidP="00E623CA">
      <w:pPr>
        <w:pStyle w:val="SingleTxtG"/>
        <w:tabs>
          <w:tab w:val="left" w:pos="2268"/>
        </w:tabs>
        <w:rPr>
          <w:lang w:val="fr-FR"/>
        </w:rPr>
      </w:pPr>
      <w:r w:rsidRPr="006C3DF2">
        <w:rPr>
          <w:i/>
          <w:iCs/>
          <w:lang w:val="fr-FR"/>
        </w:rPr>
        <w:t>(Document de référence: ECE/TRANS/WP.15/2017/7, proposition 1, telle que modifiée)</w:t>
      </w:r>
    </w:p>
    <w:p w14:paraId="52DFA9C1" w14:textId="77777777" w:rsidR="00E0792D" w:rsidRPr="00E0792D" w:rsidRDefault="00E0792D" w:rsidP="00E0792D">
      <w:pPr>
        <w:pStyle w:val="H1G"/>
      </w:pPr>
      <w:r w:rsidRPr="00E0792D">
        <w:tab/>
      </w:r>
      <w:r w:rsidRPr="00E0792D">
        <w:tab/>
        <w:t>Chapter 1.8</w:t>
      </w:r>
    </w:p>
    <w:p w14:paraId="698022C8" w14:textId="77777777" w:rsidR="00E0792D" w:rsidRPr="006C3DF2" w:rsidRDefault="00E0792D" w:rsidP="00E623CA">
      <w:pPr>
        <w:pStyle w:val="SingleTxtG"/>
        <w:tabs>
          <w:tab w:val="left" w:pos="2268"/>
        </w:tabs>
        <w:rPr>
          <w:lang w:val="fr-FR"/>
        </w:rPr>
      </w:pPr>
      <w:r w:rsidRPr="006C3DF2">
        <w:rPr>
          <w:lang w:val="fr-FR"/>
        </w:rPr>
        <w:t>1.8.3</w:t>
      </w:r>
      <w:r w:rsidRPr="006C3DF2">
        <w:rPr>
          <w:lang w:val="fr-FR"/>
        </w:rPr>
        <w:tab/>
        <w:t>Insérer la nouvelle sous-section 1.8.3.19 suivante:</w:t>
      </w:r>
    </w:p>
    <w:p w14:paraId="73C35268" w14:textId="77777777" w:rsidR="00E0792D" w:rsidRPr="00E73877" w:rsidRDefault="00E0792D" w:rsidP="00E623CA">
      <w:pPr>
        <w:pStyle w:val="SingleTxtG"/>
        <w:tabs>
          <w:tab w:val="left" w:pos="2268"/>
        </w:tabs>
        <w:rPr>
          <w:i/>
          <w:lang w:val="fr-FR"/>
        </w:rPr>
      </w:pPr>
      <w:r w:rsidRPr="006C3DF2">
        <w:rPr>
          <w:lang w:val="fr-FR"/>
        </w:rPr>
        <w:t>«1.8.3.19</w:t>
      </w:r>
      <w:r w:rsidRPr="006C3DF2">
        <w:rPr>
          <w:lang w:val="fr-FR"/>
        </w:rPr>
        <w:tab/>
      </w:r>
      <w:r w:rsidRPr="00E73877">
        <w:rPr>
          <w:i/>
          <w:lang w:val="fr-FR"/>
        </w:rPr>
        <w:t>Extension du certificat</w:t>
      </w:r>
    </w:p>
    <w:p w14:paraId="273D545F" w14:textId="77777777" w:rsidR="00E0792D" w:rsidRPr="006C3DF2" w:rsidRDefault="00E0792D" w:rsidP="00E623CA">
      <w:pPr>
        <w:pStyle w:val="SingleTxtG"/>
        <w:tabs>
          <w:tab w:val="left" w:pos="2552"/>
        </w:tabs>
        <w:rPr>
          <w:lang w:val="fr-FR"/>
        </w:rPr>
      </w:pPr>
      <w:r w:rsidRPr="006C3DF2">
        <w:rPr>
          <w:lang w:val="fr-FR"/>
        </w:rPr>
        <w:t>Lorsqu’un conseiller étend le champ d’application de son certificat pendant sa durée de validité, en répondant aux prescriptions du 1.8.3.16.2, la durée de validité du nouveau certificat reste celle du certificat précédent.».</w:t>
      </w:r>
    </w:p>
    <w:p w14:paraId="76DA8C43" w14:textId="77777777" w:rsidR="00E0792D" w:rsidRPr="006C3DF2" w:rsidRDefault="00E0792D" w:rsidP="00E623CA">
      <w:pPr>
        <w:pStyle w:val="SingleTxtG"/>
        <w:tabs>
          <w:tab w:val="left" w:pos="2552"/>
        </w:tabs>
        <w:rPr>
          <w:i/>
          <w:lang w:val="fr-FR"/>
        </w:rPr>
      </w:pPr>
      <w:r w:rsidRPr="006C3DF2">
        <w:rPr>
          <w:i/>
          <w:lang w:val="fr-FR"/>
        </w:rPr>
        <w:t>(Document de référence: ECE/TRANS/WP15/AC.1/146, annexe II)</w:t>
      </w:r>
    </w:p>
    <w:p w14:paraId="3943D8AE" w14:textId="44C85384" w:rsidR="00E0792D" w:rsidRPr="00E0792D" w:rsidRDefault="00E0792D" w:rsidP="00E0792D">
      <w:pPr>
        <w:pStyle w:val="H1G"/>
      </w:pPr>
      <w:r>
        <w:tab/>
      </w:r>
      <w:r>
        <w:tab/>
      </w:r>
      <w:r w:rsidRPr="00E0792D">
        <w:t>Chapter 1.9</w:t>
      </w:r>
    </w:p>
    <w:p w14:paraId="753168FA" w14:textId="502C4C9B" w:rsidR="00E0792D" w:rsidRPr="006C3DF2" w:rsidRDefault="00E623CA" w:rsidP="00E0792D">
      <w:pPr>
        <w:pStyle w:val="SingleTxtG"/>
        <w:rPr>
          <w:lang w:val="fr-FR"/>
        </w:rPr>
      </w:pPr>
      <w:r>
        <w:rPr>
          <w:lang w:val="fr-FR"/>
        </w:rPr>
        <w:t>1.9.5.2.2</w:t>
      </w:r>
      <w:r>
        <w:rPr>
          <w:lang w:val="fr-FR"/>
        </w:rPr>
        <w:tab/>
      </w:r>
      <w:r w:rsidR="00E0792D" w:rsidRPr="006C3DF2">
        <w:rPr>
          <w:lang w:val="fr-FR"/>
        </w:rPr>
        <w:t xml:space="preserve">Pour la catégorie de tunnel B, dans la première ligne du tableau, insérer une nouvelle rubrique après «Classe </w:t>
      </w:r>
      <w:proofErr w:type="gramStart"/>
      <w:r w:rsidR="00E0792D" w:rsidRPr="006C3DF2">
        <w:rPr>
          <w:lang w:val="fr-FR"/>
        </w:rPr>
        <w:t>1:</w:t>
      </w:r>
      <w:proofErr w:type="gramEnd"/>
      <w:r w:rsidR="00E0792D" w:rsidRPr="006C3DF2">
        <w:rPr>
          <w:lang w:val="fr-FR"/>
        </w:rPr>
        <w:t xml:space="preserve"> Groupes de Compatibilité A et L;» pour lire comme suit: «Classe 2: No. ONU </w:t>
      </w:r>
      <w:proofErr w:type="gramStart"/>
      <w:r w:rsidR="00E0792D" w:rsidRPr="006C3DF2">
        <w:rPr>
          <w:lang w:val="fr-FR"/>
        </w:rPr>
        <w:t>3529;</w:t>
      </w:r>
      <w:proofErr w:type="gramEnd"/>
      <w:r w:rsidR="00E0792D" w:rsidRPr="006C3DF2">
        <w:rPr>
          <w:lang w:val="fr-FR"/>
        </w:rPr>
        <w:t>».</w:t>
      </w:r>
    </w:p>
    <w:p w14:paraId="039532BD" w14:textId="0C4165DD" w:rsidR="00E0792D" w:rsidRPr="006C3DF2" w:rsidRDefault="00E623CA" w:rsidP="00E0792D">
      <w:pPr>
        <w:pStyle w:val="SingleTxtG"/>
        <w:rPr>
          <w:lang w:val="fr-FR"/>
        </w:rPr>
      </w:pPr>
      <w:r>
        <w:rPr>
          <w:lang w:val="fr-FR"/>
        </w:rPr>
        <w:lastRenderedPageBreak/>
        <w:t>1.9.5.2.2</w:t>
      </w:r>
      <w:r>
        <w:rPr>
          <w:lang w:val="fr-FR"/>
        </w:rPr>
        <w:tab/>
      </w:r>
      <w:r w:rsidR="00E0792D" w:rsidRPr="006C3DF2">
        <w:rPr>
          <w:lang w:val="fr-FR"/>
        </w:rPr>
        <w:t xml:space="preserve">Pour la catégorie de tunnel D, dans la première ligne du tableau, insérer une nouvelle rubrique après «Classe </w:t>
      </w:r>
      <w:proofErr w:type="gramStart"/>
      <w:r w:rsidR="00E0792D" w:rsidRPr="006C3DF2">
        <w:rPr>
          <w:lang w:val="fr-FR"/>
        </w:rPr>
        <w:t>2:</w:t>
      </w:r>
      <w:proofErr w:type="gramEnd"/>
      <w:r w:rsidR="00E0792D" w:rsidRPr="006C3DF2">
        <w:rPr>
          <w:lang w:val="fr-FR"/>
        </w:rPr>
        <w:t xml:space="preserve"> Codes de classifications F, FC, T, TF, TC, TO, TFC et TOC;» pour lire comme suit: «Classe 3: No. ONU </w:t>
      </w:r>
      <w:proofErr w:type="gramStart"/>
      <w:r w:rsidR="00E0792D" w:rsidRPr="006C3DF2">
        <w:rPr>
          <w:lang w:val="fr-FR"/>
        </w:rPr>
        <w:t>3528;</w:t>
      </w:r>
      <w:proofErr w:type="gramEnd"/>
      <w:r w:rsidR="00E0792D" w:rsidRPr="006C3DF2">
        <w:rPr>
          <w:lang w:val="fr-FR"/>
        </w:rPr>
        <w:t>».</w:t>
      </w:r>
    </w:p>
    <w:p w14:paraId="0DC83024" w14:textId="77777777" w:rsidR="00E0792D" w:rsidRPr="006C3DF2" w:rsidRDefault="00E0792D" w:rsidP="00E0792D">
      <w:pPr>
        <w:pStyle w:val="SingleTxtG"/>
        <w:rPr>
          <w:i/>
          <w:iCs/>
          <w:lang w:val="fr-FR"/>
        </w:rPr>
      </w:pPr>
      <w:r w:rsidRPr="006C3DF2">
        <w:rPr>
          <w:i/>
          <w:iCs/>
          <w:lang w:val="fr-FR"/>
        </w:rPr>
        <w:t>(Document de référence: ECE/TRANS/WP.15/2017/3, tel que modifié par le document informel INF.19)</w:t>
      </w:r>
    </w:p>
    <w:p w14:paraId="53EB8063" w14:textId="6C6852D0" w:rsidR="00E0792D" w:rsidRPr="00E0792D" w:rsidRDefault="00E0792D" w:rsidP="00E0792D">
      <w:pPr>
        <w:pStyle w:val="H1G"/>
      </w:pPr>
      <w:r w:rsidRPr="00E0792D">
        <w:tab/>
      </w:r>
      <w:r w:rsidRPr="00E0792D">
        <w:tab/>
        <w:t>Chapter 3.2</w:t>
      </w:r>
    </w:p>
    <w:p w14:paraId="0CA92F5C" w14:textId="77777777" w:rsidR="00E0792D" w:rsidRPr="006C3DF2" w:rsidRDefault="00E0792D" w:rsidP="00E73877">
      <w:pPr>
        <w:pStyle w:val="SingleTxtG"/>
        <w:tabs>
          <w:tab w:val="left" w:pos="2268"/>
        </w:tabs>
        <w:rPr>
          <w:lang w:val="fr-FR"/>
        </w:rPr>
      </w:pPr>
      <w:r w:rsidRPr="006C3DF2">
        <w:rPr>
          <w:lang w:val="fr-FR"/>
        </w:rPr>
        <w:t>3.2.1</w:t>
      </w:r>
      <w:r w:rsidRPr="006C3DF2">
        <w:rPr>
          <w:lang w:val="fr-FR"/>
        </w:rPr>
        <w:tab/>
        <w:t xml:space="preserve">Dans la note </w:t>
      </w:r>
      <w:r w:rsidRPr="006C3DF2">
        <w:rPr>
          <w:snapToGrid w:val="0"/>
          <w:lang w:val="fr-FR"/>
        </w:rPr>
        <w:t>explicative</w:t>
      </w:r>
      <w:r w:rsidRPr="006C3DF2">
        <w:rPr>
          <w:lang w:val="fr-FR"/>
        </w:rPr>
        <w:t xml:space="preserve"> relative à la colonne (9a), au troisième tiret, après «la lettre «L»», </w:t>
      </w:r>
      <w:proofErr w:type="gramStart"/>
      <w:r w:rsidRPr="006C3DF2">
        <w:rPr>
          <w:lang w:val="fr-FR"/>
        </w:rPr>
        <w:t>insérer:</w:t>
      </w:r>
      <w:proofErr w:type="gramEnd"/>
      <w:r w:rsidRPr="006C3DF2">
        <w:rPr>
          <w:lang w:val="fr-FR"/>
        </w:rPr>
        <w:t xml:space="preserve"> «ou les lettres «LL»» (deux fois).</w:t>
      </w:r>
    </w:p>
    <w:p w14:paraId="518A8448"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4A01B046" w14:textId="52E27AB7" w:rsidR="00E0792D" w:rsidRPr="00E0792D" w:rsidRDefault="00E0792D" w:rsidP="00F46508">
      <w:pPr>
        <w:pStyle w:val="H23G"/>
      </w:pPr>
      <w:r w:rsidRPr="00E0792D">
        <w:tab/>
      </w:r>
      <w:r w:rsidRPr="00E0792D">
        <w:tab/>
        <w:t>Table A</w:t>
      </w:r>
    </w:p>
    <w:p w14:paraId="3DD43968" w14:textId="77777777" w:rsidR="00E0792D" w:rsidRPr="006C3DF2" w:rsidRDefault="00E0792D" w:rsidP="00E0792D">
      <w:pPr>
        <w:pStyle w:val="SingleTxtG"/>
        <w:rPr>
          <w:i/>
          <w:iCs/>
          <w:lang w:val="fr-FR"/>
        </w:rPr>
      </w:pPr>
      <w:r w:rsidRPr="006C3DF2">
        <w:rPr>
          <w:lang w:val="fr-FR"/>
        </w:rPr>
        <w:t xml:space="preserve">Pour le No ONU 0509, dans la colonne (9b), </w:t>
      </w:r>
      <w:proofErr w:type="gramStart"/>
      <w:r w:rsidRPr="006C3DF2">
        <w:rPr>
          <w:lang w:val="fr-FR"/>
        </w:rPr>
        <w:t>ajouter:</w:t>
      </w:r>
      <w:proofErr w:type="gramEnd"/>
      <w:r w:rsidRPr="006C3DF2">
        <w:rPr>
          <w:lang w:val="fr-FR"/>
        </w:rPr>
        <w:t xml:space="preserve"> «MP24».</w:t>
      </w:r>
      <w:r w:rsidRPr="006C3DF2">
        <w:rPr>
          <w:i/>
          <w:iCs/>
          <w:lang w:val="fr-FR"/>
        </w:rPr>
        <w:t xml:space="preserve"> </w:t>
      </w:r>
    </w:p>
    <w:p w14:paraId="11AB2BAB"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6EB6ED46" w14:textId="77777777" w:rsidR="00E0792D" w:rsidRPr="006C3DF2" w:rsidRDefault="00E0792D" w:rsidP="00E0792D">
      <w:pPr>
        <w:pStyle w:val="SingleTxtG"/>
        <w:rPr>
          <w:lang w:val="fr-FR"/>
        </w:rPr>
      </w:pPr>
      <w:r w:rsidRPr="006C3DF2">
        <w:rPr>
          <w:lang w:val="fr-FR"/>
        </w:rPr>
        <w:t>Pour les Nos ONU 1755, groupes d’emballage II et III, 1778, groupe d’emballage II, 1779 groupe d’emballage II, 1788, groupes d’emballage II et III, 1789, groupes d’emballage II et III, 1791, groupes d’emballage II et III, 1803, groupe d’emballage II, 1805, groupe d’emballage III, 1814, groupes d’emballage II et III, 1819, groupes d’emballage II et III, 1824, groupes d’emballage II et III, 1830, groupe d’emballage II, 1832, groupe d’emballage II, 1840, groupe d’emballage III, 1906, groupe d’emballage II, 2031, groupe d’emballage II, 2581, groupe d’emballage III, 2582, groupe d’emballage III, 2586, groupe d’emballage III, 2693, groupe d’emballage III, 2796, groupe d’emballage II, 3264, groupes d’emballage II et III, ajouter «TU42» en colonne (13).</w:t>
      </w:r>
    </w:p>
    <w:p w14:paraId="7AB9926F"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3C339DD7" w14:textId="77777777" w:rsidR="00E0792D" w:rsidRPr="006C3DF2" w:rsidRDefault="00E0792D" w:rsidP="00E0792D">
      <w:pPr>
        <w:pStyle w:val="SingleTxtG"/>
        <w:rPr>
          <w:rFonts w:eastAsia="MS Mincho"/>
          <w:lang w:val="fr-FR" w:eastAsia="nl-NL"/>
        </w:rPr>
      </w:pPr>
      <w:r w:rsidRPr="006C3DF2">
        <w:rPr>
          <w:rFonts w:eastAsia="MS Mincho"/>
          <w:lang w:val="fr-FR" w:eastAsia="nl-NL"/>
        </w:rPr>
        <w:t>Pour les Nos ONU 3091 et 3481, remplacer «636» par «670» en colonne (6).</w:t>
      </w:r>
    </w:p>
    <w:p w14:paraId="233B2224"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2E997B2C" w14:textId="5AF56C39" w:rsidR="00E0792D" w:rsidRPr="006C3DF2" w:rsidRDefault="00E0792D" w:rsidP="00E0792D">
      <w:pPr>
        <w:pStyle w:val="SingleTxtG"/>
        <w:rPr>
          <w:lang w:val="fr-FR"/>
        </w:rPr>
      </w:pPr>
      <w:r w:rsidRPr="006C3DF2">
        <w:rPr>
          <w:lang w:val="fr-FR"/>
        </w:rPr>
        <w:t xml:space="preserve">Pour le No ONU 3528, dans la colonne (15), </w:t>
      </w:r>
      <w:r>
        <w:rPr>
          <w:lang w:val="fr-FR"/>
        </w:rPr>
        <w:t>en bas de la cellule</w:t>
      </w:r>
      <w:r w:rsidRPr="006C3DF2">
        <w:rPr>
          <w:lang w:val="fr-FR"/>
        </w:rPr>
        <w:t>, insérer “(D)”.</w:t>
      </w:r>
    </w:p>
    <w:p w14:paraId="51171462" w14:textId="77777777" w:rsidR="00E0792D" w:rsidRPr="006C3DF2" w:rsidRDefault="00E0792D" w:rsidP="00E0792D">
      <w:pPr>
        <w:pStyle w:val="SingleTxtG"/>
        <w:rPr>
          <w:i/>
          <w:iCs/>
          <w:lang w:val="fr-FR"/>
        </w:rPr>
      </w:pPr>
      <w:r w:rsidRPr="006C3DF2">
        <w:rPr>
          <w:i/>
          <w:iCs/>
          <w:lang w:val="fr-FR"/>
        </w:rPr>
        <w:t>(Document de référence: ECE/TRANS/WP15/AC.1/2017/3, tel que modifié dans le document informel INF.19)</w:t>
      </w:r>
    </w:p>
    <w:p w14:paraId="7D75E5CA" w14:textId="46CC4565" w:rsidR="00E0792D" w:rsidRPr="006C3DF2" w:rsidRDefault="00E0792D" w:rsidP="00E0792D">
      <w:pPr>
        <w:pStyle w:val="SingleTxtG"/>
        <w:rPr>
          <w:lang w:val="fr-FR"/>
        </w:rPr>
      </w:pPr>
      <w:r w:rsidRPr="006C3DF2">
        <w:rPr>
          <w:lang w:val="fr-FR"/>
        </w:rPr>
        <w:t xml:space="preserve">Pour le No ONU 3529, dans la colonne (15), </w:t>
      </w:r>
      <w:r>
        <w:rPr>
          <w:lang w:val="fr-FR"/>
        </w:rPr>
        <w:t>en bas de la cellule</w:t>
      </w:r>
      <w:r w:rsidRPr="006C3DF2">
        <w:rPr>
          <w:lang w:val="fr-FR"/>
        </w:rPr>
        <w:t>, insérer “(B)”.</w:t>
      </w:r>
    </w:p>
    <w:p w14:paraId="2EFD6FB1" w14:textId="77777777" w:rsidR="00E0792D" w:rsidRPr="006C3DF2" w:rsidRDefault="00E0792D" w:rsidP="00E0792D">
      <w:pPr>
        <w:pStyle w:val="SingleTxtG"/>
        <w:rPr>
          <w:lang w:val="fr-FR"/>
        </w:rPr>
      </w:pPr>
      <w:r w:rsidRPr="006C3DF2">
        <w:rPr>
          <w:i/>
          <w:iCs/>
          <w:lang w:val="fr-FR"/>
        </w:rPr>
        <w:t>(Document de référence: ECE/TRANS/WP15/AC.1/2017/3, tel que modifié dans le document informel INF.19)</w:t>
      </w:r>
    </w:p>
    <w:p w14:paraId="4BB2B623" w14:textId="5243D3E3" w:rsidR="00E0792D" w:rsidRPr="006C3DF2" w:rsidRDefault="00E0792D" w:rsidP="00E0792D">
      <w:pPr>
        <w:pStyle w:val="SingleTxtG"/>
        <w:rPr>
          <w:lang w:val="fr-FR"/>
        </w:rPr>
      </w:pPr>
      <w:r w:rsidRPr="006C3DF2">
        <w:rPr>
          <w:lang w:val="fr-FR"/>
        </w:rPr>
        <w:t xml:space="preserve">Pour le No ONU 3530, dans la colonne (15), </w:t>
      </w:r>
      <w:r>
        <w:rPr>
          <w:lang w:val="fr-FR"/>
        </w:rPr>
        <w:t>en bas de la cellule</w:t>
      </w:r>
      <w:r w:rsidRPr="006C3DF2">
        <w:rPr>
          <w:lang w:val="fr-FR"/>
        </w:rPr>
        <w:t>, insérer “(E)”.</w:t>
      </w:r>
    </w:p>
    <w:p w14:paraId="22023894" w14:textId="77777777" w:rsidR="00E0792D" w:rsidRPr="006C3DF2" w:rsidRDefault="00E0792D" w:rsidP="00E0792D">
      <w:pPr>
        <w:pStyle w:val="SingleTxtG"/>
        <w:rPr>
          <w:lang w:val="fr-FR"/>
        </w:rPr>
      </w:pPr>
      <w:r w:rsidRPr="006C3DF2">
        <w:rPr>
          <w:i/>
          <w:iCs/>
          <w:lang w:val="fr-FR"/>
        </w:rPr>
        <w:t>(Document de référence: ECE/TRANS/WP15/AC.1/2017/3, tel que modifié dans le document informel INF.19)</w:t>
      </w:r>
    </w:p>
    <w:p w14:paraId="4A4153C4" w14:textId="77777777" w:rsidR="00E0792D" w:rsidRPr="00E0792D" w:rsidRDefault="00E0792D" w:rsidP="00E0792D">
      <w:pPr>
        <w:pStyle w:val="H1G"/>
      </w:pPr>
      <w:r w:rsidRPr="00E0792D">
        <w:tab/>
      </w:r>
      <w:r w:rsidRPr="00E0792D">
        <w:tab/>
        <w:t>Chapter 3.3</w:t>
      </w:r>
    </w:p>
    <w:p w14:paraId="4737636A" w14:textId="77777777" w:rsidR="00E0792D" w:rsidRPr="006C3DF2" w:rsidRDefault="00E0792D" w:rsidP="00E0792D">
      <w:pPr>
        <w:pStyle w:val="SingleTxtG"/>
        <w:rPr>
          <w:lang w:val="fr-FR"/>
        </w:rPr>
      </w:pPr>
      <w:r w:rsidRPr="006C3DF2">
        <w:rPr>
          <w:lang w:val="fr-FR"/>
        </w:rPr>
        <w:t>Disposition spéciale 250</w:t>
      </w:r>
      <w:r w:rsidRPr="006C3DF2">
        <w:rPr>
          <w:lang w:val="fr-FR"/>
        </w:rPr>
        <w:tab/>
        <w:t xml:space="preserve">À l’alinéa a), </w:t>
      </w:r>
      <w:proofErr w:type="gramStart"/>
      <w:r w:rsidRPr="006C3DF2">
        <w:rPr>
          <w:lang w:val="fr-FR"/>
        </w:rPr>
        <w:t>supprimer:</w:t>
      </w:r>
      <w:proofErr w:type="gramEnd"/>
      <w:r w:rsidRPr="006C3DF2">
        <w:rPr>
          <w:lang w:val="fr-FR"/>
        </w:rPr>
        <w:t xml:space="preserve"> «(voir Tableau S-3-8 du supplément)».</w:t>
      </w:r>
    </w:p>
    <w:p w14:paraId="32EDB1D9"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63CCB197" w14:textId="77777777" w:rsidR="00E0792D" w:rsidRPr="006C3DF2" w:rsidRDefault="00E0792D" w:rsidP="00E0792D">
      <w:pPr>
        <w:pStyle w:val="SingleTxtG"/>
        <w:rPr>
          <w:lang w:val="fr-FR"/>
        </w:rPr>
      </w:pPr>
      <w:r w:rsidRPr="006C3DF2">
        <w:rPr>
          <w:lang w:val="fr-FR"/>
        </w:rPr>
        <w:t>Modifier la Disposition Spéciale 363 (</w:t>
      </w:r>
      <w:r w:rsidRPr="006C3DF2">
        <w:rPr>
          <w:i/>
          <w:iCs/>
          <w:lang w:val="fr-FR"/>
        </w:rPr>
        <w:t>l</w:t>
      </w:r>
      <w:r w:rsidRPr="006C3DF2">
        <w:rPr>
          <w:lang w:val="fr-FR"/>
        </w:rPr>
        <w:t>) pour lire comme suit:</w:t>
      </w:r>
    </w:p>
    <w:p w14:paraId="3EC5CCF1" w14:textId="77777777" w:rsidR="00E0792D" w:rsidRPr="006C3DF2" w:rsidRDefault="00E0792D" w:rsidP="00E0792D">
      <w:pPr>
        <w:pStyle w:val="SingleTxtG"/>
        <w:rPr>
          <w:lang w:val="fr-FR"/>
        </w:rPr>
      </w:pPr>
      <w:r w:rsidRPr="006C3DF2">
        <w:rPr>
          <w:lang w:val="fr-FR"/>
        </w:rPr>
        <w:lastRenderedPageBreak/>
        <w:t>“(</w:t>
      </w:r>
      <w:r w:rsidRPr="006C3DF2">
        <w:rPr>
          <w:i/>
          <w:lang w:val="fr-FR"/>
        </w:rPr>
        <w:t>l</w:t>
      </w:r>
      <w:r w:rsidRPr="006C3DF2">
        <w:rPr>
          <w:lang w:val="fr-FR"/>
        </w:rPr>
        <w:t>)</w:t>
      </w:r>
      <w:r w:rsidRPr="006C3DF2">
        <w:rPr>
          <w:lang w:val="fr-FR"/>
        </w:rPr>
        <w:tab/>
        <w:t xml:space="preserve">Lorsque le moteur ou la machine contient une quantité de combustible liquide supérieure à 1000 </w:t>
      </w:r>
      <w:r w:rsidRPr="00E623CA">
        <w:rPr>
          <w:i/>
          <w:iCs/>
          <w:lang w:val="fr-FR"/>
        </w:rPr>
        <w:t>l</w:t>
      </w:r>
      <w:r w:rsidRPr="006C3DF2">
        <w:rPr>
          <w:lang w:val="fr-FR"/>
        </w:rPr>
        <w:t xml:space="preserve"> pour les Nos ONU 3528 et 3530, ou </w:t>
      </w:r>
      <w:proofErr w:type="spellStart"/>
      <w:r w:rsidRPr="006C3DF2">
        <w:rPr>
          <w:lang w:val="fr-FR"/>
        </w:rPr>
        <w:t>a</w:t>
      </w:r>
      <w:proofErr w:type="spellEnd"/>
      <w:r w:rsidRPr="006C3DF2">
        <w:rPr>
          <w:lang w:val="fr-FR"/>
        </w:rPr>
        <w:t xml:space="preserve"> une contenance en eau supérieure à 1000 </w:t>
      </w:r>
      <w:r w:rsidRPr="006C3DF2">
        <w:rPr>
          <w:i/>
          <w:lang w:val="fr-FR"/>
        </w:rPr>
        <w:t>l</w:t>
      </w:r>
      <w:r w:rsidRPr="006C3DF2">
        <w:rPr>
          <w:lang w:val="fr-FR"/>
        </w:rPr>
        <w:t xml:space="preserve"> pour le No ONU 3529:</w:t>
      </w:r>
    </w:p>
    <w:p w14:paraId="45540048" w14:textId="77777777" w:rsidR="00E0792D" w:rsidRPr="006C3DF2" w:rsidRDefault="00E0792D" w:rsidP="00E0792D">
      <w:pPr>
        <w:pStyle w:val="SingleTxtG"/>
        <w:numPr>
          <w:ilvl w:val="0"/>
          <w:numId w:val="10"/>
        </w:numPr>
        <w:rPr>
          <w:lang w:val="fr-FR"/>
        </w:rPr>
      </w:pPr>
      <w:r w:rsidRPr="006C3DF2">
        <w:rPr>
          <w:lang w:val="fr-FR"/>
        </w:rPr>
        <w:t>Un document de transport conformément au 5.4.1 est requis. Ce document de transport doit contenir la mention suivante: "Transport selon la disposition spéciale 363";</w:t>
      </w:r>
    </w:p>
    <w:p w14:paraId="429BB5FA" w14:textId="7C5CAC13" w:rsidR="00E0792D" w:rsidRPr="006C3DF2" w:rsidRDefault="00E0792D" w:rsidP="00E623CA">
      <w:pPr>
        <w:pStyle w:val="SingleTxtG"/>
        <w:numPr>
          <w:ilvl w:val="0"/>
          <w:numId w:val="10"/>
        </w:numPr>
        <w:rPr>
          <w:lang w:val="fr-FR"/>
        </w:rPr>
      </w:pPr>
      <w:r w:rsidRPr="006C3DF2">
        <w:rPr>
          <w:lang w:val="fr-FR"/>
        </w:rPr>
        <w:t xml:space="preserve">Lorsqu’il est connu par avance que le transport empruntera un tunnel auquel s’appliquent des restrictions au passage de véhicules transportant des marchandises dangereuses, l’unité de transport doit porter des panneaux de couleur orange conformément au 5.3.2 et les restrictions de passage dans les tunnels du 8.6.4 s’appliquent.”. </w:t>
      </w:r>
    </w:p>
    <w:p w14:paraId="425FD8D9" w14:textId="77777777" w:rsidR="00E0792D" w:rsidRPr="006C3DF2" w:rsidRDefault="00E0792D" w:rsidP="00E0792D">
      <w:pPr>
        <w:pStyle w:val="SingleTxtG"/>
        <w:rPr>
          <w:i/>
          <w:iCs/>
          <w:lang w:val="fr-FR"/>
        </w:rPr>
      </w:pPr>
      <w:r w:rsidRPr="006C3DF2">
        <w:rPr>
          <w:i/>
          <w:iCs/>
          <w:lang w:val="fr-FR"/>
        </w:rPr>
        <w:t>(Document de référence: ECE/TRANS/WP.15/2017/3, tel que modifié par le document informel INF.19)</w:t>
      </w:r>
    </w:p>
    <w:p w14:paraId="720ED83E" w14:textId="77777777" w:rsidR="00E0792D" w:rsidRPr="006C3DF2" w:rsidRDefault="00E0792D" w:rsidP="00E0792D">
      <w:pPr>
        <w:pStyle w:val="SingleTxtG"/>
        <w:rPr>
          <w:rFonts w:eastAsia="MS Mincho"/>
          <w:lang w:val="fr-FR" w:eastAsia="nl-NL"/>
        </w:rPr>
      </w:pPr>
      <w:r w:rsidRPr="006C3DF2">
        <w:rPr>
          <w:rFonts w:eastAsia="MS Mincho"/>
          <w:lang w:val="fr-FR" w:eastAsia="nl-NL"/>
        </w:rPr>
        <w:t>Modifier la disposition spéciale 636 pour lire comme suit:</w:t>
      </w:r>
    </w:p>
    <w:p w14:paraId="3E8AB371" w14:textId="5FCE8EE0" w:rsidR="00E0792D" w:rsidRPr="006C3DF2" w:rsidRDefault="00E0792D" w:rsidP="00E0792D">
      <w:pPr>
        <w:pStyle w:val="SingleTxtG"/>
        <w:rPr>
          <w:rFonts w:eastAsia="MS Mincho"/>
          <w:lang w:val="fr-FR" w:eastAsia="nl-NL"/>
        </w:rPr>
      </w:pPr>
      <w:r w:rsidRPr="006C3DF2">
        <w:rPr>
          <w:rFonts w:eastAsia="MS Mincho"/>
          <w:lang w:val="fr-FR" w:eastAsia="nl-NL"/>
        </w:rPr>
        <w:t>«636</w:t>
      </w:r>
      <w:r w:rsidRPr="006C3DF2">
        <w:rPr>
          <w:rFonts w:eastAsia="MS Mincho"/>
          <w:lang w:val="fr-FR" w:eastAsia="nl-NL"/>
        </w:rPr>
        <w:tab/>
      </w:r>
      <w:r w:rsidRPr="006C3DF2">
        <w:rPr>
          <w:lang w:val="fr-FR"/>
        </w:rPr>
        <w:t xml:space="preserve">Lorsqu’elles sont transportées jusqu’aux lieux de traitement intermédiaire, les piles et batteries au lithium dont la masse brute ne dépasse pas 500 g par unité,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qui sont collectées et présentées au transport en vue de leur tri, élimination ou recyclage, </w:t>
      </w:r>
      <w:r w:rsidRPr="006C3DF2">
        <w:rPr>
          <w:bCs/>
          <w:lang w:val="fr-FR"/>
        </w:rPr>
        <w:t xml:space="preserve">en mélange ou non avec des piles ou batteries autres qu’au lithium, </w:t>
      </w:r>
      <w:r w:rsidRPr="006C3DF2">
        <w:rPr>
          <w:lang w:val="fr-FR"/>
        </w:rPr>
        <w:t>ne sont pas soumises aux autres dispositions de l’ADR, y compris la disposition spéciale 376 et le 2.2.9.1.7, s’il est satisfait aux conditions suivantes</w:t>
      </w:r>
      <w:r w:rsidRPr="006C3DF2">
        <w:rPr>
          <w:rFonts w:eastAsia="MS Mincho"/>
          <w:lang w:val="fr-FR" w:eastAsia="nl-NL"/>
        </w:rPr>
        <w:t>:</w:t>
      </w:r>
    </w:p>
    <w:p w14:paraId="6A12C5B3" w14:textId="77777777" w:rsidR="00E0792D" w:rsidRPr="006C3DF2" w:rsidRDefault="00E0792D" w:rsidP="00E0792D">
      <w:pPr>
        <w:pStyle w:val="SingleTxtG"/>
        <w:rPr>
          <w:rFonts w:eastAsia="MS Mincho"/>
          <w:lang w:val="fr-FR" w:eastAsia="nl-NL"/>
        </w:rPr>
      </w:pPr>
      <w:r w:rsidRPr="006C3DF2">
        <w:rPr>
          <w:rFonts w:eastAsia="MS Mincho"/>
          <w:lang w:val="fr-FR" w:eastAsia="nl-NL"/>
        </w:rPr>
        <w:tab/>
        <w:t>(a)</w:t>
      </w:r>
      <w:r w:rsidRPr="006C3DF2">
        <w:rPr>
          <w:rFonts w:eastAsia="MS Mincho"/>
          <w:lang w:val="fr-FR" w:eastAsia="nl-NL"/>
        </w:rPr>
        <w:tab/>
        <w:t xml:space="preserve">Les piles et batteries sont emballées selon les </w:t>
      </w:r>
      <w:r w:rsidRPr="006C3DF2">
        <w:rPr>
          <w:lang w:val="fr-FR"/>
        </w:rPr>
        <w:t>dispositions de l’instruction d’emballage P909 du 4.1.4.1, à l’exception des dispositions supplémentaires 1 et 2;</w:t>
      </w:r>
    </w:p>
    <w:p w14:paraId="6D374116" w14:textId="03E2BD9F" w:rsidR="00E0792D" w:rsidRPr="006C3DF2" w:rsidRDefault="00E0792D" w:rsidP="00E0792D">
      <w:pPr>
        <w:pStyle w:val="SingleTxtG"/>
        <w:rPr>
          <w:rFonts w:eastAsia="MS Mincho"/>
          <w:lang w:val="fr-FR" w:eastAsia="nl-NL"/>
        </w:rPr>
      </w:pPr>
      <w:r w:rsidRPr="006C3DF2">
        <w:rPr>
          <w:rFonts w:eastAsia="MS Mincho"/>
          <w:lang w:val="fr-FR" w:eastAsia="nl-NL"/>
        </w:rPr>
        <w:tab/>
        <w:t>(b)</w:t>
      </w:r>
      <w:r w:rsidRPr="006C3DF2">
        <w:rPr>
          <w:rFonts w:eastAsia="MS Mincho"/>
          <w:lang w:val="fr-FR" w:eastAsia="nl-NL"/>
        </w:rPr>
        <w:tab/>
      </w:r>
      <w:r w:rsidRPr="006C3DF2">
        <w:rPr>
          <w:lang w:val="fr-FR"/>
        </w:rPr>
        <w:t>Un système d’assurance de la qualité est mis en place garantissant que la quantité totale de piles et batteries au lithium dans chaque unité de transport</w:t>
      </w:r>
      <w:r>
        <w:rPr>
          <w:lang w:val="fr-FR"/>
        </w:rPr>
        <w:t xml:space="preserve"> </w:t>
      </w:r>
      <w:r w:rsidRPr="006C3DF2">
        <w:rPr>
          <w:lang w:val="fr-FR"/>
        </w:rPr>
        <w:t xml:space="preserve">ne dépasse pas 333 kg; </w:t>
      </w:r>
    </w:p>
    <w:p w14:paraId="7BC8D9C2" w14:textId="77777777" w:rsidR="00E0792D" w:rsidRPr="006C3DF2" w:rsidRDefault="00E0792D" w:rsidP="00E0792D">
      <w:pPr>
        <w:pStyle w:val="SingleTxtG"/>
        <w:ind w:left="2268"/>
        <w:rPr>
          <w:rFonts w:eastAsia="MS Mincho"/>
          <w:i/>
          <w:lang w:val="fr-FR" w:eastAsia="nl-NL"/>
        </w:rPr>
      </w:pPr>
      <w:r w:rsidRPr="006C3DF2">
        <w:rPr>
          <w:b/>
          <w:i/>
          <w:lang w:val="fr-FR"/>
        </w:rPr>
        <w:t>NOTA:</w:t>
      </w:r>
      <w:r w:rsidRPr="006C3DF2">
        <w:rPr>
          <w:i/>
          <w:lang w:val="fr-FR"/>
        </w:rPr>
        <w:tab/>
        <w:t>La quantité totale de piles et batteries au lithium dans le lot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14:paraId="6356CF8D" w14:textId="77777777" w:rsidR="00E0792D" w:rsidRPr="006C3DF2" w:rsidRDefault="00E0792D" w:rsidP="00E0792D">
      <w:pPr>
        <w:pStyle w:val="SingleTxtG"/>
        <w:rPr>
          <w:rFonts w:eastAsia="MS Mincho"/>
          <w:lang w:val="fr-FR" w:eastAsia="nl-NL"/>
        </w:rPr>
      </w:pPr>
      <w:r w:rsidRPr="006C3DF2">
        <w:rPr>
          <w:rFonts w:eastAsia="MS Mincho"/>
          <w:lang w:val="fr-FR" w:eastAsia="nl-NL"/>
        </w:rPr>
        <w:tab/>
        <w:t>(</w:t>
      </w:r>
      <w:proofErr w:type="gramStart"/>
      <w:r w:rsidRPr="006C3DF2">
        <w:rPr>
          <w:rFonts w:eastAsia="MS Mincho"/>
          <w:lang w:val="fr-FR" w:eastAsia="nl-NL"/>
        </w:rPr>
        <w:t>c</w:t>
      </w:r>
      <w:proofErr w:type="gramEnd"/>
      <w:r w:rsidRPr="006C3DF2">
        <w:rPr>
          <w:rFonts w:eastAsia="MS Mincho"/>
          <w:lang w:val="fr-FR" w:eastAsia="nl-NL"/>
        </w:rPr>
        <w:t>)</w:t>
      </w:r>
      <w:r w:rsidRPr="006C3DF2">
        <w:rPr>
          <w:rFonts w:eastAsia="MS Mincho"/>
          <w:lang w:val="fr-FR" w:eastAsia="nl-NL"/>
        </w:rPr>
        <w:tab/>
      </w:r>
      <w:r w:rsidRPr="006C3DF2">
        <w:rPr>
          <w:lang w:val="fr-FR"/>
        </w:rPr>
        <w:t>Les colis portent la marque "PILES AU LITHIUM POUR ÉLIMINATION" ou "PILES AU LITHIUM POUR RECYCLAGE" comme approprié.».</w:t>
      </w:r>
    </w:p>
    <w:p w14:paraId="1465399B"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0A5F9992" w14:textId="77777777" w:rsidR="00E0792D" w:rsidRPr="006C3DF2" w:rsidRDefault="00E0792D" w:rsidP="00E0792D">
      <w:pPr>
        <w:pStyle w:val="SingleTxtG"/>
        <w:rPr>
          <w:rFonts w:eastAsia="MS Mincho"/>
          <w:lang w:val="fr-FR" w:eastAsia="nl-NL"/>
        </w:rPr>
      </w:pPr>
      <w:r w:rsidRPr="006C3DF2">
        <w:rPr>
          <w:rFonts w:eastAsia="MS Mincho"/>
          <w:lang w:val="fr-FR" w:eastAsia="nl-NL"/>
        </w:rPr>
        <w:t>Ajouter la nouvelle disposition spéciale suivante:</w:t>
      </w:r>
    </w:p>
    <w:p w14:paraId="10933A9A" w14:textId="2C9E2B79" w:rsidR="00E0792D" w:rsidRPr="006C3DF2" w:rsidRDefault="00E0792D" w:rsidP="00E0792D">
      <w:pPr>
        <w:pStyle w:val="SingleTxtG"/>
        <w:rPr>
          <w:rFonts w:eastAsia="MS Mincho"/>
          <w:lang w:val="fr-FR" w:eastAsia="nl-NL"/>
        </w:rPr>
      </w:pPr>
      <w:r w:rsidRPr="006C3DF2">
        <w:rPr>
          <w:rFonts w:eastAsia="MS Mincho"/>
          <w:lang w:val="fr-FR" w:eastAsia="nl-NL"/>
        </w:rPr>
        <w:t>«670</w:t>
      </w:r>
      <w:r w:rsidRPr="006C3DF2">
        <w:rPr>
          <w:rFonts w:eastAsia="MS Mincho"/>
          <w:lang w:val="fr-FR" w:eastAsia="nl-NL"/>
        </w:rPr>
        <w:tab/>
        <w:t>a)</w:t>
      </w:r>
      <w:r w:rsidRPr="006C3DF2">
        <w:rPr>
          <w:rFonts w:eastAsia="MS Mincho"/>
          <w:lang w:val="fr-FR" w:eastAsia="nl-NL"/>
        </w:rPr>
        <w:tab/>
      </w:r>
      <w:r w:rsidRPr="006C3DF2">
        <w:rPr>
          <w:lang w:val="fr-FR"/>
        </w:rPr>
        <w:t>Les piles et batteries au lithium contenues dans des équipements provenant des ménages collectés et présentés au transport en vue de leur dépollution, démantèlement, élimination ou recyclage</w:t>
      </w:r>
      <w:r w:rsidRPr="006C3DF2">
        <w:rPr>
          <w:rFonts w:eastAsia="MS Mincho"/>
          <w:lang w:val="fr-FR" w:eastAsia="nl-NL"/>
        </w:rPr>
        <w:t xml:space="preserve"> </w:t>
      </w:r>
      <w:r w:rsidRPr="006C3DF2">
        <w:rPr>
          <w:lang w:val="fr-FR"/>
        </w:rPr>
        <w:t>ne sont pas soumises aux autres dispositions de l’ADR, y compris la disposition spéciale 376 et le 2.2.9.1.7, si</w:t>
      </w:r>
      <w:r w:rsidRPr="006C3DF2">
        <w:rPr>
          <w:rFonts w:eastAsia="MS Mincho"/>
          <w:lang w:val="fr-FR" w:eastAsia="nl-NL"/>
        </w:rPr>
        <w:t>:</w:t>
      </w:r>
    </w:p>
    <w:p w14:paraId="7B3BE123" w14:textId="77777777" w:rsidR="00E0792D" w:rsidRPr="006C3DF2" w:rsidRDefault="00E0792D" w:rsidP="00E0792D">
      <w:pPr>
        <w:pStyle w:val="SingleTxtG"/>
        <w:rPr>
          <w:rFonts w:eastAsia="MS Mincho"/>
          <w:lang w:val="fr-FR" w:eastAsia="nl-NL"/>
        </w:rPr>
      </w:pPr>
      <w:r w:rsidRPr="006C3DF2">
        <w:rPr>
          <w:rFonts w:eastAsia="MS Mincho"/>
          <w:lang w:val="fr-FR" w:eastAsia="nl-NL"/>
        </w:rPr>
        <w:t>i)</w:t>
      </w:r>
      <w:r w:rsidRPr="006C3DF2">
        <w:rPr>
          <w:rFonts w:eastAsia="MS Mincho"/>
          <w:lang w:val="fr-FR" w:eastAsia="nl-NL"/>
        </w:rPr>
        <w:tab/>
      </w:r>
      <w:r w:rsidRPr="006C3DF2">
        <w:rPr>
          <w:rFonts w:eastAsia="MS Mincho"/>
          <w:lang w:val="fr-FR"/>
        </w:rPr>
        <w:t>Elles ne sont pas la source d'alimentation principale pour le fonctionnement de l'appareil dans lequel elles sont contenues;</w:t>
      </w:r>
    </w:p>
    <w:p w14:paraId="4338E896" w14:textId="77777777" w:rsidR="00E0792D" w:rsidRPr="006C3DF2" w:rsidRDefault="00E0792D" w:rsidP="00E0792D">
      <w:pPr>
        <w:pStyle w:val="SingleTxtG"/>
        <w:rPr>
          <w:rFonts w:eastAsia="MS Mincho"/>
          <w:lang w:val="fr-FR" w:eastAsia="nl-NL"/>
        </w:rPr>
      </w:pPr>
      <w:r w:rsidRPr="006C3DF2">
        <w:rPr>
          <w:rFonts w:eastAsia="MS Mincho"/>
          <w:lang w:val="fr-FR" w:eastAsia="nl-NL"/>
        </w:rPr>
        <w:t>ii)</w:t>
      </w:r>
      <w:r w:rsidRPr="006C3DF2">
        <w:rPr>
          <w:rFonts w:eastAsia="MS Mincho"/>
          <w:lang w:val="fr-FR" w:eastAsia="nl-NL"/>
        </w:rPr>
        <w:tab/>
        <w:t>L’équipement dans lequel elles sont contenues ne contient aucune autre pile ou batterie au lithium comme source d'énergie principale; et</w:t>
      </w:r>
    </w:p>
    <w:p w14:paraId="793F997B" w14:textId="51B19BB7" w:rsidR="00E0792D" w:rsidRPr="006C3DF2" w:rsidRDefault="00E0792D" w:rsidP="00E0792D">
      <w:pPr>
        <w:pStyle w:val="SingleTxtG"/>
        <w:rPr>
          <w:lang w:val="fr-FR"/>
        </w:rPr>
      </w:pPr>
      <w:r w:rsidRPr="006C3DF2">
        <w:rPr>
          <w:rFonts w:eastAsia="MS Mincho"/>
          <w:lang w:val="fr-FR" w:eastAsia="nl-NL"/>
        </w:rPr>
        <w:t>iii)</w:t>
      </w:r>
      <w:r w:rsidRPr="006C3DF2">
        <w:rPr>
          <w:rFonts w:eastAsia="MS Mincho"/>
          <w:lang w:val="fr-FR" w:eastAsia="nl-NL"/>
        </w:rPr>
        <w:tab/>
      </w:r>
      <w:r w:rsidRPr="006C3DF2">
        <w:rPr>
          <w:lang w:val="fr-FR"/>
        </w:rPr>
        <w:t>Elles sont protégées par l’équipement dans lequel elles sont contenues.</w:t>
      </w:r>
      <w:r w:rsidRPr="006C3DF2">
        <w:rPr>
          <w:rFonts w:eastAsia="MS Mincho"/>
          <w:lang w:val="fr-FR" w:eastAsia="nl-NL"/>
        </w:rPr>
        <w:t xml:space="preserve">  </w:t>
      </w:r>
    </w:p>
    <w:p w14:paraId="17EFFF78" w14:textId="77777777" w:rsidR="00E0792D" w:rsidRPr="006C3DF2" w:rsidRDefault="00E0792D" w:rsidP="00E0792D">
      <w:pPr>
        <w:pStyle w:val="SingleTxtG"/>
        <w:rPr>
          <w:rFonts w:eastAsia="MS Mincho"/>
          <w:lang w:val="fr-FR" w:eastAsia="nl-NL"/>
        </w:rPr>
      </w:pPr>
      <w:r w:rsidRPr="006C3DF2">
        <w:rPr>
          <w:rFonts w:eastAsia="MS Mincho"/>
          <w:lang w:val="fr-FR" w:eastAsia="nl-NL"/>
        </w:rPr>
        <w:lastRenderedPageBreak/>
        <w:t>Des exemples des piles et batteries visées par ce paragraphe sont les piles boutons utilisées pour l'intégrité des données dans les appareils ménagers (par exemple les réfrigérateurs, machines à laver, lave-vaisselles) ou dans d'autres équipements électriques ou électroniques;</w:t>
      </w:r>
    </w:p>
    <w:p w14:paraId="6D2854C4" w14:textId="5BA2C893" w:rsidR="00E0792D" w:rsidRPr="006C3DF2" w:rsidRDefault="00E0792D" w:rsidP="00E0792D">
      <w:pPr>
        <w:pStyle w:val="SingleTxtG"/>
        <w:rPr>
          <w:rFonts w:eastAsia="MS Mincho"/>
          <w:lang w:val="fr-FR" w:eastAsia="nl-NL"/>
        </w:rPr>
      </w:pPr>
      <w:r w:rsidRPr="006C3DF2">
        <w:rPr>
          <w:rFonts w:eastAsia="MS Mincho"/>
          <w:lang w:val="fr-FR" w:eastAsia="nl-NL"/>
        </w:rPr>
        <w:tab/>
        <w:t>b)</w:t>
      </w:r>
      <w:r w:rsidRPr="006C3DF2">
        <w:rPr>
          <w:rFonts w:eastAsia="MS Mincho"/>
          <w:lang w:val="fr-FR" w:eastAsia="nl-NL"/>
        </w:rPr>
        <w:tab/>
      </w:r>
      <w:r w:rsidRPr="006C3DF2">
        <w:rPr>
          <w:lang w:val="fr-FR"/>
        </w:rPr>
        <w:t xml:space="preserve">Lorsqu’elles sont transportées jusqu’aux lieux de traitement intermédiaire, les piles et batteries au lithium, qui ne répondent pas aux prescriptions </w:t>
      </w:r>
      <w:r>
        <w:rPr>
          <w:lang w:val="fr-FR"/>
        </w:rPr>
        <w:t>de l’alinéa</w:t>
      </w:r>
      <w:r w:rsidRPr="006C3DF2">
        <w:rPr>
          <w:lang w:val="fr-FR"/>
        </w:rPr>
        <w:t xml:space="preserve"> </w:t>
      </w:r>
      <w:r w:rsidRPr="006C3DF2">
        <w:rPr>
          <w:rFonts w:eastAsia="MS Mincho"/>
          <w:lang w:val="fr-FR" w:eastAsia="nl-NL"/>
        </w:rPr>
        <w:t xml:space="preserve">a), </w:t>
      </w:r>
      <w:r w:rsidRPr="006C3DF2">
        <w:rPr>
          <w:lang w:val="fr-FR"/>
        </w:rPr>
        <w:t>contenues dans des équipements provenant des ménages, collectés et présentés au transport en vue de leur dépollution, démantèlement, élimination ou recyclage,</w:t>
      </w:r>
      <w:r w:rsidRPr="006C3DF2">
        <w:rPr>
          <w:rFonts w:eastAsia="MS Mincho"/>
          <w:lang w:val="fr-FR" w:eastAsia="nl-NL"/>
        </w:rPr>
        <w:t xml:space="preserve"> </w:t>
      </w:r>
      <w:r w:rsidRPr="006C3DF2">
        <w:rPr>
          <w:lang w:val="fr-FR"/>
        </w:rPr>
        <w:t>ne sont pas soumises aux autres dispositions de l’ADR, y compris la disposition spéciale 376 et le 2.2.9.1.7</w:t>
      </w:r>
      <w:r w:rsidRPr="006C3DF2">
        <w:rPr>
          <w:rFonts w:eastAsia="MS Mincho"/>
          <w:lang w:val="fr-FR" w:eastAsia="nl-NL"/>
        </w:rPr>
        <w:t>, s’il est satisfait aux conditions suivantes:</w:t>
      </w:r>
    </w:p>
    <w:p w14:paraId="3F48C98E" w14:textId="77777777" w:rsidR="00E0792D" w:rsidRPr="006C3DF2" w:rsidRDefault="00E0792D" w:rsidP="00E0792D">
      <w:pPr>
        <w:pStyle w:val="SingleTxtG"/>
        <w:ind w:left="2268"/>
        <w:rPr>
          <w:rFonts w:eastAsia="MS Mincho"/>
          <w:lang w:val="fr-FR" w:eastAsia="nl-NL"/>
        </w:rPr>
      </w:pPr>
      <w:r w:rsidRPr="006C3DF2">
        <w:rPr>
          <w:rFonts w:eastAsia="MS Mincho"/>
          <w:lang w:val="fr-FR" w:eastAsia="nl-NL"/>
        </w:rPr>
        <w:t>i)</w:t>
      </w:r>
      <w:r w:rsidRPr="006C3DF2">
        <w:rPr>
          <w:rFonts w:eastAsia="MS Mincho"/>
          <w:lang w:val="fr-FR" w:eastAsia="nl-NL"/>
        </w:rPr>
        <w:tab/>
        <w:t xml:space="preserve">Les équipements sont emballés selon les </w:t>
      </w:r>
      <w:r w:rsidRPr="006C3DF2">
        <w:rPr>
          <w:lang w:val="fr-FR"/>
        </w:rPr>
        <w:t>dispositions de l’instruction d’emballage P909 du 4.1.4.1, à l’exception des dispositions supplémentaires 1 et 2;</w:t>
      </w:r>
      <w:r w:rsidRPr="006C3DF2">
        <w:rPr>
          <w:rFonts w:eastAsia="MS Mincho"/>
          <w:lang w:val="fr-FR" w:eastAsia="nl-NL"/>
        </w:rPr>
        <w:t xml:space="preserve"> ou ils sont emballés dans des emballages extérieurs solides comme par exemple des récipients de collecte spécialement conçus qui répondent aux prescriptions suivantes: </w:t>
      </w:r>
    </w:p>
    <w:p w14:paraId="66692B38" w14:textId="77777777" w:rsidR="00E0792D" w:rsidRPr="006C3DF2" w:rsidRDefault="00E0792D" w:rsidP="00E0792D">
      <w:pPr>
        <w:pStyle w:val="SingleTxtG"/>
        <w:ind w:left="2835"/>
        <w:rPr>
          <w:rFonts w:eastAsia="MS Mincho"/>
          <w:lang w:val="fr-FR" w:eastAsia="nl-NL"/>
        </w:rPr>
      </w:pPr>
      <w:r w:rsidRPr="006C3DF2">
        <w:rPr>
          <w:rFonts w:eastAsia="MS Mincho"/>
          <w:lang w:val="fr-FR" w:eastAsia="nl-NL"/>
        </w:rPr>
        <w:tab/>
        <w:t>-</w:t>
      </w:r>
      <w:r w:rsidRPr="006C3DF2">
        <w:rPr>
          <w:rFonts w:eastAsia="MS Mincho"/>
          <w:lang w:val="fr-FR" w:eastAsia="nl-NL"/>
        </w:rPr>
        <w:tab/>
        <w:t>Les emballages doivent être fabriqués en matériaux appropriés et être de résistance suffisante et conçus en fonction de leur capacité et de leur utilisation prévue. Il n’est pas nécessaire que les emballages répondent aux prescriptions du 4.1.1.3;</w:t>
      </w:r>
    </w:p>
    <w:p w14:paraId="6BABECFE" w14:textId="77777777" w:rsidR="00E0792D" w:rsidRPr="006C3DF2" w:rsidRDefault="00E0792D" w:rsidP="00E0792D">
      <w:pPr>
        <w:pStyle w:val="SingleTxtG"/>
        <w:ind w:left="2835"/>
        <w:rPr>
          <w:rFonts w:eastAsia="MS Mincho"/>
          <w:lang w:val="fr-FR" w:eastAsia="nl-NL"/>
        </w:rPr>
      </w:pPr>
      <w:r w:rsidRPr="006C3DF2">
        <w:rPr>
          <w:rFonts w:eastAsia="MS Mincho"/>
          <w:lang w:val="fr-FR" w:eastAsia="nl-NL"/>
        </w:rPr>
        <w:tab/>
        <w:t>-</w:t>
      </w:r>
      <w:r w:rsidRPr="006C3DF2">
        <w:rPr>
          <w:rFonts w:eastAsia="MS Mincho"/>
          <w:lang w:val="fr-FR" w:eastAsia="nl-NL"/>
        </w:rPr>
        <w:tab/>
        <w:t>Des mesures appropriées doivent être prises pour minimiser les dommages aux équipements lors de leur mise en emballage et lors de la manipulation des emballages, par exemple l’utilisation de tapis de caoutchouc; et</w:t>
      </w:r>
    </w:p>
    <w:p w14:paraId="3DAFAA75" w14:textId="13E8B632" w:rsidR="00E0792D" w:rsidRPr="006C3DF2" w:rsidRDefault="00E0792D" w:rsidP="00E0792D">
      <w:pPr>
        <w:pStyle w:val="SingleTxtG"/>
        <w:ind w:left="2835"/>
        <w:rPr>
          <w:rFonts w:eastAsia="MS Mincho"/>
          <w:lang w:val="fr-FR" w:eastAsia="nl-NL"/>
        </w:rPr>
      </w:pPr>
      <w:r w:rsidRPr="006C3DF2">
        <w:rPr>
          <w:rFonts w:eastAsia="MS Mincho"/>
          <w:lang w:val="fr-FR" w:eastAsia="nl-NL"/>
        </w:rPr>
        <w:tab/>
        <w:t>-</w:t>
      </w:r>
      <w:r w:rsidRPr="006C3DF2">
        <w:rPr>
          <w:rFonts w:eastAsia="MS Mincho"/>
          <w:lang w:val="fr-FR" w:eastAsia="nl-NL"/>
        </w:rPr>
        <w:tab/>
      </w:r>
      <w:r w:rsidRPr="006C3DF2">
        <w:rPr>
          <w:rFonts w:eastAsia="MS Mincho"/>
          <w:szCs w:val="24"/>
          <w:lang w:val="fr-FR" w:eastAsia="nl-NL"/>
        </w:rPr>
        <w:t xml:space="preserve">Les emballages sont fabriqués et fermés, lorsqu’ils sont préparés pour l’expédition, de façon à exclure toute perte du contenu durant le transport, par exemple à l’aide de couvercles, de doublures intérieures résistantes </w:t>
      </w:r>
      <w:r>
        <w:rPr>
          <w:rFonts w:eastAsia="MS Mincho"/>
          <w:szCs w:val="24"/>
          <w:lang w:val="fr-FR" w:eastAsia="nl-NL"/>
        </w:rPr>
        <w:t xml:space="preserve">ou de </w:t>
      </w:r>
      <w:r w:rsidRPr="006C3DF2">
        <w:rPr>
          <w:rFonts w:eastAsia="MS Mincho"/>
          <w:szCs w:val="24"/>
          <w:lang w:val="fr-FR" w:eastAsia="nl-NL"/>
        </w:rPr>
        <w:t>couverture de transport. Des ouvertures destinées au remplissage sont acceptables pour autant qu’elles soient conçues de manière à éviter les pertes de contenu;</w:t>
      </w:r>
    </w:p>
    <w:p w14:paraId="172B30C9" w14:textId="00298933" w:rsidR="00E0792D" w:rsidRPr="006C3DF2" w:rsidRDefault="00E0792D" w:rsidP="00E0792D">
      <w:pPr>
        <w:pStyle w:val="SingleTxtG"/>
        <w:ind w:left="2268"/>
        <w:rPr>
          <w:rFonts w:eastAsia="MS Mincho"/>
          <w:lang w:val="fr-FR" w:eastAsia="nl-NL"/>
        </w:rPr>
      </w:pPr>
      <w:r w:rsidRPr="006C3DF2">
        <w:rPr>
          <w:rFonts w:eastAsia="MS Mincho"/>
          <w:lang w:val="fr-FR" w:eastAsia="nl-NL"/>
        </w:rPr>
        <w:tab/>
        <w:t>ii)</w:t>
      </w:r>
      <w:r w:rsidRPr="006C3DF2">
        <w:rPr>
          <w:rFonts w:eastAsia="MS Mincho"/>
          <w:lang w:val="fr-FR" w:eastAsia="nl-NL"/>
        </w:rPr>
        <w:tab/>
      </w:r>
      <w:r w:rsidRPr="006C3DF2">
        <w:rPr>
          <w:lang w:val="fr-FR"/>
        </w:rPr>
        <w:t>Un système d’assurance de la qualité est mis en place garantissant que la quantité totale de piles et batteries au lithium par</w:t>
      </w:r>
      <w:r w:rsidR="00E623CA">
        <w:rPr>
          <w:lang w:val="fr-FR"/>
        </w:rPr>
        <w:t xml:space="preserve"> </w:t>
      </w:r>
      <w:r w:rsidRPr="006C3DF2">
        <w:rPr>
          <w:lang w:val="fr-FR"/>
        </w:rPr>
        <w:t xml:space="preserve">unité de </w:t>
      </w:r>
      <w:r w:rsidR="00E623CA">
        <w:rPr>
          <w:lang w:val="fr-FR"/>
        </w:rPr>
        <w:t>transport</w:t>
      </w:r>
      <w:r w:rsidRPr="006C3DF2">
        <w:rPr>
          <w:lang w:val="fr-FR"/>
        </w:rPr>
        <w:t xml:space="preserve"> ne dépasse pas 333 kg;</w:t>
      </w:r>
    </w:p>
    <w:p w14:paraId="6EFB402C" w14:textId="77777777" w:rsidR="00E0792D" w:rsidRPr="006C3DF2" w:rsidRDefault="00E0792D" w:rsidP="00E0792D">
      <w:pPr>
        <w:pStyle w:val="SingleTxtG"/>
        <w:ind w:left="2835"/>
        <w:rPr>
          <w:rFonts w:eastAsia="MS Mincho"/>
          <w:i/>
          <w:lang w:val="fr-FR" w:eastAsia="nl-NL"/>
        </w:rPr>
      </w:pPr>
      <w:r w:rsidRPr="006C3DF2">
        <w:rPr>
          <w:rFonts w:eastAsia="MS Mincho"/>
          <w:b/>
          <w:i/>
          <w:iCs/>
          <w:lang w:val="fr-FR" w:eastAsia="nl-NL"/>
        </w:rPr>
        <w:t>NOTA:</w:t>
      </w:r>
      <w:r w:rsidRPr="006C3DF2">
        <w:rPr>
          <w:rFonts w:eastAsia="MS Mincho"/>
          <w:i/>
          <w:iCs/>
          <w:lang w:val="fr-FR" w:eastAsia="nl-NL"/>
        </w:rPr>
        <w:t xml:space="preserve"> </w:t>
      </w:r>
      <w:r w:rsidRPr="006C3DF2">
        <w:rPr>
          <w:rFonts w:eastAsia="MS Mincho"/>
          <w:i/>
          <w:iCs/>
          <w:lang w:val="fr-FR" w:eastAsia="nl-NL"/>
        </w:rPr>
        <w:tab/>
      </w:r>
      <w:r w:rsidRPr="006C3DF2">
        <w:rPr>
          <w:i/>
          <w:lang w:val="fr-FR"/>
        </w:rPr>
        <w:t>La quantité totale de piles et batteries au lithium dans les équipements provenant des ménages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14:paraId="37D9B7D2" w14:textId="7459BD5D" w:rsidR="00E0792D" w:rsidRPr="006C3DF2" w:rsidRDefault="00E0792D" w:rsidP="00E0792D">
      <w:pPr>
        <w:pStyle w:val="SingleTxtG"/>
        <w:ind w:left="2268"/>
        <w:rPr>
          <w:rFonts w:eastAsia="MS Mincho"/>
          <w:lang w:val="fr-FR" w:eastAsia="nl-NL"/>
        </w:rPr>
      </w:pPr>
      <w:r w:rsidRPr="006C3DF2">
        <w:rPr>
          <w:rFonts w:eastAsia="MS Mincho"/>
          <w:lang w:val="fr-FR" w:eastAsia="nl-NL"/>
        </w:rPr>
        <w:t>iii)</w:t>
      </w:r>
      <w:r w:rsidRPr="006C3DF2">
        <w:rPr>
          <w:rFonts w:eastAsia="MS Mincho"/>
          <w:lang w:val="fr-FR" w:eastAsia="nl-NL"/>
        </w:rPr>
        <w:tab/>
        <w:t xml:space="preserve">Les colis portent la marque “PILES AU LITHIUM POUR ÉLIMINATION” ou “PILES AU LITHIUM POUR RECYCLAGE”, selon le cas. Si des équipements contenant des piles ou batteries au lithium sont transportés non emballés ou sur des palettes conformément à la prescription d’emballage P909 3) du 4.1.4.1, cette marque peut alternativement être fixée sur la surface extérieure des véhicules ou </w:t>
      </w:r>
      <w:r>
        <w:rPr>
          <w:rFonts w:eastAsia="MS Mincho"/>
          <w:lang w:val="fr-FR" w:eastAsia="nl-NL"/>
        </w:rPr>
        <w:t>des conteneurs</w:t>
      </w:r>
      <w:r w:rsidRPr="006C3DF2">
        <w:rPr>
          <w:rFonts w:eastAsia="MS Mincho"/>
          <w:lang w:val="fr-FR" w:eastAsia="nl-NL"/>
        </w:rPr>
        <w:t>.</w:t>
      </w:r>
    </w:p>
    <w:p w14:paraId="366DB30E" w14:textId="77777777" w:rsidR="00E0792D" w:rsidRPr="006C3DF2" w:rsidRDefault="00E0792D" w:rsidP="00E0792D">
      <w:pPr>
        <w:pStyle w:val="SingleTxtG"/>
        <w:ind w:left="2268"/>
        <w:rPr>
          <w:rFonts w:eastAsia="MS Mincho"/>
          <w:i/>
          <w:lang w:val="fr-FR" w:eastAsia="nl-NL"/>
        </w:rPr>
      </w:pPr>
      <w:r w:rsidRPr="006C3DF2">
        <w:rPr>
          <w:rFonts w:eastAsia="MS Mincho"/>
          <w:b/>
          <w:i/>
          <w:lang w:val="fr-FR" w:eastAsia="nl-NL"/>
        </w:rPr>
        <w:t>NOTA:</w:t>
      </w:r>
      <w:r w:rsidRPr="006C3DF2">
        <w:rPr>
          <w:rFonts w:eastAsia="MS Mincho"/>
          <w:i/>
          <w:lang w:val="fr-FR" w:eastAsia="nl-NL"/>
        </w:rPr>
        <w:t xml:space="preserve"> Par “équipements provenant des ménages” on entend les équipements qui proviennent des ménages et les équipements d’origine commerciale, industrielle, institutionnelle et autre qui, en raison de leur nature et de leur quantité, sont similaires à ceux des ménages. Les équipements susceptibles d’être utilisés à la fois par les ménages et les </w:t>
      </w:r>
      <w:r w:rsidRPr="006C3DF2">
        <w:rPr>
          <w:rFonts w:eastAsia="MS Mincho"/>
          <w:i/>
          <w:lang w:val="fr-FR" w:eastAsia="nl-NL"/>
        </w:rPr>
        <w:lastRenderedPageBreak/>
        <w:t>utilisateurs autres que les ménages doivent en tout état de cause être considérés comme étant des équipements provenant des ménages.».</w:t>
      </w:r>
    </w:p>
    <w:p w14:paraId="297AE9AB"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6B6306D5" w14:textId="77777777" w:rsidR="00E0792D" w:rsidRPr="00E0792D" w:rsidRDefault="00E0792D" w:rsidP="00E0792D">
      <w:pPr>
        <w:pStyle w:val="H1G"/>
      </w:pPr>
      <w:r w:rsidRPr="00E0792D">
        <w:tab/>
      </w:r>
      <w:r w:rsidRPr="00E0792D">
        <w:tab/>
        <w:t>Chapter 4.1</w:t>
      </w:r>
    </w:p>
    <w:p w14:paraId="5109FEAE" w14:textId="107C17BA" w:rsidR="00E0792D" w:rsidRPr="006C3DF2" w:rsidRDefault="00E623CA" w:rsidP="00E0792D">
      <w:pPr>
        <w:pStyle w:val="SingleTxtG"/>
        <w:rPr>
          <w:lang w:val="fr-FR"/>
        </w:rPr>
      </w:pPr>
      <w:r>
        <w:rPr>
          <w:lang w:val="fr-FR"/>
        </w:rPr>
        <w:t>4.1.4.1, P</w:t>
      </w:r>
      <w:r w:rsidR="00E0792D" w:rsidRPr="006C3DF2">
        <w:rPr>
          <w:lang w:val="fr-FR"/>
        </w:rPr>
        <w:t>200</w:t>
      </w:r>
      <w:r w:rsidR="00E0792D" w:rsidRPr="006C3DF2">
        <w:rPr>
          <w:lang w:val="fr-FR"/>
        </w:rPr>
        <w:tab/>
      </w:r>
      <w:r>
        <w:rPr>
          <w:lang w:val="fr-FR"/>
        </w:rPr>
        <w:tab/>
      </w:r>
      <w:r w:rsidR="00DD0FEC">
        <w:rPr>
          <w:lang w:val="fr-FR"/>
        </w:rPr>
        <w:t xml:space="preserve">Au paragraphe </w:t>
      </w:r>
      <w:r w:rsidR="00E0792D" w:rsidRPr="006C3DF2">
        <w:rPr>
          <w:lang w:val="fr-FR"/>
        </w:rPr>
        <w:t xml:space="preserve">11), dans le tableau, dans la colonne «Référence», remplacer «EN 1439:2008 </w:t>
      </w:r>
      <w:r w:rsidR="00E0792D" w:rsidRPr="006C3DF2">
        <w:rPr>
          <w:rFonts w:cs="Arial"/>
          <w:bCs/>
          <w:szCs w:val="18"/>
          <w:lang w:val="fr-FR"/>
        </w:rPr>
        <w:t xml:space="preserve">(sauf 3.5 et Annexe G)» </w:t>
      </w:r>
      <w:proofErr w:type="gramStart"/>
      <w:r w:rsidR="00E0792D" w:rsidRPr="006C3DF2">
        <w:rPr>
          <w:rFonts w:cs="Arial"/>
          <w:bCs/>
          <w:szCs w:val="18"/>
          <w:lang w:val="fr-FR"/>
        </w:rPr>
        <w:t>par:</w:t>
      </w:r>
      <w:proofErr w:type="gramEnd"/>
      <w:r w:rsidR="00E0792D" w:rsidRPr="006C3DF2">
        <w:rPr>
          <w:rFonts w:cs="Arial"/>
          <w:bCs/>
          <w:szCs w:val="18"/>
          <w:lang w:val="fr-FR"/>
        </w:rPr>
        <w:t xml:space="preserve"> </w:t>
      </w:r>
      <w:r w:rsidR="00E0792D" w:rsidRPr="006C3DF2">
        <w:rPr>
          <w:lang w:val="fr-FR"/>
        </w:rPr>
        <w:t>«EN 1439:2017».</w:t>
      </w:r>
    </w:p>
    <w:p w14:paraId="077C493C"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4612251D" w14:textId="5D0E1003" w:rsidR="00E0792D" w:rsidRPr="006C3DF2" w:rsidRDefault="00E0792D" w:rsidP="00E0792D">
      <w:pPr>
        <w:pStyle w:val="SingleTxtG"/>
        <w:rPr>
          <w:lang w:val="fr-FR"/>
        </w:rPr>
      </w:pPr>
      <w:r w:rsidRPr="006C3DF2">
        <w:rPr>
          <w:lang w:val="fr-FR"/>
        </w:rPr>
        <w:t>4.1.4.1, P200</w:t>
      </w:r>
      <w:r w:rsidRPr="006C3DF2">
        <w:rPr>
          <w:lang w:val="fr-FR"/>
        </w:rPr>
        <w:tab/>
      </w:r>
      <w:r w:rsidR="00E623CA">
        <w:rPr>
          <w:lang w:val="fr-FR"/>
        </w:rPr>
        <w:tab/>
      </w:r>
      <w:r w:rsidR="00DD0FEC">
        <w:rPr>
          <w:lang w:val="fr-FR"/>
        </w:rPr>
        <w:t xml:space="preserve">Au paragraphe </w:t>
      </w:r>
      <w:r w:rsidRPr="006C3DF2">
        <w:rPr>
          <w:lang w:val="fr-FR"/>
        </w:rPr>
        <w:t>11), dans le tablea</w:t>
      </w:r>
      <w:r w:rsidR="006E3B57">
        <w:rPr>
          <w:lang w:val="fr-FR"/>
        </w:rPr>
        <w:t xml:space="preserve">u, après la ligne pour la norme </w:t>
      </w:r>
      <w:r w:rsidRPr="006C3DF2">
        <w:rPr>
          <w:lang w:val="fr-FR"/>
        </w:rPr>
        <w:t xml:space="preserve">«EN 1439:2017», insérer la nouvelle ligne </w:t>
      </w:r>
      <w:proofErr w:type="gramStart"/>
      <w:r w:rsidRPr="006C3DF2">
        <w:rPr>
          <w:lang w:val="fr-FR"/>
        </w:rPr>
        <w:t>suivante:</w:t>
      </w:r>
      <w:proofErr w:type="gramEnd"/>
    </w:p>
    <w:tbl>
      <w:tblPr>
        <w:tblStyle w:val="TableGrid"/>
        <w:tblW w:w="7371" w:type="dxa"/>
        <w:tblInd w:w="1129" w:type="dxa"/>
        <w:tblLook w:val="04A0" w:firstRow="1" w:lastRow="0" w:firstColumn="1" w:lastColumn="0" w:noHBand="0" w:noVBand="1"/>
      </w:tblPr>
      <w:tblGrid>
        <w:gridCol w:w="1111"/>
        <w:gridCol w:w="1425"/>
        <w:gridCol w:w="4835"/>
      </w:tblGrid>
      <w:tr w:rsidR="00E0792D" w:rsidRPr="006C3DF2" w14:paraId="36E82059" w14:textId="77777777" w:rsidTr="006E3B57">
        <w:tc>
          <w:tcPr>
            <w:tcW w:w="1111" w:type="dxa"/>
            <w:vAlign w:val="center"/>
          </w:tcPr>
          <w:p w14:paraId="4126AAB8" w14:textId="01B63803" w:rsidR="00E0792D" w:rsidRPr="006C3DF2" w:rsidRDefault="00E0792D" w:rsidP="006E3B57">
            <w:pPr>
              <w:spacing w:before="120" w:after="120" w:line="240" w:lineRule="auto"/>
              <w:ind w:left="141"/>
            </w:pPr>
            <w:r w:rsidRPr="006C3DF2">
              <w:t xml:space="preserve">7) et </w:t>
            </w:r>
            <w:r w:rsidR="006E3B57">
              <w:br/>
            </w:r>
            <w:r w:rsidRPr="006C3DF2">
              <w:t>10) ta b)</w:t>
            </w:r>
          </w:p>
        </w:tc>
        <w:tc>
          <w:tcPr>
            <w:tcW w:w="1425" w:type="dxa"/>
            <w:vAlign w:val="center"/>
          </w:tcPr>
          <w:p w14:paraId="03701EE0" w14:textId="4A2FDA9D" w:rsidR="00E0792D" w:rsidRPr="006C3DF2" w:rsidRDefault="00E0792D" w:rsidP="006E3B57">
            <w:pPr>
              <w:spacing w:before="120" w:after="120" w:line="240" w:lineRule="auto"/>
              <w:ind w:left="23"/>
            </w:pPr>
            <w:r w:rsidRPr="006C3DF2">
              <w:t>EN 13952:2017</w:t>
            </w:r>
          </w:p>
        </w:tc>
        <w:tc>
          <w:tcPr>
            <w:tcW w:w="4835" w:type="dxa"/>
            <w:vAlign w:val="center"/>
          </w:tcPr>
          <w:p w14:paraId="7F5D3C88" w14:textId="77777777" w:rsidR="00E0792D" w:rsidRPr="006C3DF2" w:rsidRDefault="00E0792D" w:rsidP="006E3B57">
            <w:pPr>
              <w:spacing w:before="120" w:after="120" w:line="240" w:lineRule="auto"/>
              <w:ind w:left="97"/>
            </w:pPr>
            <w:r w:rsidRPr="006C3DF2">
              <w:t xml:space="preserve">Équipement GPL et leurs accessoires </w:t>
            </w:r>
            <w:r w:rsidRPr="006C3DF2">
              <w:rPr>
                <w:rFonts w:cs="Arial"/>
                <w:bCs/>
              </w:rPr>
              <w:t>−</w:t>
            </w:r>
            <w:r w:rsidRPr="006C3DF2">
              <w:t xml:space="preserve"> Procédures de remplissage des bouteilles de GPL</w:t>
            </w:r>
          </w:p>
        </w:tc>
      </w:tr>
    </w:tbl>
    <w:p w14:paraId="022DC263"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30871174" w14:textId="1CA9C16E" w:rsidR="00E0792D" w:rsidRPr="006C3DF2" w:rsidRDefault="00E0792D" w:rsidP="00E0792D">
      <w:pPr>
        <w:pStyle w:val="SingleTxtG"/>
        <w:rPr>
          <w:lang w:val="fr-FR"/>
        </w:rPr>
      </w:pPr>
      <w:r w:rsidRPr="006C3DF2">
        <w:rPr>
          <w:lang w:val="fr-FR"/>
        </w:rPr>
        <w:t>4.1.4.1, P200</w:t>
      </w:r>
      <w:r w:rsidRPr="006C3DF2">
        <w:rPr>
          <w:lang w:val="fr-FR"/>
        </w:rPr>
        <w:tab/>
      </w:r>
      <w:r w:rsidR="006E3B57">
        <w:rPr>
          <w:lang w:val="fr-FR"/>
        </w:rPr>
        <w:tab/>
      </w:r>
      <w:r w:rsidR="00DD0FEC">
        <w:rPr>
          <w:lang w:val="fr-FR"/>
        </w:rPr>
        <w:t xml:space="preserve">Au paragraphe </w:t>
      </w:r>
      <w:r w:rsidRPr="006C3DF2">
        <w:rPr>
          <w:lang w:val="fr-FR"/>
        </w:rPr>
        <w:t>11), supprimer la ligne pour la norme «EN 12755:2000».</w:t>
      </w:r>
    </w:p>
    <w:p w14:paraId="48B55F8A"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711F1E27" w14:textId="01E426F7" w:rsidR="00E0792D" w:rsidRPr="006C3DF2" w:rsidRDefault="00E0792D" w:rsidP="00E0792D">
      <w:pPr>
        <w:pStyle w:val="SingleTxtG"/>
        <w:rPr>
          <w:lang w:val="fr-FR"/>
        </w:rPr>
      </w:pPr>
      <w:r w:rsidRPr="006C3DF2">
        <w:rPr>
          <w:lang w:val="fr-FR"/>
        </w:rPr>
        <w:t>4.1.4.1, P200</w:t>
      </w:r>
      <w:r w:rsidRPr="006C3DF2">
        <w:rPr>
          <w:lang w:val="fr-FR"/>
        </w:rPr>
        <w:tab/>
      </w:r>
      <w:r w:rsidR="006E3B57">
        <w:rPr>
          <w:lang w:val="fr-FR"/>
        </w:rPr>
        <w:tab/>
      </w:r>
      <w:r w:rsidR="00DD0FEC">
        <w:rPr>
          <w:lang w:val="fr-FR"/>
        </w:rPr>
        <w:t xml:space="preserve">Au paragraphe </w:t>
      </w:r>
      <w:r w:rsidRPr="006C3DF2">
        <w:rPr>
          <w:lang w:val="fr-FR"/>
        </w:rPr>
        <w:t>11), Dans le tableau, supprimer les deux premières lignes (pour EN 1919:2000 et EN 1920:2000) et ajouter la nouvelle ligne suivante:</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0"/>
        <w:gridCol w:w="1760"/>
        <w:gridCol w:w="5425"/>
      </w:tblGrid>
      <w:tr w:rsidR="00E0792D" w:rsidRPr="006C3DF2" w14:paraId="291AA53B" w14:textId="77777777" w:rsidTr="006E3B57">
        <w:trPr>
          <w:trHeight w:val="20"/>
        </w:trPr>
        <w:tc>
          <w:tcPr>
            <w:tcW w:w="1320" w:type="dxa"/>
          </w:tcPr>
          <w:p w14:paraId="51D4A305" w14:textId="77777777" w:rsidR="00E0792D" w:rsidRPr="006C3DF2" w:rsidRDefault="00E0792D" w:rsidP="00E0792D">
            <w:pPr>
              <w:keepNext/>
              <w:keepLines/>
              <w:spacing w:before="20" w:after="20"/>
              <w:jc w:val="center"/>
              <w:rPr>
                <w:b/>
                <w:bCs/>
                <w:sz w:val="19"/>
                <w:szCs w:val="19"/>
                <w:lang w:val="fr-FR"/>
              </w:rPr>
            </w:pPr>
            <w:r w:rsidRPr="006C3DF2">
              <w:rPr>
                <w:b/>
                <w:bCs/>
                <w:sz w:val="19"/>
                <w:szCs w:val="19"/>
                <w:lang w:val="fr-FR"/>
              </w:rPr>
              <w:t>Prescriptions applicables</w:t>
            </w:r>
          </w:p>
        </w:tc>
        <w:tc>
          <w:tcPr>
            <w:tcW w:w="1760" w:type="dxa"/>
          </w:tcPr>
          <w:p w14:paraId="657EE389" w14:textId="77777777" w:rsidR="00E0792D" w:rsidRPr="006C3DF2" w:rsidRDefault="00E0792D" w:rsidP="00E0792D">
            <w:pPr>
              <w:keepNext/>
              <w:keepLines/>
              <w:spacing w:before="20" w:after="20"/>
              <w:jc w:val="center"/>
              <w:rPr>
                <w:b/>
                <w:bCs/>
                <w:sz w:val="19"/>
                <w:szCs w:val="19"/>
                <w:lang w:val="fr-FR"/>
              </w:rPr>
            </w:pPr>
            <w:r w:rsidRPr="006C3DF2">
              <w:rPr>
                <w:b/>
                <w:bCs/>
                <w:sz w:val="19"/>
                <w:szCs w:val="19"/>
                <w:lang w:val="fr-FR"/>
              </w:rPr>
              <w:t>Référence</w:t>
            </w:r>
          </w:p>
        </w:tc>
        <w:tc>
          <w:tcPr>
            <w:tcW w:w="5425" w:type="dxa"/>
          </w:tcPr>
          <w:p w14:paraId="4FEBEE1D" w14:textId="77777777" w:rsidR="00E0792D" w:rsidRPr="006C3DF2" w:rsidRDefault="00E0792D" w:rsidP="00E0792D">
            <w:pPr>
              <w:keepNext/>
              <w:keepLines/>
              <w:spacing w:before="20" w:after="20"/>
              <w:jc w:val="center"/>
              <w:rPr>
                <w:b/>
                <w:bCs/>
                <w:sz w:val="19"/>
                <w:szCs w:val="19"/>
                <w:lang w:val="fr-FR"/>
              </w:rPr>
            </w:pPr>
            <w:r w:rsidRPr="006C3DF2">
              <w:rPr>
                <w:b/>
                <w:bCs/>
                <w:sz w:val="19"/>
                <w:szCs w:val="19"/>
                <w:lang w:val="fr-FR"/>
              </w:rPr>
              <w:t>Titre du document</w:t>
            </w:r>
          </w:p>
        </w:tc>
      </w:tr>
      <w:tr w:rsidR="00E0792D" w:rsidRPr="006C3DF2" w14:paraId="0E75EF73" w14:textId="77777777" w:rsidTr="006E3B57">
        <w:trPr>
          <w:trHeight w:val="20"/>
        </w:trPr>
        <w:tc>
          <w:tcPr>
            <w:tcW w:w="1320" w:type="dxa"/>
          </w:tcPr>
          <w:p w14:paraId="7E4181FA" w14:textId="77777777" w:rsidR="00E0792D" w:rsidRPr="006C3DF2" w:rsidRDefault="00E0792D" w:rsidP="00E0792D">
            <w:pPr>
              <w:keepNext/>
              <w:keepLines/>
              <w:spacing w:before="20" w:after="20"/>
              <w:jc w:val="center"/>
              <w:rPr>
                <w:sz w:val="19"/>
                <w:szCs w:val="19"/>
                <w:lang w:val="fr-FR"/>
              </w:rPr>
            </w:pPr>
            <w:r w:rsidRPr="006C3DF2">
              <w:rPr>
                <w:sz w:val="19"/>
                <w:szCs w:val="19"/>
                <w:lang w:val="fr-FR" w:bidi="ar-KW"/>
              </w:rPr>
              <w:t>7)</w:t>
            </w:r>
          </w:p>
        </w:tc>
        <w:tc>
          <w:tcPr>
            <w:tcW w:w="1760" w:type="dxa"/>
          </w:tcPr>
          <w:p w14:paraId="322440D8" w14:textId="74404645" w:rsidR="00E0792D" w:rsidRPr="006C3DF2" w:rsidRDefault="00E0792D" w:rsidP="00E0792D">
            <w:pPr>
              <w:keepNext/>
              <w:keepLines/>
              <w:spacing w:before="20" w:after="20"/>
              <w:jc w:val="center"/>
              <w:rPr>
                <w:sz w:val="19"/>
                <w:szCs w:val="19"/>
                <w:lang w:val="fr-FR"/>
              </w:rPr>
            </w:pPr>
            <w:r w:rsidRPr="006C3DF2">
              <w:rPr>
                <w:sz w:val="19"/>
                <w:szCs w:val="19"/>
                <w:lang w:val="fr-FR" w:bidi="ar-KW"/>
              </w:rPr>
              <w:t>EN ISO 24431:2016</w:t>
            </w:r>
          </w:p>
        </w:tc>
        <w:tc>
          <w:tcPr>
            <w:tcW w:w="5425" w:type="dxa"/>
          </w:tcPr>
          <w:p w14:paraId="33D85D09" w14:textId="77777777" w:rsidR="00E0792D" w:rsidRPr="006C3DF2" w:rsidRDefault="00E0792D" w:rsidP="00E0792D">
            <w:pPr>
              <w:keepNext/>
              <w:keepLines/>
              <w:spacing w:before="20" w:after="20"/>
              <w:ind w:right="77"/>
              <w:rPr>
                <w:sz w:val="19"/>
                <w:szCs w:val="19"/>
                <w:lang w:val="fr-FR"/>
              </w:rPr>
            </w:pPr>
            <w:r w:rsidRPr="006C3DF2">
              <w:rPr>
                <w:lang w:val="fr-FR"/>
              </w:rPr>
              <w:t>Bouteilles à gaz - Bouteilles à gaz comprimés et liquéfiés, sans soudure, soudées et composites (à l'exception de l'acétylène) - Contrôle au moment du remplissage</w:t>
            </w:r>
          </w:p>
        </w:tc>
      </w:tr>
    </w:tbl>
    <w:p w14:paraId="5D6FC5B3"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24004357" w14:textId="63FC36B1" w:rsidR="00E0792D" w:rsidRPr="006C3DF2" w:rsidRDefault="00E0792D" w:rsidP="00E0792D">
      <w:pPr>
        <w:pStyle w:val="SingleTxtG"/>
        <w:rPr>
          <w:rFonts w:cs="Arial"/>
          <w:snapToGrid w:val="0"/>
          <w:szCs w:val="22"/>
          <w:lang w:val="fr-FR"/>
        </w:rPr>
      </w:pPr>
      <w:r w:rsidRPr="006C3DF2">
        <w:rPr>
          <w:rFonts w:cs="Arial"/>
          <w:snapToGrid w:val="0"/>
          <w:szCs w:val="22"/>
          <w:lang w:val="fr-FR"/>
        </w:rPr>
        <w:t>4.1.4.1, P200</w:t>
      </w:r>
      <w:r w:rsidRPr="006C3DF2">
        <w:rPr>
          <w:rFonts w:cs="Arial"/>
          <w:snapToGrid w:val="0"/>
          <w:szCs w:val="22"/>
          <w:lang w:val="fr-FR"/>
        </w:rPr>
        <w:tab/>
      </w:r>
      <w:r w:rsidR="006E3B57">
        <w:rPr>
          <w:rFonts w:cs="Arial"/>
          <w:snapToGrid w:val="0"/>
          <w:szCs w:val="22"/>
          <w:lang w:val="fr-FR"/>
        </w:rPr>
        <w:tab/>
      </w:r>
      <w:r w:rsidR="00DD0FEC">
        <w:rPr>
          <w:lang w:val="fr-FR"/>
        </w:rPr>
        <w:t xml:space="preserve">Au paragraphe </w:t>
      </w:r>
      <w:r w:rsidRPr="006C3DF2">
        <w:rPr>
          <w:lang w:val="fr-FR"/>
        </w:rPr>
        <w:t xml:space="preserve">12), point 2.1, remplacer «dans la norme EN 1439:2008» </w:t>
      </w:r>
      <w:proofErr w:type="gramStart"/>
      <w:r w:rsidRPr="006C3DF2">
        <w:rPr>
          <w:lang w:val="fr-FR"/>
        </w:rPr>
        <w:t>par:</w:t>
      </w:r>
      <w:proofErr w:type="gramEnd"/>
      <w:r w:rsidRPr="006C3DF2">
        <w:rPr>
          <w:lang w:val="fr-FR"/>
        </w:rPr>
        <w:t xml:space="preserve"> «dans les normes EN 1439:2017 et EN 13952:2017».</w:t>
      </w:r>
    </w:p>
    <w:p w14:paraId="392415E1" w14:textId="77777777" w:rsidR="00E0792D" w:rsidRPr="006C3DF2" w:rsidRDefault="00E0792D" w:rsidP="00E0792D">
      <w:pPr>
        <w:pStyle w:val="SingleTxtG"/>
        <w:rPr>
          <w:i/>
          <w:iCs/>
          <w:lang w:val="fr-FR"/>
        </w:rPr>
      </w:pPr>
      <w:r w:rsidRPr="006C3DF2">
        <w:rPr>
          <w:i/>
          <w:iCs/>
          <w:lang w:val="fr-FR"/>
        </w:rPr>
        <w:t xml:space="preserve"> (Document de référence: ECE/TRANS/WP15/AC.1/146, annexe II)</w:t>
      </w:r>
    </w:p>
    <w:p w14:paraId="38683833" w14:textId="66F74A26" w:rsidR="00E0792D" w:rsidRPr="006C3DF2" w:rsidRDefault="006E3B57" w:rsidP="00E0792D">
      <w:pPr>
        <w:pStyle w:val="SingleTxtG"/>
        <w:rPr>
          <w:lang w:val="fr-FR"/>
        </w:rPr>
      </w:pPr>
      <w:r>
        <w:rPr>
          <w:lang w:val="fr-FR"/>
        </w:rPr>
        <w:t>4.1.4.1, P200</w:t>
      </w:r>
      <w:r w:rsidR="00E0792D" w:rsidRPr="006C3DF2">
        <w:rPr>
          <w:b/>
          <w:lang w:val="fr-FR"/>
        </w:rPr>
        <w:t xml:space="preserve"> </w:t>
      </w:r>
      <w:r>
        <w:rPr>
          <w:b/>
          <w:lang w:val="fr-FR"/>
        </w:rPr>
        <w:tab/>
      </w:r>
      <w:r>
        <w:rPr>
          <w:b/>
          <w:lang w:val="fr-FR"/>
        </w:rPr>
        <w:tab/>
      </w:r>
      <w:r w:rsidR="00DD0FEC">
        <w:rPr>
          <w:bCs/>
          <w:lang w:val="fr-FR"/>
        </w:rPr>
        <w:t xml:space="preserve">Au paragraphe </w:t>
      </w:r>
      <w:r w:rsidR="00E0792D" w:rsidRPr="006C3DF2">
        <w:rPr>
          <w:bCs/>
          <w:lang w:val="fr-FR"/>
        </w:rPr>
        <w:t>13),</w:t>
      </w:r>
      <w:r w:rsidR="00E0792D" w:rsidRPr="006C3DF2">
        <w:rPr>
          <w:b/>
          <w:lang w:val="fr-FR"/>
        </w:rPr>
        <w:t xml:space="preserve"> </w:t>
      </w:r>
      <w:r w:rsidR="00E0792D" w:rsidRPr="006C3DF2">
        <w:rPr>
          <w:lang w:val="fr-FR"/>
        </w:rPr>
        <w:t>au 2.1, remplacer «</w:t>
      </w:r>
      <w:r w:rsidR="00E0792D" w:rsidRPr="006C3DF2">
        <w:rPr>
          <w:rFonts w:ascii="TimesNewRomanPSMT" w:hAnsi="TimesNewRomanPSMT" w:cs="TimesNewRomanPSMT"/>
          <w:lang w:val="fr-FR" w:eastAsia="en-GB"/>
        </w:rPr>
        <w:t>EN 1919:2000, EN 1920:2000</w:t>
      </w:r>
      <w:r w:rsidR="00E0792D" w:rsidRPr="006C3DF2">
        <w:rPr>
          <w:lang w:val="fr-FR"/>
        </w:rPr>
        <w:t>» par «</w:t>
      </w:r>
      <w:r w:rsidR="00E0792D" w:rsidRPr="006C3DF2">
        <w:rPr>
          <w:sz w:val="19"/>
          <w:szCs w:val="19"/>
          <w:lang w:val="fr-FR" w:bidi="ar-KW"/>
        </w:rPr>
        <w:t>EN ISO 24431:2016</w:t>
      </w:r>
      <w:r w:rsidR="00E0792D" w:rsidRPr="006C3DF2">
        <w:rPr>
          <w:lang w:val="fr-FR"/>
        </w:rPr>
        <w:t>».</w:t>
      </w:r>
    </w:p>
    <w:p w14:paraId="1140BFBE"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7C088CE0" w14:textId="77777777" w:rsidR="00E0792D" w:rsidRPr="006C3DF2" w:rsidRDefault="00E0792D" w:rsidP="00E0792D">
      <w:pPr>
        <w:pStyle w:val="SingleTxtG"/>
        <w:rPr>
          <w:lang w:val="fr-FR"/>
        </w:rPr>
      </w:pPr>
      <w:r w:rsidRPr="006C3DF2">
        <w:rPr>
          <w:lang w:val="fr-FR"/>
        </w:rPr>
        <w:t>4.1.6.15</w:t>
      </w:r>
      <w:r w:rsidRPr="006C3DF2">
        <w:rPr>
          <w:lang w:val="fr-FR"/>
        </w:rPr>
        <w:tab/>
        <w:t>Dans le tableau, dans la deuxième colonne, remplacer «ISO </w:t>
      </w:r>
      <w:r w:rsidRPr="006C3DF2">
        <w:rPr>
          <w:rFonts w:cs="Arial"/>
          <w:szCs w:val="22"/>
          <w:lang w:val="fr-FR"/>
        </w:rPr>
        <w:t>11114-</w:t>
      </w:r>
      <w:proofErr w:type="gramStart"/>
      <w:r w:rsidRPr="006C3DF2">
        <w:rPr>
          <w:rFonts w:cs="Arial"/>
          <w:szCs w:val="22"/>
          <w:lang w:val="fr-FR"/>
        </w:rPr>
        <w:t>1:</w:t>
      </w:r>
      <w:proofErr w:type="gramEnd"/>
      <w:r w:rsidRPr="006C3DF2">
        <w:rPr>
          <w:rFonts w:cs="Arial"/>
          <w:szCs w:val="22"/>
          <w:lang w:val="fr-FR"/>
        </w:rPr>
        <w:t xml:space="preserve">2012» par: </w:t>
      </w:r>
      <w:r w:rsidRPr="006C3DF2">
        <w:rPr>
          <w:lang w:val="fr-FR"/>
        </w:rPr>
        <w:t>«EN ISO </w:t>
      </w:r>
      <w:r w:rsidRPr="006C3DF2">
        <w:rPr>
          <w:rFonts w:cs="Arial"/>
          <w:szCs w:val="22"/>
          <w:lang w:val="fr-FR"/>
        </w:rPr>
        <w:t>11114-1:2012 + A1:2017».</w:t>
      </w:r>
    </w:p>
    <w:p w14:paraId="6F1157B2"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075E3E48" w14:textId="77777777" w:rsidR="00E0792D" w:rsidRPr="006C3DF2" w:rsidRDefault="00E0792D" w:rsidP="00E0792D">
      <w:pPr>
        <w:pStyle w:val="SingleTxtG"/>
        <w:rPr>
          <w:rFonts w:cs="Arial"/>
          <w:szCs w:val="22"/>
          <w:lang w:val="fr-FR"/>
        </w:rPr>
      </w:pPr>
      <w:r w:rsidRPr="006C3DF2">
        <w:rPr>
          <w:lang w:val="fr-FR"/>
        </w:rPr>
        <w:t>4.1.6.15</w:t>
      </w:r>
      <w:r w:rsidRPr="006C3DF2">
        <w:rPr>
          <w:lang w:val="fr-FR"/>
        </w:rPr>
        <w:tab/>
        <w:t>Dans le tableau, dans la deuxième colonne, remplacer «</w:t>
      </w:r>
      <w:r w:rsidRPr="006C3DF2">
        <w:rPr>
          <w:rFonts w:cs="Arial"/>
          <w:szCs w:val="22"/>
          <w:lang w:val="fr-FR"/>
        </w:rPr>
        <w:t xml:space="preserve">Annexe A de ISO 10297:2006 </w:t>
      </w:r>
      <w:r w:rsidRPr="006C3DF2">
        <w:rPr>
          <w:snapToGrid w:val="0"/>
          <w:szCs w:val="24"/>
          <w:lang w:val="fr-FR"/>
        </w:rPr>
        <w:t>ou annexe A de ISO 10297:2014</w:t>
      </w:r>
      <w:r w:rsidRPr="006C3DF2">
        <w:rPr>
          <w:rFonts w:cs="Arial"/>
          <w:szCs w:val="22"/>
          <w:lang w:val="fr-FR"/>
        </w:rPr>
        <w:t xml:space="preserve">» </w:t>
      </w:r>
      <w:proofErr w:type="gramStart"/>
      <w:r w:rsidRPr="006C3DF2">
        <w:rPr>
          <w:rFonts w:cs="Arial"/>
          <w:szCs w:val="22"/>
          <w:lang w:val="fr-FR"/>
        </w:rPr>
        <w:t>par:</w:t>
      </w:r>
      <w:proofErr w:type="gramEnd"/>
      <w:r w:rsidRPr="006C3DF2">
        <w:rPr>
          <w:rFonts w:cs="Arial"/>
          <w:szCs w:val="22"/>
          <w:lang w:val="fr-FR"/>
        </w:rPr>
        <w:t xml:space="preserve"> </w:t>
      </w:r>
      <w:r w:rsidRPr="006C3DF2">
        <w:rPr>
          <w:lang w:val="fr-FR"/>
        </w:rPr>
        <w:t>«</w:t>
      </w:r>
      <w:r w:rsidRPr="006C3DF2">
        <w:rPr>
          <w:rFonts w:cs="Arial"/>
          <w:szCs w:val="22"/>
          <w:lang w:val="fr-FR"/>
        </w:rPr>
        <w:t xml:space="preserve">Annexe A de EN ISO 10297:2006 </w:t>
      </w:r>
      <w:r w:rsidRPr="006C3DF2">
        <w:rPr>
          <w:snapToGrid w:val="0"/>
          <w:szCs w:val="24"/>
          <w:lang w:val="fr-FR"/>
        </w:rPr>
        <w:t>ou annexe A de EN ISO 10297:2014 ou annexe A de EN ISO 10297:2014+A1:[2017]</w:t>
      </w:r>
      <w:r w:rsidRPr="006C3DF2">
        <w:rPr>
          <w:rFonts w:cs="Arial"/>
          <w:szCs w:val="22"/>
          <w:lang w:val="fr-FR"/>
        </w:rPr>
        <w:t>».</w:t>
      </w:r>
    </w:p>
    <w:p w14:paraId="4587F1F3"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0B59CE0C" w14:textId="77777777" w:rsidR="00E0792D" w:rsidRPr="006C3DF2" w:rsidRDefault="00E0792D" w:rsidP="00E0792D">
      <w:pPr>
        <w:pStyle w:val="SingleTxtG"/>
        <w:rPr>
          <w:lang w:val="fr-FR"/>
        </w:rPr>
      </w:pPr>
      <w:r w:rsidRPr="006C3DF2">
        <w:rPr>
          <w:bCs/>
          <w:lang w:val="fr-FR"/>
        </w:rPr>
        <w:t>4.1.10.4, MP 24</w:t>
      </w:r>
      <w:r w:rsidRPr="006C3DF2">
        <w:rPr>
          <w:bCs/>
          <w:lang w:val="fr-FR"/>
        </w:rPr>
        <w:tab/>
      </w:r>
      <w:r w:rsidRPr="006C3DF2">
        <w:rPr>
          <w:lang w:val="fr-FR"/>
        </w:rPr>
        <w:t xml:space="preserve">Dans le tableau, ajouter une nouvelle colonne et une nouvelle ligne pour le No ONU 0509. Dans la colonne/ligne pour le No ONU 0509, insérer la lettre «B» en regard </w:t>
      </w:r>
      <w:proofErr w:type="spellStart"/>
      <w:r w:rsidRPr="006C3DF2">
        <w:rPr>
          <w:lang w:val="fr-FR"/>
        </w:rPr>
        <w:t>des</w:t>
      </w:r>
      <w:proofErr w:type="spellEnd"/>
      <w:r w:rsidRPr="006C3DF2">
        <w:rPr>
          <w:lang w:val="fr-FR"/>
        </w:rPr>
        <w:t xml:space="preserve"> Nos ONU 0027, 0028, 0044, 0160 et 0161.</w:t>
      </w:r>
    </w:p>
    <w:p w14:paraId="0F4262E0"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00D7EDEA" w14:textId="77777777" w:rsidR="00E0792D" w:rsidRPr="00E0792D" w:rsidRDefault="00E0792D" w:rsidP="00E0792D">
      <w:pPr>
        <w:pStyle w:val="H1G"/>
      </w:pPr>
      <w:r w:rsidRPr="00E0792D">
        <w:lastRenderedPageBreak/>
        <w:tab/>
      </w:r>
      <w:r w:rsidRPr="00E0792D">
        <w:tab/>
        <w:t>Chapter 4.3</w:t>
      </w:r>
    </w:p>
    <w:p w14:paraId="76CEE8DF" w14:textId="77777777" w:rsidR="00E0792D" w:rsidRPr="006C3DF2" w:rsidRDefault="00E0792D" w:rsidP="00E0792D">
      <w:pPr>
        <w:pStyle w:val="SingleTxtG"/>
        <w:rPr>
          <w:lang w:val="fr-FR"/>
        </w:rPr>
      </w:pPr>
      <w:r w:rsidRPr="006C3DF2">
        <w:rPr>
          <w:lang w:val="fr-FR"/>
        </w:rPr>
        <w:t>4.3.4.1.3</w:t>
      </w:r>
      <w:r w:rsidRPr="006C3DF2">
        <w:rPr>
          <w:lang w:val="fr-FR"/>
        </w:rPr>
        <w:tab/>
        <w:t>Modifier la phrase d’introduction comme suit:</w:t>
      </w:r>
    </w:p>
    <w:p w14:paraId="7AC89C0F" w14:textId="77777777" w:rsidR="00E0792D" w:rsidRPr="006C3DF2" w:rsidRDefault="00E0792D" w:rsidP="00E0792D">
      <w:pPr>
        <w:pStyle w:val="SingleTxtG"/>
        <w:rPr>
          <w:rFonts w:ascii="Times" w:eastAsia="MS Mincho" w:hAnsi="Times" w:cs="Times"/>
          <w:sz w:val="24"/>
          <w:szCs w:val="24"/>
          <w:lang w:val="fr-FR" w:eastAsia="fr-FR"/>
        </w:rPr>
      </w:pPr>
      <w:r w:rsidRPr="006C3DF2">
        <w:rPr>
          <w:lang w:val="fr-FR"/>
        </w:rPr>
        <w:t>«Les prescriptions pour ces citernes sont données par les codes-citerne suivants, complétés par des dispositions spéciales pertinentes indiquées dans la colonne (13) du tableau A du chapitre 3.2.».</w:t>
      </w:r>
    </w:p>
    <w:p w14:paraId="7D17EA26" w14:textId="7B2132C8" w:rsidR="00E0792D" w:rsidRPr="006C3DF2" w:rsidRDefault="00E0792D" w:rsidP="00E0792D">
      <w:pPr>
        <w:pStyle w:val="SingleTxtG"/>
        <w:rPr>
          <w:lang w:val="fr-FR"/>
        </w:rPr>
      </w:pPr>
      <w:r w:rsidRPr="006C3DF2">
        <w:rPr>
          <w:lang w:val="fr-FR"/>
        </w:rPr>
        <w:t xml:space="preserve">Remplacer les </w:t>
      </w:r>
      <w:r>
        <w:rPr>
          <w:lang w:val="fr-FR"/>
        </w:rPr>
        <w:t>alinéas</w:t>
      </w:r>
      <w:r w:rsidRPr="006C3DF2">
        <w:rPr>
          <w:lang w:val="fr-FR"/>
        </w:rPr>
        <w:t xml:space="preserve"> a) à i) par le tableau suivant:</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76"/>
        <w:gridCol w:w="5943"/>
        <w:gridCol w:w="1617"/>
      </w:tblGrid>
      <w:tr w:rsidR="00E0792D" w:rsidRPr="00373317" w14:paraId="3201B00E" w14:textId="77777777" w:rsidTr="00E0792D">
        <w:trPr>
          <w:cantSplit/>
          <w:trHeight w:val="20"/>
          <w:tblHeader/>
          <w:jc w:val="center"/>
        </w:trPr>
        <w:tc>
          <w:tcPr>
            <w:tcW w:w="741" w:type="dxa"/>
            <w:tcBorders>
              <w:bottom w:val="single" w:sz="4" w:space="0" w:color="auto"/>
            </w:tcBorders>
          </w:tcPr>
          <w:p w14:paraId="197EBA01" w14:textId="77777777" w:rsidR="00E0792D" w:rsidRPr="00373317" w:rsidRDefault="00E0792D" w:rsidP="00E0792D">
            <w:pPr>
              <w:spacing w:line="240" w:lineRule="auto"/>
              <w:jc w:val="center"/>
              <w:rPr>
                <w:sz w:val="18"/>
                <w:szCs w:val="18"/>
                <w:lang w:val="fr-FR"/>
              </w:rPr>
            </w:pPr>
            <w:r w:rsidRPr="00373317">
              <w:rPr>
                <w:sz w:val="18"/>
                <w:szCs w:val="18"/>
                <w:lang w:val="fr-FR"/>
              </w:rPr>
              <w:t>Classe</w:t>
            </w:r>
          </w:p>
        </w:tc>
        <w:tc>
          <w:tcPr>
            <w:tcW w:w="976" w:type="dxa"/>
            <w:tcBorders>
              <w:bottom w:val="single" w:sz="4" w:space="0" w:color="auto"/>
            </w:tcBorders>
          </w:tcPr>
          <w:p w14:paraId="2DB27821" w14:textId="77777777" w:rsidR="00E0792D" w:rsidRPr="00373317" w:rsidRDefault="00E0792D" w:rsidP="00E0792D">
            <w:pPr>
              <w:spacing w:line="240" w:lineRule="auto"/>
              <w:jc w:val="center"/>
              <w:rPr>
                <w:sz w:val="18"/>
                <w:szCs w:val="18"/>
                <w:lang w:val="fr-FR"/>
              </w:rPr>
            </w:pPr>
            <w:r w:rsidRPr="00373317">
              <w:rPr>
                <w:sz w:val="18"/>
                <w:szCs w:val="18"/>
                <w:lang w:val="fr-FR"/>
              </w:rPr>
              <w:t>No. ONU</w:t>
            </w:r>
          </w:p>
        </w:tc>
        <w:tc>
          <w:tcPr>
            <w:tcW w:w="5943" w:type="dxa"/>
            <w:tcBorders>
              <w:bottom w:val="single" w:sz="4" w:space="0" w:color="auto"/>
            </w:tcBorders>
          </w:tcPr>
          <w:p w14:paraId="32B75392" w14:textId="77777777" w:rsidR="00E0792D" w:rsidRPr="00373317" w:rsidRDefault="00E0792D" w:rsidP="00E0792D">
            <w:pPr>
              <w:spacing w:line="240" w:lineRule="auto"/>
              <w:jc w:val="center"/>
              <w:rPr>
                <w:sz w:val="18"/>
                <w:szCs w:val="18"/>
                <w:lang w:val="fr-FR"/>
              </w:rPr>
            </w:pPr>
            <w:r w:rsidRPr="00373317">
              <w:rPr>
                <w:sz w:val="18"/>
                <w:szCs w:val="18"/>
                <w:lang w:val="fr-FR"/>
              </w:rPr>
              <w:t>Nom et description</w:t>
            </w:r>
          </w:p>
        </w:tc>
        <w:tc>
          <w:tcPr>
            <w:tcW w:w="1617" w:type="dxa"/>
            <w:tcBorders>
              <w:bottom w:val="single" w:sz="4" w:space="0" w:color="auto"/>
            </w:tcBorders>
          </w:tcPr>
          <w:p w14:paraId="3E0DC9C0" w14:textId="77777777" w:rsidR="00E0792D" w:rsidRPr="00373317" w:rsidRDefault="00E0792D" w:rsidP="00E0792D">
            <w:pPr>
              <w:spacing w:line="240" w:lineRule="auto"/>
              <w:jc w:val="center"/>
              <w:rPr>
                <w:sz w:val="18"/>
                <w:szCs w:val="18"/>
                <w:lang w:val="fr-FR"/>
              </w:rPr>
            </w:pPr>
            <w:r w:rsidRPr="00373317">
              <w:rPr>
                <w:sz w:val="18"/>
                <w:szCs w:val="18"/>
                <w:lang w:val="fr-FR"/>
              </w:rPr>
              <w:t>Code-citerne</w:t>
            </w:r>
          </w:p>
        </w:tc>
      </w:tr>
      <w:tr w:rsidR="00E0792D" w:rsidRPr="00373317" w14:paraId="5007F03B" w14:textId="77777777" w:rsidTr="00E0792D">
        <w:trPr>
          <w:cantSplit/>
          <w:trHeight w:val="20"/>
          <w:jc w:val="center"/>
        </w:trPr>
        <w:tc>
          <w:tcPr>
            <w:tcW w:w="741" w:type="dxa"/>
            <w:tcBorders>
              <w:top w:val="nil"/>
            </w:tcBorders>
          </w:tcPr>
          <w:p w14:paraId="4DDC5992" w14:textId="77777777" w:rsidR="00E0792D" w:rsidRPr="00373317" w:rsidRDefault="00E0792D" w:rsidP="00E0792D">
            <w:pPr>
              <w:spacing w:line="240" w:lineRule="auto"/>
              <w:jc w:val="center"/>
              <w:rPr>
                <w:sz w:val="18"/>
                <w:szCs w:val="18"/>
                <w:lang w:val="fr-FR"/>
              </w:rPr>
            </w:pPr>
            <w:r w:rsidRPr="00373317">
              <w:rPr>
                <w:sz w:val="18"/>
                <w:szCs w:val="18"/>
                <w:lang w:val="fr-FR"/>
              </w:rPr>
              <w:t>1</w:t>
            </w:r>
          </w:p>
        </w:tc>
        <w:tc>
          <w:tcPr>
            <w:tcW w:w="976" w:type="dxa"/>
            <w:tcBorders>
              <w:top w:val="nil"/>
            </w:tcBorders>
          </w:tcPr>
          <w:p w14:paraId="19652682" w14:textId="77777777" w:rsidR="00E0792D" w:rsidRPr="00373317" w:rsidRDefault="00E0792D" w:rsidP="00E0792D">
            <w:pPr>
              <w:spacing w:line="240" w:lineRule="auto"/>
              <w:jc w:val="center"/>
              <w:rPr>
                <w:sz w:val="18"/>
                <w:szCs w:val="18"/>
                <w:lang w:val="fr-FR"/>
              </w:rPr>
            </w:pPr>
            <w:r w:rsidRPr="00373317">
              <w:rPr>
                <w:sz w:val="18"/>
                <w:szCs w:val="18"/>
                <w:lang w:val="fr-FR"/>
              </w:rPr>
              <w:t>0331</w:t>
            </w:r>
          </w:p>
        </w:tc>
        <w:tc>
          <w:tcPr>
            <w:tcW w:w="5943" w:type="dxa"/>
            <w:tcBorders>
              <w:top w:val="nil"/>
            </w:tcBorders>
          </w:tcPr>
          <w:p w14:paraId="5883155A" w14:textId="77777777" w:rsidR="00E0792D" w:rsidRPr="00373317" w:rsidRDefault="00E0792D" w:rsidP="00E0792D">
            <w:pPr>
              <w:spacing w:line="240" w:lineRule="auto"/>
              <w:rPr>
                <w:sz w:val="18"/>
                <w:szCs w:val="18"/>
                <w:lang w:val="fr-FR"/>
              </w:rPr>
            </w:pPr>
            <w:r w:rsidRPr="00373317">
              <w:rPr>
                <w:sz w:val="18"/>
                <w:szCs w:val="18"/>
                <w:lang w:val="fr-FR"/>
              </w:rPr>
              <w:t>Explosif de mine (de sautage) du type B</w:t>
            </w:r>
          </w:p>
        </w:tc>
        <w:tc>
          <w:tcPr>
            <w:tcW w:w="1617" w:type="dxa"/>
            <w:tcBorders>
              <w:top w:val="nil"/>
            </w:tcBorders>
            <w:vAlign w:val="center"/>
          </w:tcPr>
          <w:p w14:paraId="37D70C84" w14:textId="596B8E75" w:rsidR="00E0792D" w:rsidRPr="00373317" w:rsidRDefault="00E0792D" w:rsidP="00E0792D">
            <w:pPr>
              <w:spacing w:line="240" w:lineRule="auto"/>
              <w:jc w:val="center"/>
              <w:rPr>
                <w:sz w:val="18"/>
                <w:szCs w:val="18"/>
                <w:lang w:val="fr-FR"/>
              </w:rPr>
            </w:pPr>
            <w:r w:rsidRPr="00373317">
              <w:rPr>
                <w:sz w:val="18"/>
                <w:szCs w:val="18"/>
                <w:lang w:val="fr-FR"/>
              </w:rPr>
              <w:t>S2,65AN</w:t>
            </w:r>
          </w:p>
        </w:tc>
      </w:tr>
      <w:tr w:rsidR="00E0792D" w:rsidRPr="00373317" w14:paraId="01E16603" w14:textId="77777777" w:rsidTr="00E0792D">
        <w:trPr>
          <w:cantSplit/>
          <w:trHeight w:val="20"/>
          <w:jc w:val="center"/>
        </w:trPr>
        <w:tc>
          <w:tcPr>
            <w:tcW w:w="741" w:type="dxa"/>
            <w:vMerge w:val="restart"/>
          </w:tcPr>
          <w:p w14:paraId="5B97DDD3" w14:textId="77777777" w:rsidR="00E0792D" w:rsidRPr="00373317" w:rsidRDefault="00E0792D" w:rsidP="00E0792D">
            <w:pPr>
              <w:spacing w:line="240" w:lineRule="auto"/>
              <w:jc w:val="center"/>
              <w:rPr>
                <w:sz w:val="18"/>
                <w:szCs w:val="18"/>
                <w:lang w:val="fr-FR"/>
              </w:rPr>
            </w:pPr>
            <w:r w:rsidRPr="00373317">
              <w:rPr>
                <w:sz w:val="18"/>
                <w:szCs w:val="18"/>
                <w:lang w:val="fr-FR"/>
              </w:rPr>
              <w:t>4.1</w:t>
            </w:r>
          </w:p>
          <w:p w14:paraId="6C25D20C" w14:textId="0E450D8D" w:rsidR="00E0792D" w:rsidRPr="00373317" w:rsidRDefault="00E0792D" w:rsidP="00E0792D">
            <w:pPr>
              <w:jc w:val="center"/>
              <w:rPr>
                <w:sz w:val="18"/>
                <w:szCs w:val="18"/>
                <w:lang w:val="fr-FR"/>
              </w:rPr>
            </w:pPr>
          </w:p>
        </w:tc>
        <w:tc>
          <w:tcPr>
            <w:tcW w:w="976" w:type="dxa"/>
            <w:tcBorders>
              <w:bottom w:val="single" w:sz="4" w:space="0" w:color="auto"/>
            </w:tcBorders>
          </w:tcPr>
          <w:p w14:paraId="01F813DE" w14:textId="77777777" w:rsidR="00E0792D" w:rsidRPr="00373317" w:rsidRDefault="00E0792D" w:rsidP="00E0792D">
            <w:pPr>
              <w:spacing w:line="240" w:lineRule="auto"/>
              <w:jc w:val="center"/>
              <w:rPr>
                <w:sz w:val="18"/>
                <w:szCs w:val="18"/>
                <w:lang w:val="fr-FR"/>
              </w:rPr>
            </w:pPr>
            <w:r w:rsidRPr="00373317">
              <w:rPr>
                <w:sz w:val="18"/>
                <w:szCs w:val="18"/>
                <w:lang w:val="fr-FR"/>
              </w:rPr>
              <w:t>2448</w:t>
            </w:r>
          </w:p>
        </w:tc>
        <w:tc>
          <w:tcPr>
            <w:tcW w:w="5943" w:type="dxa"/>
            <w:tcBorders>
              <w:bottom w:val="single" w:sz="4" w:space="0" w:color="auto"/>
            </w:tcBorders>
          </w:tcPr>
          <w:p w14:paraId="251EE8B8" w14:textId="77777777" w:rsidR="00E0792D" w:rsidRPr="00373317" w:rsidRDefault="00E0792D" w:rsidP="00E0792D">
            <w:pPr>
              <w:spacing w:line="240" w:lineRule="auto"/>
              <w:rPr>
                <w:sz w:val="18"/>
                <w:szCs w:val="18"/>
                <w:lang w:val="fr-FR"/>
              </w:rPr>
            </w:pPr>
            <w:r w:rsidRPr="00373317">
              <w:rPr>
                <w:sz w:val="18"/>
                <w:szCs w:val="18"/>
                <w:lang w:val="fr-FR"/>
              </w:rPr>
              <w:t>Soufre, fondu</w:t>
            </w:r>
          </w:p>
        </w:tc>
        <w:tc>
          <w:tcPr>
            <w:tcW w:w="1617" w:type="dxa"/>
            <w:vAlign w:val="center"/>
          </w:tcPr>
          <w:p w14:paraId="2DD28FBF" w14:textId="77777777" w:rsidR="00E0792D" w:rsidRPr="00373317" w:rsidRDefault="00E0792D" w:rsidP="00E0792D">
            <w:pPr>
              <w:spacing w:line="240" w:lineRule="auto"/>
              <w:jc w:val="center"/>
              <w:rPr>
                <w:sz w:val="18"/>
                <w:szCs w:val="18"/>
                <w:lang w:val="fr-FR"/>
              </w:rPr>
            </w:pPr>
            <w:r w:rsidRPr="00373317">
              <w:rPr>
                <w:sz w:val="18"/>
                <w:szCs w:val="18"/>
                <w:lang w:val="fr-FR"/>
              </w:rPr>
              <w:t>LGBV</w:t>
            </w:r>
          </w:p>
        </w:tc>
      </w:tr>
      <w:tr w:rsidR="00E0792D" w:rsidRPr="00373317" w14:paraId="353D09E6" w14:textId="77777777" w:rsidTr="00E0792D">
        <w:trPr>
          <w:cantSplit/>
          <w:trHeight w:val="20"/>
          <w:jc w:val="center"/>
        </w:trPr>
        <w:tc>
          <w:tcPr>
            <w:tcW w:w="741" w:type="dxa"/>
            <w:vMerge/>
          </w:tcPr>
          <w:p w14:paraId="3F13297A" w14:textId="77777777" w:rsidR="00E0792D" w:rsidRPr="00373317" w:rsidRDefault="00E0792D" w:rsidP="00E0792D">
            <w:pPr>
              <w:spacing w:line="240" w:lineRule="auto"/>
              <w:jc w:val="center"/>
              <w:rPr>
                <w:sz w:val="18"/>
                <w:szCs w:val="18"/>
                <w:lang w:val="fr-FR"/>
              </w:rPr>
            </w:pPr>
          </w:p>
        </w:tc>
        <w:tc>
          <w:tcPr>
            <w:tcW w:w="976" w:type="dxa"/>
            <w:tcBorders>
              <w:bottom w:val="single" w:sz="4" w:space="0" w:color="auto"/>
            </w:tcBorders>
          </w:tcPr>
          <w:p w14:paraId="5D2B037D" w14:textId="77777777" w:rsidR="00E0792D" w:rsidRPr="00373317" w:rsidRDefault="00E0792D" w:rsidP="00E0792D">
            <w:pPr>
              <w:spacing w:line="240" w:lineRule="auto"/>
              <w:jc w:val="center"/>
              <w:rPr>
                <w:sz w:val="18"/>
                <w:szCs w:val="18"/>
                <w:lang w:val="fr-FR"/>
              </w:rPr>
            </w:pPr>
            <w:r w:rsidRPr="00373317">
              <w:rPr>
                <w:sz w:val="18"/>
                <w:szCs w:val="18"/>
                <w:lang w:val="fr-FR"/>
              </w:rPr>
              <w:t>3531</w:t>
            </w:r>
          </w:p>
        </w:tc>
        <w:tc>
          <w:tcPr>
            <w:tcW w:w="5943" w:type="dxa"/>
            <w:tcBorders>
              <w:bottom w:val="single" w:sz="4" w:space="0" w:color="auto"/>
            </w:tcBorders>
          </w:tcPr>
          <w:p w14:paraId="5631BEE8" w14:textId="77777777" w:rsidR="00E0792D" w:rsidRPr="00373317" w:rsidRDefault="00E0792D" w:rsidP="00E0792D">
            <w:pPr>
              <w:spacing w:line="240" w:lineRule="auto"/>
              <w:rPr>
                <w:sz w:val="18"/>
                <w:szCs w:val="18"/>
                <w:lang w:val="fr-FR"/>
              </w:rPr>
            </w:pPr>
            <w:r w:rsidRPr="00373317">
              <w:rPr>
                <w:sz w:val="18"/>
                <w:szCs w:val="18"/>
                <w:lang w:val="fr-FR"/>
              </w:rPr>
              <w:t xml:space="preserve">Matière solide qui polymérise, stabilisée, </w:t>
            </w:r>
            <w:proofErr w:type="spellStart"/>
            <w:r w:rsidRPr="00373317">
              <w:rPr>
                <w:sz w:val="18"/>
                <w:szCs w:val="18"/>
                <w:lang w:val="fr-FR"/>
              </w:rPr>
              <w:t>n.s.a</w:t>
            </w:r>
            <w:proofErr w:type="spellEnd"/>
            <w:r w:rsidRPr="00373317">
              <w:rPr>
                <w:sz w:val="18"/>
                <w:szCs w:val="18"/>
                <w:lang w:val="fr-FR"/>
              </w:rPr>
              <w:t>.</w:t>
            </w:r>
          </w:p>
        </w:tc>
        <w:tc>
          <w:tcPr>
            <w:tcW w:w="1617" w:type="dxa"/>
            <w:vMerge w:val="restart"/>
            <w:vAlign w:val="center"/>
          </w:tcPr>
          <w:p w14:paraId="4D75A4B8" w14:textId="77777777" w:rsidR="00E0792D" w:rsidRPr="00373317" w:rsidRDefault="00E0792D" w:rsidP="00E0792D">
            <w:pPr>
              <w:spacing w:line="240" w:lineRule="auto"/>
              <w:jc w:val="center"/>
              <w:rPr>
                <w:sz w:val="18"/>
                <w:szCs w:val="18"/>
                <w:lang w:val="fr-FR"/>
              </w:rPr>
            </w:pPr>
            <w:r w:rsidRPr="00373317">
              <w:rPr>
                <w:sz w:val="18"/>
                <w:szCs w:val="18"/>
                <w:lang w:val="fr-FR"/>
              </w:rPr>
              <w:t>SGAN</w:t>
            </w:r>
          </w:p>
        </w:tc>
      </w:tr>
      <w:tr w:rsidR="00E0792D" w:rsidRPr="00373317" w14:paraId="74520CF3" w14:textId="77777777" w:rsidTr="00E0792D">
        <w:trPr>
          <w:cantSplit/>
          <w:trHeight w:val="20"/>
          <w:jc w:val="center"/>
        </w:trPr>
        <w:tc>
          <w:tcPr>
            <w:tcW w:w="741" w:type="dxa"/>
            <w:vMerge/>
          </w:tcPr>
          <w:p w14:paraId="25DCB8CF" w14:textId="77777777" w:rsidR="00E0792D" w:rsidRPr="00373317" w:rsidRDefault="00E0792D" w:rsidP="00E0792D">
            <w:pPr>
              <w:spacing w:line="240" w:lineRule="auto"/>
              <w:jc w:val="center"/>
              <w:rPr>
                <w:sz w:val="18"/>
                <w:szCs w:val="18"/>
                <w:lang w:val="fr-FR"/>
              </w:rPr>
            </w:pPr>
          </w:p>
        </w:tc>
        <w:tc>
          <w:tcPr>
            <w:tcW w:w="976" w:type="dxa"/>
            <w:tcBorders>
              <w:top w:val="nil"/>
            </w:tcBorders>
          </w:tcPr>
          <w:p w14:paraId="1FAA98C5" w14:textId="77777777" w:rsidR="00E0792D" w:rsidRPr="00373317" w:rsidRDefault="00E0792D" w:rsidP="00E0792D">
            <w:pPr>
              <w:spacing w:line="240" w:lineRule="auto"/>
              <w:jc w:val="center"/>
              <w:rPr>
                <w:sz w:val="18"/>
                <w:szCs w:val="18"/>
                <w:lang w:val="fr-FR"/>
              </w:rPr>
            </w:pPr>
            <w:r w:rsidRPr="00373317">
              <w:rPr>
                <w:sz w:val="18"/>
                <w:szCs w:val="18"/>
                <w:lang w:val="fr-FR"/>
              </w:rPr>
              <w:t>3533</w:t>
            </w:r>
          </w:p>
        </w:tc>
        <w:tc>
          <w:tcPr>
            <w:tcW w:w="5943" w:type="dxa"/>
            <w:tcBorders>
              <w:top w:val="nil"/>
            </w:tcBorders>
          </w:tcPr>
          <w:p w14:paraId="6EB3808D" w14:textId="77777777" w:rsidR="00E0792D" w:rsidRPr="00373317" w:rsidRDefault="00E0792D" w:rsidP="00E0792D">
            <w:pPr>
              <w:spacing w:line="240" w:lineRule="auto"/>
              <w:rPr>
                <w:sz w:val="18"/>
                <w:szCs w:val="18"/>
                <w:lang w:val="fr-FR"/>
              </w:rPr>
            </w:pPr>
            <w:r w:rsidRPr="00373317">
              <w:rPr>
                <w:sz w:val="18"/>
                <w:szCs w:val="18"/>
                <w:lang w:val="fr-FR"/>
              </w:rPr>
              <w:t xml:space="preserve">Matière solide qui polymérise, avec régulation de température, </w:t>
            </w:r>
            <w:proofErr w:type="spellStart"/>
            <w:r w:rsidRPr="00373317">
              <w:rPr>
                <w:sz w:val="18"/>
                <w:szCs w:val="18"/>
                <w:lang w:val="fr-FR"/>
              </w:rPr>
              <w:t>n.s.a</w:t>
            </w:r>
            <w:proofErr w:type="spellEnd"/>
            <w:r w:rsidRPr="00373317">
              <w:rPr>
                <w:sz w:val="18"/>
                <w:szCs w:val="18"/>
                <w:lang w:val="fr-FR"/>
              </w:rPr>
              <w:t>.</w:t>
            </w:r>
          </w:p>
        </w:tc>
        <w:tc>
          <w:tcPr>
            <w:tcW w:w="1617" w:type="dxa"/>
            <w:vMerge/>
            <w:vAlign w:val="center"/>
          </w:tcPr>
          <w:p w14:paraId="775789E5" w14:textId="77777777" w:rsidR="00E0792D" w:rsidRPr="00373317" w:rsidRDefault="00E0792D" w:rsidP="00E0792D">
            <w:pPr>
              <w:spacing w:line="240" w:lineRule="auto"/>
              <w:jc w:val="center"/>
              <w:rPr>
                <w:sz w:val="18"/>
                <w:szCs w:val="18"/>
                <w:lang w:val="fr-FR"/>
              </w:rPr>
            </w:pPr>
          </w:p>
        </w:tc>
      </w:tr>
      <w:tr w:rsidR="00E0792D" w:rsidRPr="00373317" w14:paraId="6D7E1CA1" w14:textId="77777777" w:rsidTr="00E0792D">
        <w:trPr>
          <w:cantSplit/>
          <w:trHeight w:val="20"/>
          <w:jc w:val="center"/>
        </w:trPr>
        <w:tc>
          <w:tcPr>
            <w:tcW w:w="741" w:type="dxa"/>
            <w:vMerge/>
          </w:tcPr>
          <w:p w14:paraId="1352CEED" w14:textId="77777777" w:rsidR="00E0792D" w:rsidRPr="00373317" w:rsidRDefault="00E0792D" w:rsidP="00E0792D">
            <w:pPr>
              <w:spacing w:line="240" w:lineRule="auto"/>
              <w:jc w:val="center"/>
              <w:rPr>
                <w:sz w:val="18"/>
                <w:szCs w:val="18"/>
                <w:lang w:val="fr-FR"/>
              </w:rPr>
            </w:pPr>
          </w:p>
        </w:tc>
        <w:tc>
          <w:tcPr>
            <w:tcW w:w="976" w:type="dxa"/>
            <w:tcBorders>
              <w:bottom w:val="single" w:sz="4" w:space="0" w:color="auto"/>
            </w:tcBorders>
          </w:tcPr>
          <w:p w14:paraId="6AD91570" w14:textId="77777777" w:rsidR="00E0792D" w:rsidRPr="00373317" w:rsidRDefault="00E0792D" w:rsidP="00E0792D">
            <w:pPr>
              <w:spacing w:line="240" w:lineRule="auto"/>
              <w:jc w:val="center"/>
              <w:rPr>
                <w:sz w:val="18"/>
                <w:szCs w:val="18"/>
                <w:lang w:val="fr-FR"/>
              </w:rPr>
            </w:pPr>
            <w:r w:rsidRPr="00373317">
              <w:rPr>
                <w:sz w:val="18"/>
                <w:szCs w:val="18"/>
                <w:lang w:val="fr-FR"/>
              </w:rPr>
              <w:t>3532</w:t>
            </w:r>
          </w:p>
        </w:tc>
        <w:tc>
          <w:tcPr>
            <w:tcW w:w="5943" w:type="dxa"/>
            <w:tcBorders>
              <w:bottom w:val="single" w:sz="4" w:space="0" w:color="auto"/>
            </w:tcBorders>
          </w:tcPr>
          <w:p w14:paraId="2518647F" w14:textId="77777777" w:rsidR="00E0792D" w:rsidRPr="00373317" w:rsidRDefault="00E0792D" w:rsidP="00E0792D">
            <w:pPr>
              <w:spacing w:line="240" w:lineRule="auto"/>
              <w:rPr>
                <w:sz w:val="18"/>
                <w:szCs w:val="18"/>
                <w:lang w:val="fr-FR"/>
              </w:rPr>
            </w:pPr>
            <w:r w:rsidRPr="00373317">
              <w:rPr>
                <w:sz w:val="18"/>
                <w:szCs w:val="18"/>
                <w:lang w:val="fr-FR"/>
              </w:rPr>
              <w:t xml:space="preserve">Matière liquide qui polymérise, stabilisée, </w:t>
            </w:r>
            <w:proofErr w:type="spellStart"/>
            <w:r w:rsidRPr="00373317">
              <w:rPr>
                <w:sz w:val="18"/>
                <w:szCs w:val="18"/>
                <w:lang w:val="fr-FR"/>
              </w:rPr>
              <w:t>n.s.a</w:t>
            </w:r>
            <w:proofErr w:type="spellEnd"/>
            <w:r w:rsidRPr="00373317">
              <w:rPr>
                <w:sz w:val="18"/>
                <w:szCs w:val="18"/>
                <w:lang w:val="fr-FR"/>
              </w:rPr>
              <w:t xml:space="preserve">. </w:t>
            </w:r>
          </w:p>
        </w:tc>
        <w:tc>
          <w:tcPr>
            <w:tcW w:w="1617" w:type="dxa"/>
            <w:vMerge w:val="restart"/>
            <w:vAlign w:val="center"/>
          </w:tcPr>
          <w:p w14:paraId="33D42AE3" w14:textId="77777777" w:rsidR="00E0792D" w:rsidRPr="00373317" w:rsidRDefault="00E0792D" w:rsidP="00E0792D">
            <w:pPr>
              <w:spacing w:line="240" w:lineRule="auto"/>
              <w:jc w:val="center"/>
              <w:rPr>
                <w:sz w:val="18"/>
                <w:szCs w:val="18"/>
                <w:lang w:val="fr-FR"/>
              </w:rPr>
            </w:pPr>
            <w:r w:rsidRPr="00373317">
              <w:rPr>
                <w:sz w:val="18"/>
                <w:szCs w:val="18"/>
                <w:lang w:val="fr-FR"/>
              </w:rPr>
              <w:t>L4BN</w:t>
            </w:r>
          </w:p>
        </w:tc>
      </w:tr>
      <w:tr w:rsidR="00E0792D" w:rsidRPr="00373317" w14:paraId="785294CB" w14:textId="77777777" w:rsidTr="00E0792D">
        <w:trPr>
          <w:cantSplit/>
          <w:trHeight w:val="20"/>
          <w:jc w:val="center"/>
        </w:trPr>
        <w:tc>
          <w:tcPr>
            <w:tcW w:w="741" w:type="dxa"/>
            <w:vMerge/>
          </w:tcPr>
          <w:p w14:paraId="4596A701" w14:textId="77777777" w:rsidR="00E0792D" w:rsidRPr="00373317" w:rsidRDefault="00E0792D" w:rsidP="00E0792D">
            <w:pPr>
              <w:spacing w:line="240" w:lineRule="auto"/>
              <w:jc w:val="center"/>
              <w:rPr>
                <w:sz w:val="18"/>
                <w:szCs w:val="18"/>
                <w:lang w:val="fr-FR"/>
              </w:rPr>
            </w:pPr>
          </w:p>
        </w:tc>
        <w:tc>
          <w:tcPr>
            <w:tcW w:w="976" w:type="dxa"/>
            <w:tcBorders>
              <w:top w:val="nil"/>
            </w:tcBorders>
          </w:tcPr>
          <w:p w14:paraId="3F919FD0" w14:textId="77777777" w:rsidR="00E0792D" w:rsidRPr="00373317" w:rsidRDefault="00E0792D" w:rsidP="00E0792D">
            <w:pPr>
              <w:spacing w:line="240" w:lineRule="auto"/>
              <w:jc w:val="center"/>
              <w:rPr>
                <w:sz w:val="18"/>
                <w:szCs w:val="18"/>
                <w:lang w:val="fr-FR"/>
              </w:rPr>
            </w:pPr>
            <w:r w:rsidRPr="00373317">
              <w:rPr>
                <w:sz w:val="18"/>
                <w:szCs w:val="18"/>
                <w:lang w:val="fr-FR"/>
              </w:rPr>
              <w:t>3534</w:t>
            </w:r>
          </w:p>
        </w:tc>
        <w:tc>
          <w:tcPr>
            <w:tcW w:w="5943" w:type="dxa"/>
            <w:tcBorders>
              <w:top w:val="nil"/>
            </w:tcBorders>
          </w:tcPr>
          <w:p w14:paraId="50ACCF38" w14:textId="77777777" w:rsidR="00E0792D" w:rsidRPr="00373317" w:rsidRDefault="00E0792D" w:rsidP="00E0792D">
            <w:pPr>
              <w:spacing w:line="240" w:lineRule="auto"/>
              <w:rPr>
                <w:sz w:val="18"/>
                <w:szCs w:val="18"/>
                <w:lang w:val="fr-FR"/>
              </w:rPr>
            </w:pPr>
            <w:r w:rsidRPr="00373317">
              <w:rPr>
                <w:sz w:val="18"/>
                <w:szCs w:val="18"/>
                <w:lang w:val="fr-FR"/>
              </w:rPr>
              <w:t xml:space="preserve"> Matière liquide qui polymérise, avec régulation de température, </w:t>
            </w:r>
            <w:proofErr w:type="spellStart"/>
            <w:r w:rsidRPr="00373317">
              <w:rPr>
                <w:sz w:val="18"/>
                <w:szCs w:val="18"/>
                <w:lang w:val="fr-FR"/>
              </w:rPr>
              <w:t>n.s.a</w:t>
            </w:r>
            <w:proofErr w:type="spellEnd"/>
            <w:r w:rsidRPr="00373317">
              <w:rPr>
                <w:sz w:val="18"/>
                <w:szCs w:val="18"/>
                <w:lang w:val="fr-FR"/>
              </w:rPr>
              <w:t>.</w:t>
            </w:r>
          </w:p>
        </w:tc>
        <w:tc>
          <w:tcPr>
            <w:tcW w:w="1617" w:type="dxa"/>
            <w:vMerge/>
            <w:vAlign w:val="center"/>
          </w:tcPr>
          <w:p w14:paraId="10967D53" w14:textId="77777777" w:rsidR="00E0792D" w:rsidRPr="00373317" w:rsidRDefault="00E0792D" w:rsidP="00E0792D">
            <w:pPr>
              <w:spacing w:line="240" w:lineRule="auto"/>
              <w:jc w:val="center"/>
              <w:rPr>
                <w:sz w:val="18"/>
                <w:szCs w:val="18"/>
                <w:lang w:val="fr-FR"/>
              </w:rPr>
            </w:pPr>
          </w:p>
        </w:tc>
      </w:tr>
      <w:tr w:rsidR="00E0792D" w:rsidRPr="00373317" w14:paraId="2E532F10" w14:textId="77777777" w:rsidTr="00E0792D">
        <w:trPr>
          <w:cantSplit/>
          <w:trHeight w:val="20"/>
          <w:jc w:val="center"/>
        </w:trPr>
        <w:tc>
          <w:tcPr>
            <w:tcW w:w="741" w:type="dxa"/>
            <w:vMerge w:val="restart"/>
          </w:tcPr>
          <w:p w14:paraId="13232011" w14:textId="77777777" w:rsidR="00E0792D" w:rsidRPr="00373317" w:rsidRDefault="00E0792D" w:rsidP="00E0792D">
            <w:pPr>
              <w:spacing w:line="240" w:lineRule="auto"/>
              <w:jc w:val="center"/>
              <w:rPr>
                <w:sz w:val="18"/>
                <w:szCs w:val="18"/>
                <w:lang w:val="fr-FR"/>
              </w:rPr>
            </w:pPr>
            <w:r w:rsidRPr="00373317">
              <w:rPr>
                <w:sz w:val="18"/>
                <w:szCs w:val="18"/>
                <w:lang w:val="fr-FR"/>
              </w:rPr>
              <w:t>4.2</w:t>
            </w:r>
          </w:p>
        </w:tc>
        <w:tc>
          <w:tcPr>
            <w:tcW w:w="976" w:type="dxa"/>
          </w:tcPr>
          <w:p w14:paraId="4591EA71" w14:textId="77777777" w:rsidR="00E0792D" w:rsidRPr="00373317" w:rsidRDefault="00E0792D" w:rsidP="00E0792D">
            <w:pPr>
              <w:spacing w:line="240" w:lineRule="auto"/>
              <w:jc w:val="center"/>
              <w:rPr>
                <w:sz w:val="18"/>
                <w:szCs w:val="18"/>
                <w:lang w:val="fr-FR"/>
              </w:rPr>
            </w:pPr>
            <w:r w:rsidRPr="00373317">
              <w:rPr>
                <w:sz w:val="18"/>
                <w:szCs w:val="18"/>
                <w:lang w:val="fr-FR"/>
              </w:rPr>
              <w:t>1381</w:t>
            </w:r>
          </w:p>
        </w:tc>
        <w:tc>
          <w:tcPr>
            <w:tcW w:w="5943" w:type="dxa"/>
          </w:tcPr>
          <w:p w14:paraId="09DBC8B8" w14:textId="77777777" w:rsidR="00E0792D" w:rsidRPr="00373317" w:rsidRDefault="00E0792D" w:rsidP="00E0792D">
            <w:pPr>
              <w:spacing w:line="240" w:lineRule="auto"/>
              <w:rPr>
                <w:sz w:val="18"/>
                <w:szCs w:val="18"/>
                <w:lang w:val="fr-FR"/>
              </w:rPr>
            </w:pPr>
            <w:r w:rsidRPr="00373317">
              <w:rPr>
                <w:sz w:val="18"/>
                <w:szCs w:val="18"/>
                <w:lang w:val="fr-FR"/>
              </w:rPr>
              <w:t>Phosphore blanc ou jaune, sec, ou recouvert d'eau ou en solution</w:t>
            </w:r>
          </w:p>
        </w:tc>
        <w:tc>
          <w:tcPr>
            <w:tcW w:w="1617" w:type="dxa"/>
            <w:vMerge w:val="restart"/>
            <w:vAlign w:val="center"/>
          </w:tcPr>
          <w:p w14:paraId="4FB00240" w14:textId="77777777" w:rsidR="00E0792D" w:rsidRPr="00373317" w:rsidRDefault="00E0792D" w:rsidP="00E0792D">
            <w:pPr>
              <w:spacing w:line="240" w:lineRule="auto"/>
              <w:jc w:val="center"/>
              <w:rPr>
                <w:sz w:val="18"/>
                <w:szCs w:val="18"/>
                <w:lang w:val="fr-FR"/>
              </w:rPr>
            </w:pPr>
            <w:r w:rsidRPr="00373317">
              <w:rPr>
                <w:sz w:val="18"/>
                <w:szCs w:val="18"/>
                <w:lang w:val="fr-FR"/>
              </w:rPr>
              <w:t>L10DH</w:t>
            </w:r>
          </w:p>
        </w:tc>
      </w:tr>
      <w:tr w:rsidR="00E0792D" w:rsidRPr="00373317" w14:paraId="71CD9756" w14:textId="77777777" w:rsidTr="00E0792D">
        <w:trPr>
          <w:cantSplit/>
          <w:trHeight w:val="20"/>
          <w:jc w:val="center"/>
        </w:trPr>
        <w:tc>
          <w:tcPr>
            <w:tcW w:w="741" w:type="dxa"/>
            <w:vMerge/>
          </w:tcPr>
          <w:p w14:paraId="48413C2C" w14:textId="77777777" w:rsidR="00E0792D" w:rsidRPr="00373317" w:rsidRDefault="00E0792D" w:rsidP="00E0792D">
            <w:pPr>
              <w:spacing w:line="240" w:lineRule="auto"/>
              <w:jc w:val="center"/>
              <w:rPr>
                <w:sz w:val="18"/>
                <w:szCs w:val="18"/>
                <w:lang w:val="fr-FR"/>
              </w:rPr>
            </w:pPr>
          </w:p>
        </w:tc>
        <w:tc>
          <w:tcPr>
            <w:tcW w:w="976" w:type="dxa"/>
          </w:tcPr>
          <w:p w14:paraId="09AE4924" w14:textId="77777777" w:rsidR="00E0792D" w:rsidRPr="00373317" w:rsidRDefault="00E0792D" w:rsidP="00E0792D">
            <w:pPr>
              <w:spacing w:line="240" w:lineRule="auto"/>
              <w:jc w:val="center"/>
              <w:rPr>
                <w:sz w:val="18"/>
                <w:szCs w:val="18"/>
                <w:lang w:val="fr-FR"/>
              </w:rPr>
            </w:pPr>
            <w:r w:rsidRPr="00373317">
              <w:rPr>
                <w:sz w:val="18"/>
                <w:szCs w:val="18"/>
                <w:lang w:val="fr-FR"/>
              </w:rPr>
              <w:t>2447</w:t>
            </w:r>
          </w:p>
        </w:tc>
        <w:tc>
          <w:tcPr>
            <w:tcW w:w="5943" w:type="dxa"/>
          </w:tcPr>
          <w:p w14:paraId="7E38A5CB" w14:textId="77777777" w:rsidR="00E0792D" w:rsidRPr="00373317" w:rsidRDefault="00E0792D" w:rsidP="00E0792D">
            <w:pPr>
              <w:spacing w:line="240" w:lineRule="auto"/>
              <w:rPr>
                <w:sz w:val="18"/>
                <w:szCs w:val="18"/>
                <w:lang w:val="fr-FR"/>
              </w:rPr>
            </w:pPr>
            <w:r w:rsidRPr="00373317">
              <w:rPr>
                <w:sz w:val="18"/>
                <w:szCs w:val="18"/>
                <w:lang w:val="fr-FR"/>
              </w:rPr>
              <w:t>Phosphore blanc fondu</w:t>
            </w:r>
          </w:p>
        </w:tc>
        <w:tc>
          <w:tcPr>
            <w:tcW w:w="1617" w:type="dxa"/>
            <w:vMerge/>
            <w:vAlign w:val="center"/>
          </w:tcPr>
          <w:p w14:paraId="5E3D5408" w14:textId="77777777" w:rsidR="00E0792D" w:rsidRPr="00373317" w:rsidRDefault="00E0792D" w:rsidP="00E0792D">
            <w:pPr>
              <w:spacing w:line="240" w:lineRule="auto"/>
              <w:jc w:val="center"/>
              <w:rPr>
                <w:sz w:val="18"/>
                <w:szCs w:val="18"/>
                <w:lang w:val="fr-FR"/>
              </w:rPr>
            </w:pPr>
          </w:p>
        </w:tc>
      </w:tr>
      <w:tr w:rsidR="00E0792D" w:rsidRPr="00373317" w14:paraId="67CF43E4" w14:textId="77777777" w:rsidTr="00E0792D">
        <w:trPr>
          <w:cantSplit/>
          <w:trHeight w:val="20"/>
          <w:jc w:val="center"/>
        </w:trPr>
        <w:tc>
          <w:tcPr>
            <w:tcW w:w="741" w:type="dxa"/>
            <w:vMerge w:val="restart"/>
          </w:tcPr>
          <w:p w14:paraId="7733B5AD" w14:textId="77777777" w:rsidR="00E0792D" w:rsidRPr="00373317" w:rsidRDefault="00E0792D" w:rsidP="00E0792D">
            <w:pPr>
              <w:spacing w:line="240" w:lineRule="auto"/>
              <w:jc w:val="center"/>
              <w:rPr>
                <w:sz w:val="18"/>
                <w:szCs w:val="18"/>
                <w:lang w:val="fr-FR"/>
              </w:rPr>
            </w:pPr>
            <w:r w:rsidRPr="00373317">
              <w:rPr>
                <w:sz w:val="18"/>
                <w:szCs w:val="18"/>
                <w:lang w:val="fr-FR"/>
              </w:rPr>
              <w:t>4.3</w:t>
            </w:r>
          </w:p>
        </w:tc>
        <w:tc>
          <w:tcPr>
            <w:tcW w:w="976" w:type="dxa"/>
          </w:tcPr>
          <w:p w14:paraId="15CD9C5F" w14:textId="77777777" w:rsidR="00E0792D" w:rsidRPr="00373317" w:rsidRDefault="00E0792D" w:rsidP="00E0792D">
            <w:pPr>
              <w:spacing w:line="240" w:lineRule="auto"/>
              <w:jc w:val="center"/>
              <w:rPr>
                <w:sz w:val="18"/>
                <w:szCs w:val="18"/>
                <w:lang w:val="fr-FR"/>
              </w:rPr>
            </w:pPr>
            <w:r w:rsidRPr="00373317">
              <w:rPr>
                <w:sz w:val="18"/>
                <w:szCs w:val="18"/>
                <w:lang w:val="fr-FR"/>
              </w:rPr>
              <w:t>1389</w:t>
            </w:r>
          </w:p>
        </w:tc>
        <w:tc>
          <w:tcPr>
            <w:tcW w:w="5943" w:type="dxa"/>
          </w:tcPr>
          <w:p w14:paraId="0BF498FE" w14:textId="77777777" w:rsidR="00E0792D" w:rsidRPr="00373317" w:rsidRDefault="00E0792D" w:rsidP="00E0792D">
            <w:pPr>
              <w:spacing w:line="240" w:lineRule="auto"/>
              <w:rPr>
                <w:sz w:val="18"/>
                <w:szCs w:val="18"/>
                <w:lang w:val="fr-FR"/>
              </w:rPr>
            </w:pPr>
            <w:r w:rsidRPr="00373317">
              <w:rPr>
                <w:sz w:val="18"/>
                <w:szCs w:val="18"/>
                <w:lang w:val="fr-FR"/>
              </w:rPr>
              <w:t>Amalgame de métaux alcalins, liquide</w:t>
            </w:r>
          </w:p>
        </w:tc>
        <w:tc>
          <w:tcPr>
            <w:tcW w:w="1617" w:type="dxa"/>
            <w:vMerge w:val="restart"/>
            <w:vAlign w:val="center"/>
          </w:tcPr>
          <w:p w14:paraId="419E0FC1" w14:textId="77777777" w:rsidR="00E0792D" w:rsidRPr="00373317" w:rsidRDefault="00E0792D" w:rsidP="00E0792D">
            <w:pPr>
              <w:spacing w:line="240" w:lineRule="auto"/>
              <w:jc w:val="center"/>
              <w:rPr>
                <w:sz w:val="18"/>
                <w:szCs w:val="18"/>
                <w:lang w:val="fr-FR"/>
              </w:rPr>
            </w:pPr>
            <w:r w:rsidRPr="00373317">
              <w:rPr>
                <w:sz w:val="18"/>
                <w:szCs w:val="18"/>
                <w:lang w:val="fr-FR"/>
              </w:rPr>
              <w:t>L10BN</w:t>
            </w:r>
          </w:p>
        </w:tc>
      </w:tr>
      <w:tr w:rsidR="00E0792D" w:rsidRPr="00373317" w14:paraId="1A36C6FB" w14:textId="77777777" w:rsidTr="00E0792D">
        <w:trPr>
          <w:cantSplit/>
          <w:trHeight w:val="20"/>
          <w:jc w:val="center"/>
        </w:trPr>
        <w:tc>
          <w:tcPr>
            <w:tcW w:w="741" w:type="dxa"/>
            <w:vMerge/>
          </w:tcPr>
          <w:p w14:paraId="156C676F" w14:textId="77777777" w:rsidR="00E0792D" w:rsidRPr="00373317" w:rsidRDefault="00E0792D" w:rsidP="00E0792D">
            <w:pPr>
              <w:spacing w:line="240" w:lineRule="auto"/>
              <w:jc w:val="center"/>
              <w:rPr>
                <w:sz w:val="18"/>
                <w:szCs w:val="18"/>
                <w:lang w:val="fr-FR"/>
              </w:rPr>
            </w:pPr>
          </w:p>
        </w:tc>
        <w:tc>
          <w:tcPr>
            <w:tcW w:w="976" w:type="dxa"/>
          </w:tcPr>
          <w:p w14:paraId="7AC8CC7C" w14:textId="77777777" w:rsidR="00E0792D" w:rsidRPr="00373317" w:rsidRDefault="00E0792D" w:rsidP="00E0792D">
            <w:pPr>
              <w:spacing w:line="240" w:lineRule="auto"/>
              <w:jc w:val="center"/>
              <w:rPr>
                <w:sz w:val="18"/>
                <w:szCs w:val="18"/>
                <w:lang w:val="fr-FR"/>
              </w:rPr>
            </w:pPr>
            <w:r w:rsidRPr="00373317">
              <w:rPr>
                <w:sz w:val="18"/>
                <w:szCs w:val="18"/>
                <w:lang w:val="fr-FR"/>
              </w:rPr>
              <w:t>1391</w:t>
            </w:r>
          </w:p>
        </w:tc>
        <w:tc>
          <w:tcPr>
            <w:tcW w:w="5943" w:type="dxa"/>
          </w:tcPr>
          <w:p w14:paraId="0459B5F9" w14:textId="77777777" w:rsidR="00E0792D" w:rsidRPr="00373317" w:rsidRDefault="00E0792D" w:rsidP="00E0792D">
            <w:pPr>
              <w:spacing w:line="240" w:lineRule="auto"/>
              <w:rPr>
                <w:sz w:val="18"/>
                <w:szCs w:val="18"/>
                <w:lang w:val="fr-FR"/>
              </w:rPr>
            </w:pPr>
            <w:r w:rsidRPr="00373317">
              <w:rPr>
                <w:sz w:val="18"/>
                <w:szCs w:val="18"/>
                <w:lang w:val="fr-FR"/>
              </w:rPr>
              <w:t>Dispersion de métaux alcalins ou dispersion de métaux alcalino-terreux</w:t>
            </w:r>
          </w:p>
        </w:tc>
        <w:tc>
          <w:tcPr>
            <w:tcW w:w="1617" w:type="dxa"/>
            <w:vMerge/>
            <w:vAlign w:val="center"/>
          </w:tcPr>
          <w:p w14:paraId="00A6CDEE" w14:textId="77777777" w:rsidR="00E0792D" w:rsidRPr="00373317" w:rsidRDefault="00E0792D" w:rsidP="00E0792D">
            <w:pPr>
              <w:spacing w:line="240" w:lineRule="auto"/>
              <w:jc w:val="center"/>
              <w:rPr>
                <w:sz w:val="18"/>
                <w:szCs w:val="18"/>
                <w:lang w:val="fr-FR"/>
              </w:rPr>
            </w:pPr>
          </w:p>
        </w:tc>
      </w:tr>
      <w:tr w:rsidR="00E0792D" w:rsidRPr="00373317" w14:paraId="3522684D" w14:textId="77777777" w:rsidTr="00E0792D">
        <w:trPr>
          <w:cantSplit/>
          <w:trHeight w:val="20"/>
          <w:jc w:val="center"/>
        </w:trPr>
        <w:tc>
          <w:tcPr>
            <w:tcW w:w="741" w:type="dxa"/>
            <w:vMerge/>
          </w:tcPr>
          <w:p w14:paraId="427C4268" w14:textId="77777777" w:rsidR="00E0792D" w:rsidRPr="00373317" w:rsidRDefault="00E0792D" w:rsidP="00E0792D">
            <w:pPr>
              <w:spacing w:line="240" w:lineRule="auto"/>
              <w:jc w:val="center"/>
              <w:rPr>
                <w:sz w:val="18"/>
                <w:szCs w:val="18"/>
                <w:lang w:val="fr-FR"/>
              </w:rPr>
            </w:pPr>
          </w:p>
        </w:tc>
        <w:tc>
          <w:tcPr>
            <w:tcW w:w="976" w:type="dxa"/>
          </w:tcPr>
          <w:p w14:paraId="340C701A" w14:textId="77777777" w:rsidR="00E0792D" w:rsidRPr="00373317" w:rsidRDefault="00E0792D" w:rsidP="00E0792D">
            <w:pPr>
              <w:spacing w:line="240" w:lineRule="auto"/>
              <w:jc w:val="center"/>
              <w:rPr>
                <w:sz w:val="18"/>
                <w:szCs w:val="18"/>
                <w:lang w:val="fr-FR"/>
              </w:rPr>
            </w:pPr>
            <w:r w:rsidRPr="00373317">
              <w:rPr>
                <w:sz w:val="18"/>
                <w:szCs w:val="18"/>
                <w:lang w:val="fr-FR"/>
              </w:rPr>
              <w:t>1392</w:t>
            </w:r>
          </w:p>
        </w:tc>
        <w:tc>
          <w:tcPr>
            <w:tcW w:w="5943" w:type="dxa"/>
          </w:tcPr>
          <w:p w14:paraId="5C356F35" w14:textId="77777777" w:rsidR="00E0792D" w:rsidRPr="00373317" w:rsidRDefault="00E0792D" w:rsidP="00E0792D">
            <w:pPr>
              <w:spacing w:line="240" w:lineRule="auto"/>
              <w:rPr>
                <w:sz w:val="18"/>
                <w:szCs w:val="18"/>
                <w:lang w:val="fr-FR"/>
              </w:rPr>
            </w:pPr>
            <w:r w:rsidRPr="00373317">
              <w:rPr>
                <w:sz w:val="18"/>
                <w:szCs w:val="18"/>
                <w:lang w:val="fr-FR"/>
              </w:rPr>
              <w:t xml:space="preserve">Amalgame de métaux alcalino-terreux, liquide </w:t>
            </w:r>
          </w:p>
        </w:tc>
        <w:tc>
          <w:tcPr>
            <w:tcW w:w="1617" w:type="dxa"/>
            <w:vMerge/>
            <w:vAlign w:val="center"/>
          </w:tcPr>
          <w:p w14:paraId="08F83553" w14:textId="77777777" w:rsidR="00E0792D" w:rsidRPr="00373317" w:rsidRDefault="00E0792D" w:rsidP="00E0792D">
            <w:pPr>
              <w:spacing w:line="240" w:lineRule="auto"/>
              <w:jc w:val="center"/>
              <w:rPr>
                <w:sz w:val="18"/>
                <w:szCs w:val="18"/>
                <w:lang w:val="fr-FR"/>
              </w:rPr>
            </w:pPr>
          </w:p>
        </w:tc>
      </w:tr>
      <w:tr w:rsidR="00E0792D" w:rsidRPr="00373317" w14:paraId="721A2878" w14:textId="77777777" w:rsidTr="00E0792D">
        <w:trPr>
          <w:cantSplit/>
          <w:trHeight w:val="20"/>
          <w:jc w:val="center"/>
        </w:trPr>
        <w:tc>
          <w:tcPr>
            <w:tcW w:w="741" w:type="dxa"/>
            <w:vMerge/>
          </w:tcPr>
          <w:p w14:paraId="04081FD4" w14:textId="77777777" w:rsidR="00E0792D" w:rsidRPr="00373317" w:rsidRDefault="00E0792D" w:rsidP="00E0792D">
            <w:pPr>
              <w:spacing w:line="240" w:lineRule="auto"/>
              <w:jc w:val="center"/>
              <w:rPr>
                <w:sz w:val="18"/>
                <w:szCs w:val="18"/>
                <w:lang w:val="fr-FR"/>
              </w:rPr>
            </w:pPr>
          </w:p>
        </w:tc>
        <w:tc>
          <w:tcPr>
            <w:tcW w:w="976" w:type="dxa"/>
          </w:tcPr>
          <w:p w14:paraId="46B9B0ED" w14:textId="77777777" w:rsidR="00E0792D" w:rsidRPr="00373317" w:rsidRDefault="00E0792D" w:rsidP="00E0792D">
            <w:pPr>
              <w:spacing w:line="240" w:lineRule="auto"/>
              <w:jc w:val="center"/>
              <w:rPr>
                <w:sz w:val="18"/>
                <w:szCs w:val="18"/>
                <w:lang w:val="fr-FR"/>
              </w:rPr>
            </w:pPr>
            <w:r w:rsidRPr="00373317">
              <w:rPr>
                <w:sz w:val="18"/>
                <w:szCs w:val="18"/>
                <w:lang w:val="fr-FR"/>
              </w:rPr>
              <w:t>1415</w:t>
            </w:r>
          </w:p>
        </w:tc>
        <w:tc>
          <w:tcPr>
            <w:tcW w:w="5943" w:type="dxa"/>
          </w:tcPr>
          <w:p w14:paraId="5CC554AE" w14:textId="77777777" w:rsidR="00E0792D" w:rsidRPr="00373317" w:rsidRDefault="00E0792D" w:rsidP="00E0792D">
            <w:pPr>
              <w:spacing w:line="240" w:lineRule="auto"/>
              <w:rPr>
                <w:sz w:val="18"/>
                <w:szCs w:val="18"/>
                <w:lang w:val="fr-FR"/>
              </w:rPr>
            </w:pPr>
            <w:r w:rsidRPr="00373317">
              <w:rPr>
                <w:sz w:val="18"/>
                <w:szCs w:val="18"/>
                <w:lang w:val="fr-FR"/>
              </w:rPr>
              <w:t>Lithium</w:t>
            </w:r>
          </w:p>
        </w:tc>
        <w:tc>
          <w:tcPr>
            <w:tcW w:w="1617" w:type="dxa"/>
            <w:vMerge/>
            <w:vAlign w:val="center"/>
          </w:tcPr>
          <w:p w14:paraId="194E7639" w14:textId="77777777" w:rsidR="00E0792D" w:rsidRPr="00373317" w:rsidRDefault="00E0792D" w:rsidP="00E0792D">
            <w:pPr>
              <w:spacing w:line="240" w:lineRule="auto"/>
              <w:jc w:val="center"/>
              <w:rPr>
                <w:sz w:val="18"/>
                <w:szCs w:val="18"/>
                <w:lang w:val="fr-FR"/>
              </w:rPr>
            </w:pPr>
          </w:p>
        </w:tc>
      </w:tr>
      <w:tr w:rsidR="00E0792D" w:rsidRPr="00373317" w14:paraId="198E7779" w14:textId="77777777" w:rsidTr="00E0792D">
        <w:trPr>
          <w:cantSplit/>
          <w:trHeight w:val="20"/>
          <w:jc w:val="center"/>
        </w:trPr>
        <w:tc>
          <w:tcPr>
            <w:tcW w:w="741" w:type="dxa"/>
            <w:vMerge/>
          </w:tcPr>
          <w:p w14:paraId="708F7389" w14:textId="77777777" w:rsidR="00E0792D" w:rsidRPr="00373317" w:rsidRDefault="00E0792D" w:rsidP="00E0792D">
            <w:pPr>
              <w:spacing w:line="240" w:lineRule="auto"/>
              <w:jc w:val="center"/>
              <w:rPr>
                <w:sz w:val="18"/>
                <w:szCs w:val="18"/>
                <w:lang w:val="fr-FR"/>
              </w:rPr>
            </w:pPr>
          </w:p>
        </w:tc>
        <w:tc>
          <w:tcPr>
            <w:tcW w:w="976" w:type="dxa"/>
          </w:tcPr>
          <w:p w14:paraId="4A5036FF" w14:textId="77777777" w:rsidR="00E0792D" w:rsidRPr="00373317" w:rsidRDefault="00E0792D" w:rsidP="00E0792D">
            <w:pPr>
              <w:spacing w:line="240" w:lineRule="auto"/>
              <w:jc w:val="center"/>
              <w:rPr>
                <w:sz w:val="18"/>
                <w:szCs w:val="18"/>
                <w:lang w:val="fr-FR"/>
              </w:rPr>
            </w:pPr>
            <w:r w:rsidRPr="00373317">
              <w:rPr>
                <w:sz w:val="18"/>
                <w:szCs w:val="18"/>
                <w:lang w:val="fr-FR"/>
              </w:rPr>
              <w:t>1420</w:t>
            </w:r>
          </w:p>
        </w:tc>
        <w:tc>
          <w:tcPr>
            <w:tcW w:w="5943" w:type="dxa"/>
          </w:tcPr>
          <w:p w14:paraId="025AA198" w14:textId="77777777" w:rsidR="00E0792D" w:rsidRPr="00373317" w:rsidRDefault="00E0792D" w:rsidP="00E0792D">
            <w:pPr>
              <w:spacing w:line="240" w:lineRule="auto"/>
              <w:rPr>
                <w:sz w:val="18"/>
                <w:szCs w:val="18"/>
                <w:lang w:val="fr-FR"/>
              </w:rPr>
            </w:pPr>
            <w:r w:rsidRPr="00373317">
              <w:rPr>
                <w:sz w:val="18"/>
                <w:szCs w:val="18"/>
                <w:lang w:val="fr-FR"/>
              </w:rPr>
              <w:t>Alliages métalliques de potassium, liquides</w:t>
            </w:r>
          </w:p>
        </w:tc>
        <w:tc>
          <w:tcPr>
            <w:tcW w:w="1617" w:type="dxa"/>
            <w:vMerge/>
            <w:vAlign w:val="center"/>
          </w:tcPr>
          <w:p w14:paraId="69F5E63C" w14:textId="77777777" w:rsidR="00E0792D" w:rsidRPr="00373317" w:rsidRDefault="00E0792D" w:rsidP="00E0792D">
            <w:pPr>
              <w:spacing w:line="240" w:lineRule="auto"/>
              <w:jc w:val="center"/>
              <w:rPr>
                <w:sz w:val="18"/>
                <w:szCs w:val="18"/>
                <w:lang w:val="fr-FR"/>
              </w:rPr>
            </w:pPr>
          </w:p>
        </w:tc>
      </w:tr>
      <w:tr w:rsidR="00E0792D" w:rsidRPr="00373317" w14:paraId="52923AEC" w14:textId="77777777" w:rsidTr="00E0792D">
        <w:trPr>
          <w:cantSplit/>
          <w:trHeight w:val="20"/>
          <w:jc w:val="center"/>
        </w:trPr>
        <w:tc>
          <w:tcPr>
            <w:tcW w:w="741" w:type="dxa"/>
            <w:vMerge/>
          </w:tcPr>
          <w:p w14:paraId="098A281D" w14:textId="77777777" w:rsidR="00E0792D" w:rsidRPr="00373317" w:rsidRDefault="00E0792D" w:rsidP="00E0792D">
            <w:pPr>
              <w:spacing w:line="240" w:lineRule="auto"/>
              <w:jc w:val="center"/>
              <w:rPr>
                <w:sz w:val="18"/>
                <w:szCs w:val="18"/>
                <w:lang w:val="fr-FR"/>
              </w:rPr>
            </w:pPr>
          </w:p>
        </w:tc>
        <w:tc>
          <w:tcPr>
            <w:tcW w:w="976" w:type="dxa"/>
          </w:tcPr>
          <w:p w14:paraId="14319B22" w14:textId="77777777" w:rsidR="00E0792D" w:rsidRPr="00373317" w:rsidRDefault="00E0792D" w:rsidP="00E0792D">
            <w:pPr>
              <w:spacing w:line="240" w:lineRule="auto"/>
              <w:jc w:val="center"/>
              <w:rPr>
                <w:sz w:val="18"/>
                <w:szCs w:val="18"/>
                <w:lang w:val="fr-FR"/>
              </w:rPr>
            </w:pPr>
            <w:r w:rsidRPr="00373317">
              <w:rPr>
                <w:sz w:val="18"/>
                <w:szCs w:val="18"/>
                <w:lang w:val="fr-FR"/>
              </w:rPr>
              <w:t>1421</w:t>
            </w:r>
          </w:p>
        </w:tc>
        <w:tc>
          <w:tcPr>
            <w:tcW w:w="5943" w:type="dxa"/>
          </w:tcPr>
          <w:p w14:paraId="4E191C7A" w14:textId="77777777" w:rsidR="00E0792D" w:rsidRPr="00373317" w:rsidRDefault="00E0792D" w:rsidP="00E0792D">
            <w:pPr>
              <w:spacing w:line="240" w:lineRule="auto"/>
              <w:rPr>
                <w:sz w:val="18"/>
                <w:szCs w:val="18"/>
                <w:lang w:val="fr-FR"/>
              </w:rPr>
            </w:pPr>
            <w:r w:rsidRPr="00373317">
              <w:rPr>
                <w:sz w:val="18"/>
                <w:szCs w:val="18"/>
                <w:lang w:val="fr-FR"/>
              </w:rPr>
              <w:t xml:space="preserve">Alliage liquide de métaux alcalins, </w:t>
            </w:r>
            <w:proofErr w:type="spellStart"/>
            <w:r w:rsidRPr="00373317">
              <w:rPr>
                <w:sz w:val="18"/>
                <w:szCs w:val="18"/>
                <w:lang w:val="fr-FR"/>
              </w:rPr>
              <w:t>n.s.a</w:t>
            </w:r>
            <w:proofErr w:type="spellEnd"/>
            <w:r w:rsidRPr="00373317">
              <w:rPr>
                <w:sz w:val="18"/>
                <w:szCs w:val="18"/>
                <w:lang w:val="fr-FR"/>
              </w:rPr>
              <w:t>.</w:t>
            </w:r>
          </w:p>
        </w:tc>
        <w:tc>
          <w:tcPr>
            <w:tcW w:w="1617" w:type="dxa"/>
            <w:vMerge/>
            <w:vAlign w:val="center"/>
          </w:tcPr>
          <w:p w14:paraId="346645D8" w14:textId="77777777" w:rsidR="00E0792D" w:rsidRPr="00373317" w:rsidRDefault="00E0792D" w:rsidP="00E0792D">
            <w:pPr>
              <w:spacing w:line="240" w:lineRule="auto"/>
              <w:jc w:val="center"/>
              <w:rPr>
                <w:sz w:val="18"/>
                <w:szCs w:val="18"/>
                <w:lang w:val="fr-FR"/>
              </w:rPr>
            </w:pPr>
          </w:p>
        </w:tc>
      </w:tr>
      <w:tr w:rsidR="00E0792D" w:rsidRPr="00373317" w14:paraId="529FA91B" w14:textId="77777777" w:rsidTr="00E0792D">
        <w:trPr>
          <w:cantSplit/>
          <w:trHeight w:val="20"/>
          <w:jc w:val="center"/>
        </w:trPr>
        <w:tc>
          <w:tcPr>
            <w:tcW w:w="741" w:type="dxa"/>
            <w:vMerge/>
          </w:tcPr>
          <w:p w14:paraId="4EEB4633" w14:textId="77777777" w:rsidR="00E0792D" w:rsidRPr="00373317" w:rsidRDefault="00E0792D" w:rsidP="00E0792D">
            <w:pPr>
              <w:spacing w:line="240" w:lineRule="auto"/>
              <w:jc w:val="center"/>
              <w:rPr>
                <w:sz w:val="18"/>
                <w:szCs w:val="18"/>
                <w:lang w:val="fr-FR"/>
              </w:rPr>
            </w:pPr>
          </w:p>
        </w:tc>
        <w:tc>
          <w:tcPr>
            <w:tcW w:w="976" w:type="dxa"/>
          </w:tcPr>
          <w:p w14:paraId="32F103E5" w14:textId="77777777" w:rsidR="00E0792D" w:rsidRPr="00373317" w:rsidRDefault="00E0792D" w:rsidP="00E0792D">
            <w:pPr>
              <w:spacing w:line="240" w:lineRule="auto"/>
              <w:jc w:val="center"/>
              <w:rPr>
                <w:sz w:val="18"/>
                <w:szCs w:val="18"/>
                <w:lang w:val="fr-FR"/>
              </w:rPr>
            </w:pPr>
            <w:r w:rsidRPr="00373317">
              <w:rPr>
                <w:sz w:val="18"/>
                <w:szCs w:val="18"/>
                <w:lang w:val="fr-FR"/>
              </w:rPr>
              <w:t>1422</w:t>
            </w:r>
          </w:p>
        </w:tc>
        <w:tc>
          <w:tcPr>
            <w:tcW w:w="5943" w:type="dxa"/>
          </w:tcPr>
          <w:p w14:paraId="632F3B36" w14:textId="77777777" w:rsidR="00E0792D" w:rsidRPr="00373317" w:rsidRDefault="00E0792D" w:rsidP="00E0792D">
            <w:pPr>
              <w:spacing w:line="240" w:lineRule="auto"/>
              <w:rPr>
                <w:sz w:val="18"/>
                <w:szCs w:val="18"/>
                <w:lang w:val="fr-FR"/>
              </w:rPr>
            </w:pPr>
            <w:r w:rsidRPr="00373317">
              <w:rPr>
                <w:sz w:val="18"/>
                <w:szCs w:val="18"/>
                <w:lang w:val="fr-FR"/>
              </w:rPr>
              <w:t>Alliages de potassium et sodium, liquides</w:t>
            </w:r>
          </w:p>
        </w:tc>
        <w:tc>
          <w:tcPr>
            <w:tcW w:w="1617" w:type="dxa"/>
            <w:vMerge/>
            <w:vAlign w:val="center"/>
          </w:tcPr>
          <w:p w14:paraId="25FF6A59" w14:textId="77777777" w:rsidR="00E0792D" w:rsidRPr="00373317" w:rsidRDefault="00E0792D" w:rsidP="00E0792D">
            <w:pPr>
              <w:spacing w:line="240" w:lineRule="auto"/>
              <w:jc w:val="center"/>
              <w:rPr>
                <w:sz w:val="18"/>
                <w:szCs w:val="18"/>
                <w:lang w:val="fr-FR"/>
              </w:rPr>
            </w:pPr>
          </w:p>
        </w:tc>
      </w:tr>
      <w:tr w:rsidR="00E0792D" w:rsidRPr="00373317" w14:paraId="2F9E9810" w14:textId="77777777" w:rsidTr="00E0792D">
        <w:trPr>
          <w:cantSplit/>
          <w:trHeight w:val="20"/>
          <w:jc w:val="center"/>
        </w:trPr>
        <w:tc>
          <w:tcPr>
            <w:tcW w:w="741" w:type="dxa"/>
            <w:vMerge/>
          </w:tcPr>
          <w:p w14:paraId="5227434E" w14:textId="77777777" w:rsidR="00E0792D" w:rsidRPr="00373317" w:rsidRDefault="00E0792D" w:rsidP="00E0792D">
            <w:pPr>
              <w:spacing w:line="240" w:lineRule="auto"/>
              <w:jc w:val="center"/>
              <w:rPr>
                <w:sz w:val="18"/>
                <w:szCs w:val="18"/>
                <w:lang w:val="fr-FR"/>
              </w:rPr>
            </w:pPr>
          </w:p>
        </w:tc>
        <w:tc>
          <w:tcPr>
            <w:tcW w:w="976" w:type="dxa"/>
          </w:tcPr>
          <w:p w14:paraId="474DE0A6" w14:textId="77777777" w:rsidR="00E0792D" w:rsidRPr="00373317" w:rsidRDefault="00E0792D" w:rsidP="00E0792D">
            <w:pPr>
              <w:spacing w:line="240" w:lineRule="auto"/>
              <w:jc w:val="center"/>
              <w:rPr>
                <w:sz w:val="18"/>
                <w:szCs w:val="18"/>
                <w:lang w:val="fr-FR"/>
              </w:rPr>
            </w:pPr>
            <w:r w:rsidRPr="00373317">
              <w:rPr>
                <w:sz w:val="18"/>
                <w:szCs w:val="18"/>
                <w:lang w:val="fr-FR"/>
              </w:rPr>
              <w:t>1428</w:t>
            </w:r>
          </w:p>
        </w:tc>
        <w:tc>
          <w:tcPr>
            <w:tcW w:w="5943" w:type="dxa"/>
          </w:tcPr>
          <w:p w14:paraId="11B02DEE" w14:textId="77777777" w:rsidR="00E0792D" w:rsidRPr="00373317" w:rsidRDefault="00E0792D" w:rsidP="00E0792D">
            <w:pPr>
              <w:spacing w:line="240" w:lineRule="auto"/>
              <w:rPr>
                <w:sz w:val="18"/>
                <w:szCs w:val="18"/>
                <w:lang w:val="fr-FR"/>
              </w:rPr>
            </w:pPr>
            <w:r w:rsidRPr="00373317">
              <w:rPr>
                <w:sz w:val="18"/>
                <w:szCs w:val="18"/>
                <w:lang w:val="fr-FR"/>
              </w:rPr>
              <w:t>Sodium</w:t>
            </w:r>
          </w:p>
        </w:tc>
        <w:tc>
          <w:tcPr>
            <w:tcW w:w="1617" w:type="dxa"/>
            <w:vMerge/>
            <w:vAlign w:val="center"/>
          </w:tcPr>
          <w:p w14:paraId="2EDEACF9" w14:textId="77777777" w:rsidR="00E0792D" w:rsidRPr="00373317" w:rsidRDefault="00E0792D" w:rsidP="00E0792D">
            <w:pPr>
              <w:spacing w:line="240" w:lineRule="auto"/>
              <w:jc w:val="center"/>
              <w:rPr>
                <w:sz w:val="18"/>
                <w:szCs w:val="18"/>
                <w:lang w:val="fr-FR"/>
              </w:rPr>
            </w:pPr>
          </w:p>
        </w:tc>
      </w:tr>
      <w:tr w:rsidR="00E0792D" w:rsidRPr="00373317" w14:paraId="7B647B07" w14:textId="77777777" w:rsidTr="00E0792D">
        <w:trPr>
          <w:cantSplit/>
          <w:trHeight w:val="20"/>
          <w:jc w:val="center"/>
        </w:trPr>
        <w:tc>
          <w:tcPr>
            <w:tcW w:w="741" w:type="dxa"/>
            <w:vMerge/>
          </w:tcPr>
          <w:p w14:paraId="723C5BDA" w14:textId="77777777" w:rsidR="00E0792D" w:rsidRPr="00373317" w:rsidRDefault="00E0792D" w:rsidP="00E0792D">
            <w:pPr>
              <w:spacing w:line="240" w:lineRule="auto"/>
              <w:jc w:val="center"/>
              <w:rPr>
                <w:sz w:val="18"/>
                <w:szCs w:val="18"/>
                <w:lang w:val="fr-FR"/>
              </w:rPr>
            </w:pPr>
          </w:p>
        </w:tc>
        <w:tc>
          <w:tcPr>
            <w:tcW w:w="976" w:type="dxa"/>
          </w:tcPr>
          <w:p w14:paraId="109CA353" w14:textId="77777777" w:rsidR="00E0792D" w:rsidRPr="00373317" w:rsidRDefault="00E0792D" w:rsidP="00E0792D">
            <w:pPr>
              <w:spacing w:line="240" w:lineRule="auto"/>
              <w:jc w:val="center"/>
              <w:rPr>
                <w:sz w:val="18"/>
                <w:szCs w:val="18"/>
                <w:lang w:val="fr-FR"/>
              </w:rPr>
            </w:pPr>
            <w:r w:rsidRPr="00373317">
              <w:rPr>
                <w:sz w:val="18"/>
                <w:szCs w:val="18"/>
                <w:lang w:val="fr-FR"/>
              </w:rPr>
              <w:t>2257</w:t>
            </w:r>
          </w:p>
        </w:tc>
        <w:tc>
          <w:tcPr>
            <w:tcW w:w="5943" w:type="dxa"/>
          </w:tcPr>
          <w:p w14:paraId="643254A2" w14:textId="77777777" w:rsidR="00E0792D" w:rsidRPr="00373317" w:rsidRDefault="00E0792D" w:rsidP="00E0792D">
            <w:pPr>
              <w:spacing w:line="240" w:lineRule="auto"/>
              <w:rPr>
                <w:sz w:val="18"/>
                <w:szCs w:val="18"/>
                <w:lang w:val="fr-FR"/>
              </w:rPr>
            </w:pPr>
            <w:r w:rsidRPr="00373317">
              <w:rPr>
                <w:sz w:val="18"/>
                <w:szCs w:val="18"/>
                <w:lang w:val="fr-FR"/>
              </w:rPr>
              <w:t>Potassium</w:t>
            </w:r>
          </w:p>
        </w:tc>
        <w:tc>
          <w:tcPr>
            <w:tcW w:w="1617" w:type="dxa"/>
            <w:vMerge/>
            <w:vAlign w:val="center"/>
          </w:tcPr>
          <w:p w14:paraId="79E5AE81" w14:textId="77777777" w:rsidR="00E0792D" w:rsidRPr="00373317" w:rsidRDefault="00E0792D" w:rsidP="00E0792D">
            <w:pPr>
              <w:spacing w:line="240" w:lineRule="auto"/>
              <w:jc w:val="center"/>
              <w:rPr>
                <w:sz w:val="18"/>
                <w:szCs w:val="18"/>
                <w:lang w:val="fr-FR"/>
              </w:rPr>
            </w:pPr>
          </w:p>
        </w:tc>
      </w:tr>
      <w:tr w:rsidR="00E0792D" w:rsidRPr="00373317" w14:paraId="4A906956" w14:textId="77777777" w:rsidTr="00E0792D">
        <w:trPr>
          <w:cantSplit/>
          <w:trHeight w:val="20"/>
          <w:jc w:val="center"/>
        </w:trPr>
        <w:tc>
          <w:tcPr>
            <w:tcW w:w="741" w:type="dxa"/>
            <w:vMerge/>
          </w:tcPr>
          <w:p w14:paraId="58D0B899" w14:textId="77777777" w:rsidR="00E0792D" w:rsidRPr="00373317" w:rsidRDefault="00E0792D" w:rsidP="00E0792D">
            <w:pPr>
              <w:spacing w:line="240" w:lineRule="auto"/>
              <w:jc w:val="center"/>
              <w:rPr>
                <w:sz w:val="18"/>
                <w:szCs w:val="18"/>
                <w:lang w:val="fr-FR"/>
              </w:rPr>
            </w:pPr>
          </w:p>
        </w:tc>
        <w:tc>
          <w:tcPr>
            <w:tcW w:w="976" w:type="dxa"/>
          </w:tcPr>
          <w:p w14:paraId="5A46A590" w14:textId="77777777" w:rsidR="00E0792D" w:rsidRPr="00373317" w:rsidRDefault="00E0792D" w:rsidP="00E0792D">
            <w:pPr>
              <w:spacing w:line="240" w:lineRule="auto"/>
              <w:jc w:val="center"/>
              <w:rPr>
                <w:sz w:val="18"/>
                <w:szCs w:val="18"/>
                <w:lang w:val="fr-FR"/>
              </w:rPr>
            </w:pPr>
            <w:r w:rsidRPr="00373317">
              <w:rPr>
                <w:sz w:val="18"/>
                <w:szCs w:val="18"/>
                <w:lang w:val="fr-FR"/>
              </w:rPr>
              <w:t>3401</w:t>
            </w:r>
          </w:p>
        </w:tc>
        <w:tc>
          <w:tcPr>
            <w:tcW w:w="5943" w:type="dxa"/>
          </w:tcPr>
          <w:p w14:paraId="634A794D" w14:textId="77777777" w:rsidR="00E0792D" w:rsidRPr="00373317" w:rsidRDefault="00E0792D" w:rsidP="00E0792D">
            <w:pPr>
              <w:spacing w:line="240" w:lineRule="auto"/>
              <w:rPr>
                <w:sz w:val="18"/>
                <w:szCs w:val="18"/>
                <w:lang w:val="fr-FR"/>
              </w:rPr>
            </w:pPr>
            <w:r w:rsidRPr="00373317">
              <w:rPr>
                <w:sz w:val="18"/>
                <w:szCs w:val="18"/>
                <w:lang w:val="fr-FR"/>
              </w:rPr>
              <w:t>Amalgame de métaux alcalins, solide</w:t>
            </w:r>
          </w:p>
        </w:tc>
        <w:tc>
          <w:tcPr>
            <w:tcW w:w="1617" w:type="dxa"/>
            <w:vMerge/>
            <w:vAlign w:val="center"/>
          </w:tcPr>
          <w:p w14:paraId="3B1C5FB5" w14:textId="77777777" w:rsidR="00E0792D" w:rsidRPr="00373317" w:rsidRDefault="00E0792D" w:rsidP="00E0792D">
            <w:pPr>
              <w:spacing w:line="240" w:lineRule="auto"/>
              <w:jc w:val="center"/>
              <w:rPr>
                <w:sz w:val="18"/>
                <w:szCs w:val="18"/>
                <w:lang w:val="fr-FR"/>
              </w:rPr>
            </w:pPr>
          </w:p>
        </w:tc>
      </w:tr>
      <w:tr w:rsidR="00E0792D" w:rsidRPr="00373317" w14:paraId="1945C2C5" w14:textId="77777777" w:rsidTr="00E0792D">
        <w:trPr>
          <w:cantSplit/>
          <w:trHeight w:val="20"/>
          <w:jc w:val="center"/>
        </w:trPr>
        <w:tc>
          <w:tcPr>
            <w:tcW w:w="741" w:type="dxa"/>
            <w:vMerge/>
          </w:tcPr>
          <w:p w14:paraId="2125E621" w14:textId="77777777" w:rsidR="00E0792D" w:rsidRPr="00373317" w:rsidRDefault="00E0792D" w:rsidP="00E0792D">
            <w:pPr>
              <w:spacing w:line="240" w:lineRule="auto"/>
              <w:jc w:val="center"/>
              <w:rPr>
                <w:sz w:val="18"/>
                <w:szCs w:val="18"/>
                <w:lang w:val="fr-FR"/>
              </w:rPr>
            </w:pPr>
          </w:p>
        </w:tc>
        <w:tc>
          <w:tcPr>
            <w:tcW w:w="976" w:type="dxa"/>
          </w:tcPr>
          <w:p w14:paraId="45FA4A51" w14:textId="77777777" w:rsidR="00E0792D" w:rsidRPr="00373317" w:rsidRDefault="00E0792D" w:rsidP="00E0792D">
            <w:pPr>
              <w:spacing w:line="240" w:lineRule="auto"/>
              <w:jc w:val="center"/>
              <w:rPr>
                <w:sz w:val="18"/>
                <w:szCs w:val="18"/>
                <w:lang w:val="fr-FR"/>
              </w:rPr>
            </w:pPr>
            <w:r w:rsidRPr="00373317">
              <w:rPr>
                <w:sz w:val="18"/>
                <w:szCs w:val="18"/>
                <w:lang w:val="fr-FR"/>
              </w:rPr>
              <w:t>3402</w:t>
            </w:r>
          </w:p>
        </w:tc>
        <w:tc>
          <w:tcPr>
            <w:tcW w:w="5943" w:type="dxa"/>
          </w:tcPr>
          <w:p w14:paraId="2E01E676" w14:textId="77777777" w:rsidR="00E0792D" w:rsidRPr="00373317" w:rsidRDefault="00E0792D" w:rsidP="00E0792D">
            <w:pPr>
              <w:spacing w:line="240" w:lineRule="auto"/>
              <w:rPr>
                <w:sz w:val="18"/>
                <w:szCs w:val="18"/>
                <w:lang w:val="fr-FR"/>
              </w:rPr>
            </w:pPr>
            <w:r w:rsidRPr="00373317">
              <w:rPr>
                <w:sz w:val="18"/>
                <w:szCs w:val="18"/>
                <w:lang w:val="fr-FR"/>
              </w:rPr>
              <w:t>Amalgame de métaux alcalino-terreux, solide</w:t>
            </w:r>
          </w:p>
        </w:tc>
        <w:tc>
          <w:tcPr>
            <w:tcW w:w="1617" w:type="dxa"/>
            <w:vMerge/>
            <w:vAlign w:val="center"/>
          </w:tcPr>
          <w:p w14:paraId="19F2F8F6" w14:textId="77777777" w:rsidR="00E0792D" w:rsidRPr="00373317" w:rsidRDefault="00E0792D" w:rsidP="00E0792D">
            <w:pPr>
              <w:spacing w:line="240" w:lineRule="auto"/>
              <w:jc w:val="center"/>
              <w:rPr>
                <w:sz w:val="18"/>
                <w:szCs w:val="18"/>
                <w:lang w:val="fr-FR"/>
              </w:rPr>
            </w:pPr>
          </w:p>
        </w:tc>
      </w:tr>
      <w:tr w:rsidR="00E0792D" w:rsidRPr="00373317" w14:paraId="5FDE52AD" w14:textId="77777777" w:rsidTr="00E0792D">
        <w:trPr>
          <w:cantSplit/>
          <w:trHeight w:val="20"/>
          <w:jc w:val="center"/>
        </w:trPr>
        <w:tc>
          <w:tcPr>
            <w:tcW w:w="741" w:type="dxa"/>
            <w:vMerge/>
          </w:tcPr>
          <w:p w14:paraId="244DCB65" w14:textId="77777777" w:rsidR="00E0792D" w:rsidRPr="00373317" w:rsidRDefault="00E0792D" w:rsidP="00E0792D">
            <w:pPr>
              <w:spacing w:line="240" w:lineRule="auto"/>
              <w:jc w:val="center"/>
              <w:rPr>
                <w:sz w:val="18"/>
                <w:szCs w:val="18"/>
                <w:lang w:val="fr-FR"/>
              </w:rPr>
            </w:pPr>
          </w:p>
        </w:tc>
        <w:tc>
          <w:tcPr>
            <w:tcW w:w="976" w:type="dxa"/>
          </w:tcPr>
          <w:p w14:paraId="5780B4A3" w14:textId="77777777" w:rsidR="00E0792D" w:rsidRPr="00373317" w:rsidRDefault="00E0792D" w:rsidP="00E0792D">
            <w:pPr>
              <w:spacing w:line="240" w:lineRule="auto"/>
              <w:jc w:val="center"/>
              <w:rPr>
                <w:sz w:val="18"/>
                <w:szCs w:val="18"/>
                <w:lang w:val="fr-FR"/>
              </w:rPr>
            </w:pPr>
            <w:r w:rsidRPr="00373317">
              <w:rPr>
                <w:sz w:val="18"/>
                <w:szCs w:val="18"/>
                <w:lang w:val="fr-FR"/>
              </w:rPr>
              <w:t>3403</w:t>
            </w:r>
          </w:p>
        </w:tc>
        <w:tc>
          <w:tcPr>
            <w:tcW w:w="5943" w:type="dxa"/>
          </w:tcPr>
          <w:p w14:paraId="7F9EADF9" w14:textId="77777777" w:rsidR="00E0792D" w:rsidRPr="00373317" w:rsidRDefault="00E0792D" w:rsidP="00E0792D">
            <w:pPr>
              <w:spacing w:line="240" w:lineRule="auto"/>
              <w:rPr>
                <w:sz w:val="18"/>
                <w:szCs w:val="18"/>
                <w:lang w:val="fr-FR"/>
              </w:rPr>
            </w:pPr>
            <w:r w:rsidRPr="00373317">
              <w:rPr>
                <w:sz w:val="18"/>
                <w:szCs w:val="18"/>
                <w:lang w:val="fr-FR"/>
              </w:rPr>
              <w:t>Alliages métalliques de potassium, solides</w:t>
            </w:r>
          </w:p>
        </w:tc>
        <w:tc>
          <w:tcPr>
            <w:tcW w:w="1617" w:type="dxa"/>
            <w:vMerge/>
            <w:vAlign w:val="center"/>
          </w:tcPr>
          <w:p w14:paraId="058524B8" w14:textId="77777777" w:rsidR="00E0792D" w:rsidRPr="00373317" w:rsidRDefault="00E0792D" w:rsidP="00E0792D">
            <w:pPr>
              <w:spacing w:line="240" w:lineRule="auto"/>
              <w:jc w:val="center"/>
              <w:rPr>
                <w:sz w:val="18"/>
                <w:szCs w:val="18"/>
                <w:lang w:val="fr-FR"/>
              </w:rPr>
            </w:pPr>
          </w:p>
        </w:tc>
      </w:tr>
      <w:tr w:rsidR="00E0792D" w:rsidRPr="00373317" w14:paraId="33CD8C5A" w14:textId="77777777" w:rsidTr="00E0792D">
        <w:trPr>
          <w:cantSplit/>
          <w:trHeight w:val="20"/>
          <w:jc w:val="center"/>
        </w:trPr>
        <w:tc>
          <w:tcPr>
            <w:tcW w:w="741" w:type="dxa"/>
            <w:vMerge/>
          </w:tcPr>
          <w:p w14:paraId="6F169AA6" w14:textId="77777777" w:rsidR="00E0792D" w:rsidRPr="00373317" w:rsidRDefault="00E0792D" w:rsidP="00E0792D">
            <w:pPr>
              <w:spacing w:line="240" w:lineRule="auto"/>
              <w:jc w:val="center"/>
              <w:rPr>
                <w:sz w:val="18"/>
                <w:szCs w:val="18"/>
                <w:lang w:val="fr-FR"/>
              </w:rPr>
            </w:pPr>
          </w:p>
        </w:tc>
        <w:tc>
          <w:tcPr>
            <w:tcW w:w="976" w:type="dxa"/>
          </w:tcPr>
          <w:p w14:paraId="5137D069" w14:textId="77777777" w:rsidR="00E0792D" w:rsidRPr="00373317" w:rsidRDefault="00E0792D" w:rsidP="00E0792D">
            <w:pPr>
              <w:spacing w:line="240" w:lineRule="auto"/>
              <w:jc w:val="center"/>
              <w:rPr>
                <w:sz w:val="18"/>
                <w:szCs w:val="18"/>
                <w:lang w:val="fr-FR"/>
              </w:rPr>
            </w:pPr>
            <w:r w:rsidRPr="00373317">
              <w:rPr>
                <w:sz w:val="18"/>
                <w:szCs w:val="18"/>
                <w:lang w:val="fr-FR"/>
              </w:rPr>
              <w:t>3404</w:t>
            </w:r>
          </w:p>
        </w:tc>
        <w:tc>
          <w:tcPr>
            <w:tcW w:w="5943" w:type="dxa"/>
          </w:tcPr>
          <w:p w14:paraId="65431A98" w14:textId="77777777" w:rsidR="00E0792D" w:rsidRPr="00373317" w:rsidRDefault="00E0792D" w:rsidP="00E0792D">
            <w:pPr>
              <w:spacing w:line="240" w:lineRule="auto"/>
              <w:rPr>
                <w:sz w:val="18"/>
                <w:szCs w:val="18"/>
                <w:lang w:val="fr-FR"/>
              </w:rPr>
            </w:pPr>
            <w:r w:rsidRPr="00373317">
              <w:rPr>
                <w:sz w:val="18"/>
                <w:szCs w:val="18"/>
                <w:lang w:val="fr-FR"/>
              </w:rPr>
              <w:t>Alliages de potassium et sodium, solides</w:t>
            </w:r>
          </w:p>
        </w:tc>
        <w:tc>
          <w:tcPr>
            <w:tcW w:w="1617" w:type="dxa"/>
            <w:vMerge/>
            <w:vAlign w:val="center"/>
          </w:tcPr>
          <w:p w14:paraId="5A6019E0" w14:textId="77777777" w:rsidR="00E0792D" w:rsidRPr="00373317" w:rsidRDefault="00E0792D" w:rsidP="00E0792D">
            <w:pPr>
              <w:spacing w:line="240" w:lineRule="auto"/>
              <w:jc w:val="center"/>
              <w:rPr>
                <w:sz w:val="18"/>
                <w:szCs w:val="18"/>
                <w:lang w:val="fr-FR"/>
              </w:rPr>
            </w:pPr>
          </w:p>
        </w:tc>
      </w:tr>
      <w:tr w:rsidR="00E0792D" w:rsidRPr="00373317" w14:paraId="1822CCA9" w14:textId="77777777" w:rsidTr="00E0792D">
        <w:trPr>
          <w:cantSplit/>
          <w:trHeight w:val="20"/>
          <w:jc w:val="center"/>
        </w:trPr>
        <w:tc>
          <w:tcPr>
            <w:tcW w:w="741" w:type="dxa"/>
            <w:vMerge/>
          </w:tcPr>
          <w:p w14:paraId="6F8E3AB3" w14:textId="77777777" w:rsidR="00E0792D" w:rsidRPr="00373317" w:rsidRDefault="00E0792D" w:rsidP="00E0792D">
            <w:pPr>
              <w:spacing w:line="240" w:lineRule="auto"/>
              <w:jc w:val="center"/>
              <w:rPr>
                <w:sz w:val="18"/>
                <w:szCs w:val="18"/>
                <w:lang w:val="fr-FR"/>
              </w:rPr>
            </w:pPr>
          </w:p>
        </w:tc>
        <w:tc>
          <w:tcPr>
            <w:tcW w:w="976" w:type="dxa"/>
          </w:tcPr>
          <w:p w14:paraId="3E6ED558" w14:textId="77777777" w:rsidR="00E0792D" w:rsidRPr="00373317" w:rsidRDefault="00E0792D" w:rsidP="00E0792D">
            <w:pPr>
              <w:spacing w:line="240" w:lineRule="auto"/>
              <w:jc w:val="center"/>
              <w:rPr>
                <w:sz w:val="18"/>
                <w:szCs w:val="18"/>
                <w:lang w:val="fr-FR"/>
              </w:rPr>
            </w:pPr>
            <w:r w:rsidRPr="00373317">
              <w:rPr>
                <w:sz w:val="18"/>
                <w:szCs w:val="18"/>
                <w:lang w:val="fr-FR"/>
              </w:rPr>
              <w:t>3482</w:t>
            </w:r>
          </w:p>
        </w:tc>
        <w:tc>
          <w:tcPr>
            <w:tcW w:w="5943" w:type="dxa"/>
          </w:tcPr>
          <w:p w14:paraId="3CFB7599" w14:textId="77777777" w:rsidR="00E0792D" w:rsidRPr="00373317" w:rsidRDefault="00E0792D" w:rsidP="00E0792D">
            <w:pPr>
              <w:spacing w:line="240" w:lineRule="auto"/>
              <w:rPr>
                <w:sz w:val="18"/>
                <w:szCs w:val="18"/>
                <w:lang w:val="fr-FR"/>
              </w:rPr>
            </w:pPr>
            <w:r w:rsidRPr="00373317">
              <w:rPr>
                <w:sz w:val="18"/>
                <w:szCs w:val="18"/>
                <w:lang w:val="fr-FR"/>
              </w:rPr>
              <w:t>Dispersion de métaux alcalins, inflammable ou Dispersion de métaux alcalino-terreux, inflammable</w:t>
            </w:r>
          </w:p>
        </w:tc>
        <w:tc>
          <w:tcPr>
            <w:tcW w:w="1617" w:type="dxa"/>
            <w:vMerge/>
            <w:vAlign w:val="center"/>
          </w:tcPr>
          <w:p w14:paraId="15DB4640" w14:textId="77777777" w:rsidR="00E0792D" w:rsidRPr="00373317" w:rsidRDefault="00E0792D" w:rsidP="00E0792D">
            <w:pPr>
              <w:spacing w:line="240" w:lineRule="auto"/>
              <w:jc w:val="center"/>
              <w:rPr>
                <w:sz w:val="18"/>
                <w:szCs w:val="18"/>
                <w:lang w:val="fr-FR"/>
              </w:rPr>
            </w:pPr>
          </w:p>
        </w:tc>
      </w:tr>
      <w:tr w:rsidR="00E0792D" w:rsidRPr="00373317" w14:paraId="0E2D9912" w14:textId="77777777" w:rsidTr="00E0792D">
        <w:trPr>
          <w:cantSplit/>
          <w:trHeight w:val="20"/>
          <w:jc w:val="center"/>
        </w:trPr>
        <w:tc>
          <w:tcPr>
            <w:tcW w:w="741" w:type="dxa"/>
            <w:vMerge/>
          </w:tcPr>
          <w:p w14:paraId="2E0CAF47" w14:textId="77777777" w:rsidR="00E0792D" w:rsidRPr="00373317" w:rsidRDefault="00E0792D" w:rsidP="00E0792D">
            <w:pPr>
              <w:spacing w:line="240" w:lineRule="auto"/>
              <w:jc w:val="center"/>
              <w:rPr>
                <w:sz w:val="18"/>
                <w:szCs w:val="18"/>
                <w:lang w:val="fr-FR"/>
              </w:rPr>
            </w:pPr>
          </w:p>
        </w:tc>
        <w:tc>
          <w:tcPr>
            <w:tcW w:w="976" w:type="dxa"/>
          </w:tcPr>
          <w:p w14:paraId="37AD089E" w14:textId="77777777" w:rsidR="00E0792D" w:rsidRPr="00373317" w:rsidRDefault="00E0792D" w:rsidP="00E0792D">
            <w:pPr>
              <w:spacing w:line="240" w:lineRule="auto"/>
              <w:jc w:val="center"/>
              <w:rPr>
                <w:sz w:val="18"/>
                <w:szCs w:val="18"/>
                <w:lang w:val="fr-FR"/>
              </w:rPr>
            </w:pPr>
            <w:r w:rsidRPr="00373317">
              <w:rPr>
                <w:sz w:val="18"/>
                <w:szCs w:val="18"/>
                <w:lang w:val="fr-FR"/>
              </w:rPr>
              <w:t>1407</w:t>
            </w:r>
          </w:p>
        </w:tc>
        <w:tc>
          <w:tcPr>
            <w:tcW w:w="5943" w:type="dxa"/>
          </w:tcPr>
          <w:p w14:paraId="0430565E" w14:textId="77777777" w:rsidR="00E0792D" w:rsidRPr="00373317" w:rsidRDefault="00E0792D" w:rsidP="00E0792D">
            <w:pPr>
              <w:spacing w:line="240" w:lineRule="auto"/>
              <w:rPr>
                <w:sz w:val="18"/>
                <w:szCs w:val="18"/>
                <w:lang w:val="fr-FR"/>
              </w:rPr>
            </w:pPr>
            <w:r w:rsidRPr="00373317">
              <w:rPr>
                <w:sz w:val="18"/>
                <w:szCs w:val="18"/>
                <w:lang w:val="fr-FR"/>
              </w:rPr>
              <w:t>Césium</w:t>
            </w:r>
          </w:p>
        </w:tc>
        <w:tc>
          <w:tcPr>
            <w:tcW w:w="1617" w:type="dxa"/>
            <w:vMerge w:val="restart"/>
            <w:vAlign w:val="center"/>
          </w:tcPr>
          <w:p w14:paraId="4D6DF3C5" w14:textId="77777777" w:rsidR="00E0792D" w:rsidRPr="00373317" w:rsidRDefault="00E0792D" w:rsidP="00E0792D">
            <w:pPr>
              <w:spacing w:line="240" w:lineRule="auto"/>
              <w:jc w:val="center"/>
              <w:rPr>
                <w:sz w:val="18"/>
                <w:szCs w:val="18"/>
                <w:lang w:val="fr-FR"/>
              </w:rPr>
            </w:pPr>
            <w:r w:rsidRPr="00373317">
              <w:rPr>
                <w:sz w:val="18"/>
                <w:szCs w:val="18"/>
                <w:lang w:val="fr-FR"/>
              </w:rPr>
              <w:t>L10CH</w:t>
            </w:r>
          </w:p>
        </w:tc>
      </w:tr>
      <w:tr w:rsidR="00E0792D" w:rsidRPr="00373317" w14:paraId="2F68DDF1" w14:textId="77777777" w:rsidTr="00E0792D">
        <w:trPr>
          <w:cantSplit/>
          <w:trHeight w:val="20"/>
          <w:jc w:val="center"/>
        </w:trPr>
        <w:tc>
          <w:tcPr>
            <w:tcW w:w="741" w:type="dxa"/>
            <w:vMerge/>
          </w:tcPr>
          <w:p w14:paraId="06560C7A" w14:textId="77777777" w:rsidR="00E0792D" w:rsidRPr="00373317" w:rsidRDefault="00E0792D" w:rsidP="00E0792D">
            <w:pPr>
              <w:spacing w:line="240" w:lineRule="auto"/>
              <w:jc w:val="center"/>
              <w:rPr>
                <w:sz w:val="18"/>
                <w:szCs w:val="18"/>
                <w:lang w:val="fr-FR"/>
              </w:rPr>
            </w:pPr>
          </w:p>
        </w:tc>
        <w:tc>
          <w:tcPr>
            <w:tcW w:w="976" w:type="dxa"/>
          </w:tcPr>
          <w:p w14:paraId="2E295BFE" w14:textId="77777777" w:rsidR="00E0792D" w:rsidRPr="00373317" w:rsidRDefault="00E0792D" w:rsidP="00E0792D">
            <w:pPr>
              <w:spacing w:line="240" w:lineRule="auto"/>
              <w:jc w:val="center"/>
              <w:rPr>
                <w:sz w:val="18"/>
                <w:szCs w:val="18"/>
                <w:lang w:val="fr-FR"/>
              </w:rPr>
            </w:pPr>
            <w:r w:rsidRPr="00373317">
              <w:rPr>
                <w:sz w:val="18"/>
                <w:szCs w:val="18"/>
                <w:lang w:val="fr-FR"/>
              </w:rPr>
              <w:t>1423</w:t>
            </w:r>
          </w:p>
        </w:tc>
        <w:tc>
          <w:tcPr>
            <w:tcW w:w="5943" w:type="dxa"/>
          </w:tcPr>
          <w:p w14:paraId="03BAF78B" w14:textId="77777777" w:rsidR="00E0792D" w:rsidRPr="00373317" w:rsidRDefault="00E0792D" w:rsidP="00E0792D">
            <w:pPr>
              <w:spacing w:line="240" w:lineRule="auto"/>
              <w:rPr>
                <w:sz w:val="18"/>
                <w:szCs w:val="18"/>
                <w:lang w:val="fr-FR"/>
              </w:rPr>
            </w:pPr>
            <w:r w:rsidRPr="00373317">
              <w:rPr>
                <w:sz w:val="18"/>
                <w:szCs w:val="18"/>
                <w:lang w:val="fr-FR"/>
              </w:rPr>
              <w:t>Rubidium</w:t>
            </w:r>
          </w:p>
        </w:tc>
        <w:tc>
          <w:tcPr>
            <w:tcW w:w="1617" w:type="dxa"/>
            <w:vMerge/>
            <w:vAlign w:val="center"/>
          </w:tcPr>
          <w:p w14:paraId="36B741EC" w14:textId="77777777" w:rsidR="00E0792D" w:rsidRPr="00373317" w:rsidRDefault="00E0792D" w:rsidP="00E0792D">
            <w:pPr>
              <w:spacing w:line="240" w:lineRule="auto"/>
              <w:jc w:val="center"/>
              <w:rPr>
                <w:sz w:val="18"/>
                <w:szCs w:val="18"/>
                <w:lang w:val="fr-FR"/>
              </w:rPr>
            </w:pPr>
          </w:p>
        </w:tc>
      </w:tr>
      <w:tr w:rsidR="00E0792D" w:rsidRPr="00373317" w14:paraId="665D6066" w14:textId="77777777" w:rsidTr="00E0792D">
        <w:trPr>
          <w:cantSplit/>
          <w:trHeight w:val="20"/>
          <w:jc w:val="center"/>
        </w:trPr>
        <w:tc>
          <w:tcPr>
            <w:tcW w:w="741" w:type="dxa"/>
            <w:vMerge/>
          </w:tcPr>
          <w:p w14:paraId="65172CE8" w14:textId="77777777" w:rsidR="00E0792D" w:rsidRPr="00373317" w:rsidRDefault="00E0792D" w:rsidP="00E0792D">
            <w:pPr>
              <w:spacing w:line="240" w:lineRule="auto"/>
              <w:jc w:val="center"/>
              <w:rPr>
                <w:sz w:val="18"/>
                <w:szCs w:val="18"/>
                <w:lang w:val="fr-FR"/>
              </w:rPr>
            </w:pPr>
          </w:p>
        </w:tc>
        <w:tc>
          <w:tcPr>
            <w:tcW w:w="976" w:type="dxa"/>
          </w:tcPr>
          <w:p w14:paraId="4522AFA0" w14:textId="77777777" w:rsidR="00E0792D" w:rsidRPr="00373317" w:rsidRDefault="00E0792D" w:rsidP="00E0792D">
            <w:pPr>
              <w:spacing w:line="240" w:lineRule="auto"/>
              <w:jc w:val="center"/>
              <w:rPr>
                <w:sz w:val="18"/>
                <w:szCs w:val="18"/>
                <w:lang w:val="fr-FR"/>
              </w:rPr>
            </w:pPr>
            <w:r w:rsidRPr="00373317">
              <w:rPr>
                <w:sz w:val="18"/>
                <w:szCs w:val="18"/>
                <w:lang w:val="fr-FR"/>
              </w:rPr>
              <w:t>1402</w:t>
            </w:r>
          </w:p>
        </w:tc>
        <w:tc>
          <w:tcPr>
            <w:tcW w:w="5943" w:type="dxa"/>
          </w:tcPr>
          <w:p w14:paraId="5EB863D1" w14:textId="77777777" w:rsidR="00E0792D" w:rsidRPr="00373317" w:rsidRDefault="00E0792D" w:rsidP="00E0792D">
            <w:pPr>
              <w:spacing w:line="240" w:lineRule="auto"/>
              <w:rPr>
                <w:sz w:val="18"/>
                <w:szCs w:val="18"/>
                <w:lang w:val="fr-FR"/>
              </w:rPr>
            </w:pPr>
            <w:r w:rsidRPr="00373317">
              <w:rPr>
                <w:sz w:val="18"/>
                <w:szCs w:val="18"/>
                <w:lang w:val="fr-FR"/>
              </w:rPr>
              <w:t>Carbure de calcium, groupe d'emballage I</w:t>
            </w:r>
          </w:p>
        </w:tc>
        <w:tc>
          <w:tcPr>
            <w:tcW w:w="1617" w:type="dxa"/>
            <w:vAlign w:val="center"/>
          </w:tcPr>
          <w:p w14:paraId="62DA28D5" w14:textId="2940F0D0" w:rsidR="00E0792D" w:rsidRPr="00373317" w:rsidRDefault="00E0792D" w:rsidP="00E0792D">
            <w:pPr>
              <w:spacing w:line="240" w:lineRule="auto"/>
              <w:jc w:val="center"/>
              <w:rPr>
                <w:sz w:val="18"/>
                <w:szCs w:val="18"/>
                <w:lang w:val="fr-FR"/>
              </w:rPr>
            </w:pPr>
            <w:r w:rsidRPr="00373317">
              <w:rPr>
                <w:sz w:val="18"/>
                <w:szCs w:val="18"/>
                <w:lang w:val="fr-FR"/>
              </w:rPr>
              <w:t>S2,65AN</w:t>
            </w:r>
          </w:p>
        </w:tc>
      </w:tr>
      <w:tr w:rsidR="00E0792D" w:rsidRPr="00373317" w14:paraId="40C479E6" w14:textId="77777777" w:rsidTr="00E0792D">
        <w:trPr>
          <w:cantSplit/>
          <w:trHeight w:val="20"/>
          <w:jc w:val="center"/>
        </w:trPr>
        <w:tc>
          <w:tcPr>
            <w:tcW w:w="741" w:type="dxa"/>
            <w:vMerge w:val="restart"/>
          </w:tcPr>
          <w:p w14:paraId="27480DE9" w14:textId="77777777" w:rsidR="00E0792D" w:rsidRPr="00373317" w:rsidRDefault="00E0792D" w:rsidP="00E0792D">
            <w:pPr>
              <w:spacing w:line="240" w:lineRule="auto"/>
              <w:jc w:val="center"/>
              <w:rPr>
                <w:sz w:val="18"/>
                <w:szCs w:val="18"/>
                <w:lang w:val="fr-FR"/>
              </w:rPr>
            </w:pPr>
            <w:r w:rsidRPr="00373317">
              <w:rPr>
                <w:sz w:val="18"/>
                <w:szCs w:val="18"/>
                <w:lang w:val="fr-FR"/>
              </w:rPr>
              <w:t>5.1</w:t>
            </w:r>
          </w:p>
        </w:tc>
        <w:tc>
          <w:tcPr>
            <w:tcW w:w="976" w:type="dxa"/>
          </w:tcPr>
          <w:p w14:paraId="124A69DB" w14:textId="77777777" w:rsidR="00E0792D" w:rsidRPr="00373317" w:rsidRDefault="00E0792D" w:rsidP="00E0792D">
            <w:pPr>
              <w:spacing w:line="240" w:lineRule="auto"/>
              <w:jc w:val="center"/>
              <w:rPr>
                <w:sz w:val="18"/>
                <w:szCs w:val="18"/>
                <w:lang w:val="fr-FR"/>
              </w:rPr>
            </w:pPr>
            <w:r w:rsidRPr="00373317">
              <w:rPr>
                <w:sz w:val="18"/>
                <w:szCs w:val="18"/>
                <w:lang w:val="fr-FR"/>
              </w:rPr>
              <w:t>1873</w:t>
            </w:r>
          </w:p>
        </w:tc>
        <w:tc>
          <w:tcPr>
            <w:tcW w:w="5943" w:type="dxa"/>
          </w:tcPr>
          <w:p w14:paraId="4BCBB19A" w14:textId="77777777" w:rsidR="00E0792D" w:rsidRPr="00373317" w:rsidRDefault="00E0792D" w:rsidP="00E0792D">
            <w:pPr>
              <w:spacing w:line="240" w:lineRule="auto"/>
              <w:rPr>
                <w:sz w:val="18"/>
                <w:szCs w:val="18"/>
                <w:lang w:val="fr-FR"/>
              </w:rPr>
            </w:pPr>
            <w:r w:rsidRPr="00373317">
              <w:rPr>
                <w:sz w:val="18"/>
                <w:szCs w:val="18"/>
                <w:lang w:val="fr-FR"/>
              </w:rPr>
              <w:t>Acide perchlorique contenant plus de 50% (masse) mais au maximum 72% (masse) d'acide</w:t>
            </w:r>
          </w:p>
        </w:tc>
        <w:tc>
          <w:tcPr>
            <w:tcW w:w="1617" w:type="dxa"/>
            <w:vAlign w:val="center"/>
          </w:tcPr>
          <w:p w14:paraId="60693FE1" w14:textId="77777777" w:rsidR="00E0792D" w:rsidRPr="00373317" w:rsidRDefault="00E0792D" w:rsidP="00E0792D">
            <w:pPr>
              <w:spacing w:line="240" w:lineRule="auto"/>
              <w:jc w:val="center"/>
              <w:rPr>
                <w:sz w:val="18"/>
                <w:szCs w:val="18"/>
                <w:lang w:val="fr-FR"/>
              </w:rPr>
            </w:pPr>
            <w:r w:rsidRPr="00373317">
              <w:rPr>
                <w:sz w:val="18"/>
                <w:szCs w:val="18"/>
                <w:lang w:val="fr-FR"/>
              </w:rPr>
              <w:t>L4DN</w:t>
            </w:r>
          </w:p>
        </w:tc>
      </w:tr>
      <w:tr w:rsidR="00E0792D" w:rsidRPr="00373317" w14:paraId="7DCD2060" w14:textId="77777777" w:rsidTr="00E0792D">
        <w:trPr>
          <w:cantSplit/>
          <w:trHeight w:val="20"/>
          <w:jc w:val="center"/>
        </w:trPr>
        <w:tc>
          <w:tcPr>
            <w:tcW w:w="741" w:type="dxa"/>
            <w:vMerge/>
          </w:tcPr>
          <w:p w14:paraId="4C853A41" w14:textId="77777777" w:rsidR="00E0792D" w:rsidRPr="00373317" w:rsidRDefault="00E0792D" w:rsidP="00E0792D">
            <w:pPr>
              <w:spacing w:line="240" w:lineRule="auto"/>
              <w:jc w:val="center"/>
              <w:rPr>
                <w:sz w:val="18"/>
                <w:szCs w:val="18"/>
                <w:lang w:val="fr-FR"/>
              </w:rPr>
            </w:pPr>
          </w:p>
        </w:tc>
        <w:tc>
          <w:tcPr>
            <w:tcW w:w="976" w:type="dxa"/>
          </w:tcPr>
          <w:p w14:paraId="2E18B751" w14:textId="77777777" w:rsidR="00E0792D" w:rsidRPr="00373317" w:rsidRDefault="00E0792D" w:rsidP="00E0792D">
            <w:pPr>
              <w:spacing w:line="240" w:lineRule="auto"/>
              <w:jc w:val="center"/>
              <w:rPr>
                <w:sz w:val="18"/>
                <w:szCs w:val="18"/>
                <w:lang w:val="fr-FR"/>
              </w:rPr>
            </w:pPr>
            <w:r w:rsidRPr="00373317">
              <w:rPr>
                <w:sz w:val="18"/>
                <w:szCs w:val="18"/>
                <w:lang w:val="fr-FR"/>
              </w:rPr>
              <w:t>2015</w:t>
            </w:r>
          </w:p>
        </w:tc>
        <w:tc>
          <w:tcPr>
            <w:tcW w:w="5943" w:type="dxa"/>
          </w:tcPr>
          <w:p w14:paraId="053D60E4" w14:textId="77777777" w:rsidR="00E0792D" w:rsidRPr="00373317" w:rsidRDefault="00E0792D" w:rsidP="00E0792D">
            <w:pPr>
              <w:spacing w:line="240" w:lineRule="auto"/>
              <w:rPr>
                <w:sz w:val="18"/>
                <w:szCs w:val="18"/>
                <w:lang w:val="fr-FR"/>
              </w:rPr>
            </w:pPr>
            <w:r w:rsidRPr="00373317">
              <w:rPr>
                <w:sz w:val="18"/>
                <w:szCs w:val="18"/>
                <w:lang w:val="fr-FR"/>
              </w:rPr>
              <w:t>Peroxyde d'hydrogène en solution aqueuse stabilisée contenant plus de 70% de peroxyde d'hydrogène</w:t>
            </w:r>
          </w:p>
        </w:tc>
        <w:tc>
          <w:tcPr>
            <w:tcW w:w="1617" w:type="dxa"/>
            <w:vAlign w:val="center"/>
          </w:tcPr>
          <w:p w14:paraId="1EBAC2BA" w14:textId="77777777" w:rsidR="00E0792D" w:rsidRPr="00373317" w:rsidRDefault="00E0792D" w:rsidP="00E0792D">
            <w:pPr>
              <w:spacing w:line="240" w:lineRule="auto"/>
              <w:jc w:val="center"/>
              <w:rPr>
                <w:sz w:val="18"/>
                <w:szCs w:val="18"/>
                <w:lang w:val="fr-FR"/>
              </w:rPr>
            </w:pPr>
            <w:r w:rsidRPr="00373317">
              <w:rPr>
                <w:sz w:val="18"/>
                <w:szCs w:val="18"/>
                <w:lang w:val="fr-FR"/>
              </w:rPr>
              <w:t>L4DV</w:t>
            </w:r>
          </w:p>
        </w:tc>
      </w:tr>
      <w:tr w:rsidR="00E0792D" w:rsidRPr="00373317" w14:paraId="4AFD46FA" w14:textId="77777777" w:rsidTr="00E0792D">
        <w:trPr>
          <w:cantSplit/>
          <w:trHeight w:val="20"/>
          <w:jc w:val="center"/>
        </w:trPr>
        <w:tc>
          <w:tcPr>
            <w:tcW w:w="741" w:type="dxa"/>
            <w:vMerge/>
          </w:tcPr>
          <w:p w14:paraId="415FF5AA" w14:textId="77777777" w:rsidR="00E0792D" w:rsidRPr="00373317" w:rsidRDefault="00E0792D" w:rsidP="00E0792D">
            <w:pPr>
              <w:spacing w:line="240" w:lineRule="auto"/>
              <w:jc w:val="center"/>
              <w:rPr>
                <w:sz w:val="18"/>
                <w:szCs w:val="18"/>
                <w:lang w:val="fr-FR"/>
              </w:rPr>
            </w:pPr>
          </w:p>
        </w:tc>
        <w:tc>
          <w:tcPr>
            <w:tcW w:w="976" w:type="dxa"/>
          </w:tcPr>
          <w:p w14:paraId="19605F17" w14:textId="77777777" w:rsidR="00E0792D" w:rsidRPr="00373317" w:rsidRDefault="00E0792D" w:rsidP="00E0792D">
            <w:pPr>
              <w:spacing w:line="240" w:lineRule="auto"/>
              <w:jc w:val="center"/>
              <w:rPr>
                <w:sz w:val="18"/>
                <w:szCs w:val="18"/>
                <w:lang w:val="fr-FR"/>
              </w:rPr>
            </w:pPr>
            <w:r w:rsidRPr="00373317">
              <w:rPr>
                <w:sz w:val="18"/>
                <w:szCs w:val="18"/>
                <w:lang w:val="fr-FR"/>
              </w:rPr>
              <w:t>2014</w:t>
            </w:r>
          </w:p>
        </w:tc>
        <w:tc>
          <w:tcPr>
            <w:tcW w:w="5943" w:type="dxa"/>
          </w:tcPr>
          <w:p w14:paraId="212CB127" w14:textId="77777777" w:rsidR="00E0792D" w:rsidRPr="00373317" w:rsidRDefault="00E0792D" w:rsidP="00E0792D">
            <w:pPr>
              <w:spacing w:line="240" w:lineRule="auto"/>
              <w:rPr>
                <w:sz w:val="18"/>
                <w:szCs w:val="18"/>
                <w:lang w:val="fr-FR"/>
              </w:rPr>
            </w:pPr>
            <w:r w:rsidRPr="00373317">
              <w:rPr>
                <w:sz w:val="18"/>
                <w:szCs w:val="18"/>
                <w:lang w:val="fr-FR"/>
              </w:rPr>
              <w:t>Peroxyde d'hydrogène en solution aqueuse contenant au moins 20% mais au maximum 60% de peroxyde d'hydrogène</w:t>
            </w:r>
          </w:p>
        </w:tc>
        <w:tc>
          <w:tcPr>
            <w:tcW w:w="1617" w:type="dxa"/>
            <w:vMerge w:val="restart"/>
            <w:vAlign w:val="center"/>
          </w:tcPr>
          <w:p w14:paraId="4A94D6B2" w14:textId="77777777" w:rsidR="00E0792D" w:rsidRPr="00373317" w:rsidRDefault="00E0792D" w:rsidP="00E0792D">
            <w:pPr>
              <w:spacing w:line="240" w:lineRule="auto"/>
              <w:jc w:val="center"/>
              <w:rPr>
                <w:sz w:val="18"/>
                <w:szCs w:val="18"/>
                <w:highlight w:val="green"/>
                <w:lang w:val="fr-FR"/>
              </w:rPr>
            </w:pPr>
            <w:r w:rsidRPr="00373317">
              <w:rPr>
                <w:sz w:val="18"/>
                <w:szCs w:val="18"/>
                <w:lang w:val="fr-FR"/>
              </w:rPr>
              <w:t>L4BV</w:t>
            </w:r>
          </w:p>
        </w:tc>
      </w:tr>
      <w:tr w:rsidR="00E0792D" w:rsidRPr="00373317" w14:paraId="4A8C9020" w14:textId="77777777" w:rsidTr="00E0792D">
        <w:trPr>
          <w:cantSplit/>
          <w:trHeight w:val="20"/>
          <w:jc w:val="center"/>
        </w:trPr>
        <w:tc>
          <w:tcPr>
            <w:tcW w:w="741" w:type="dxa"/>
            <w:vMerge/>
          </w:tcPr>
          <w:p w14:paraId="7198B644" w14:textId="77777777" w:rsidR="00E0792D" w:rsidRPr="00373317" w:rsidRDefault="00E0792D" w:rsidP="00E0792D">
            <w:pPr>
              <w:spacing w:line="240" w:lineRule="auto"/>
              <w:jc w:val="center"/>
              <w:rPr>
                <w:sz w:val="18"/>
                <w:szCs w:val="18"/>
                <w:lang w:val="fr-FR"/>
              </w:rPr>
            </w:pPr>
          </w:p>
        </w:tc>
        <w:tc>
          <w:tcPr>
            <w:tcW w:w="976" w:type="dxa"/>
          </w:tcPr>
          <w:p w14:paraId="0A95398E" w14:textId="77777777" w:rsidR="00E0792D" w:rsidRPr="00373317" w:rsidRDefault="00E0792D" w:rsidP="00E0792D">
            <w:pPr>
              <w:spacing w:line="240" w:lineRule="auto"/>
              <w:jc w:val="center"/>
              <w:rPr>
                <w:sz w:val="18"/>
                <w:szCs w:val="18"/>
                <w:lang w:val="fr-FR"/>
              </w:rPr>
            </w:pPr>
            <w:r w:rsidRPr="00373317">
              <w:rPr>
                <w:sz w:val="18"/>
                <w:szCs w:val="18"/>
                <w:lang w:val="fr-FR"/>
              </w:rPr>
              <w:t>2015</w:t>
            </w:r>
          </w:p>
        </w:tc>
        <w:tc>
          <w:tcPr>
            <w:tcW w:w="5943" w:type="dxa"/>
          </w:tcPr>
          <w:p w14:paraId="19CDB0F7" w14:textId="77777777" w:rsidR="00E0792D" w:rsidRPr="00373317" w:rsidRDefault="00E0792D" w:rsidP="00E0792D">
            <w:pPr>
              <w:spacing w:line="240" w:lineRule="auto"/>
              <w:rPr>
                <w:sz w:val="18"/>
                <w:szCs w:val="18"/>
                <w:lang w:val="fr-FR"/>
              </w:rPr>
            </w:pPr>
            <w:r w:rsidRPr="00373317">
              <w:rPr>
                <w:sz w:val="18"/>
                <w:szCs w:val="18"/>
                <w:lang w:val="fr-FR"/>
              </w:rPr>
              <w:t>Peroxyde d'hydrogène en solution aqueuse stabilisée contenant plus de 60% de peroxyde d'hydrogène mais au maximum 70% de peroxyde d'hydrogène</w:t>
            </w:r>
          </w:p>
        </w:tc>
        <w:tc>
          <w:tcPr>
            <w:tcW w:w="1617" w:type="dxa"/>
            <w:vMerge/>
            <w:vAlign w:val="center"/>
          </w:tcPr>
          <w:p w14:paraId="030AA5F0" w14:textId="77777777" w:rsidR="00E0792D" w:rsidRPr="00373317" w:rsidRDefault="00E0792D" w:rsidP="00E0792D">
            <w:pPr>
              <w:spacing w:line="240" w:lineRule="auto"/>
              <w:jc w:val="center"/>
              <w:rPr>
                <w:sz w:val="18"/>
                <w:szCs w:val="18"/>
                <w:lang w:val="fr-FR"/>
              </w:rPr>
            </w:pPr>
          </w:p>
        </w:tc>
      </w:tr>
      <w:tr w:rsidR="00E0792D" w:rsidRPr="00373317" w14:paraId="0264D80D" w14:textId="77777777" w:rsidTr="00E0792D">
        <w:trPr>
          <w:cantSplit/>
          <w:trHeight w:val="20"/>
          <w:jc w:val="center"/>
        </w:trPr>
        <w:tc>
          <w:tcPr>
            <w:tcW w:w="741" w:type="dxa"/>
            <w:vMerge/>
          </w:tcPr>
          <w:p w14:paraId="0D81EE5A" w14:textId="77777777" w:rsidR="00E0792D" w:rsidRPr="00373317" w:rsidRDefault="00E0792D" w:rsidP="00E0792D">
            <w:pPr>
              <w:spacing w:line="240" w:lineRule="auto"/>
              <w:jc w:val="center"/>
              <w:rPr>
                <w:sz w:val="18"/>
                <w:szCs w:val="18"/>
                <w:lang w:val="fr-FR"/>
              </w:rPr>
            </w:pPr>
          </w:p>
        </w:tc>
        <w:tc>
          <w:tcPr>
            <w:tcW w:w="976" w:type="dxa"/>
          </w:tcPr>
          <w:p w14:paraId="4CA1AB31" w14:textId="77777777" w:rsidR="00E0792D" w:rsidRPr="00373317" w:rsidRDefault="00E0792D" w:rsidP="00E0792D">
            <w:pPr>
              <w:spacing w:line="240" w:lineRule="auto"/>
              <w:jc w:val="center"/>
              <w:rPr>
                <w:sz w:val="18"/>
                <w:szCs w:val="18"/>
                <w:lang w:val="fr-FR"/>
              </w:rPr>
            </w:pPr>
            <w:r w:rsidRPr="00373317">
              <w:rPr>
                <w:sz w:val="18"/>
                <w:szCs w:val="18"/>
                <w:lang w:val="fr-FR"/>
              </w:rPr>
              <w:t>2426</w:t>
            </w:r>
          </w:p>
        </w:tc>
        <w:tc>
          <w:tcPr>
            <w:tcW w:w="5943" w:type="dxa"/>
          </w:tcPr>
          <w:p w14:paraId="71314EFD" w14:textId="77777777" w:rsidR="00E0792D" w:rsidRPr="00373317" w:rsidRDefault="00E0792D" w:rsidP="00E0792D">
            <w:pPr>
              <w:spacing w:line="240" w:lineRule="auto"/>
              <w:rPr>
                <w:sz w:val="18"/>
                <w:szCs w:val="18"/>
                <w:lang w:val="fr-FR"/>
              </w:rPr>
            </w:pPr>
            <w:r w:rsidRPr="00373317">
              <w:rPr>
                <w:sz w:val="18"/>
                <w:szCs w:val="18"/>
                <w:lang w:val="fr-FR"/>
              </w:rPr>
              <w:t>Nitrate d'ammonium liquide solution chaude concentrée à plus de 80%, mais à 93% au maximum</w:t>
            </w:r>
          </w:p>
        </w:tc>
        <w:tc>
          <w:tcPr>
            <w:tcW w:w="1617" w:type="dxa"/>
            <w:vMerge/>
            <w:vAlign w:val="center"/>
          </w:tcPr>
          <w:p w14:paraId="0BB03819" w14:textId="77777777" w:rsidR="00E0792D" w:rsidRPr="00373317" w:rsidRDefault="00E0792D" w:rsidP="00E0792D">
            <w:pPr>
              <w:spacing w:line="240" w:lineRule="auto"/>
              <w:jc w:val="center"/>
              <w:rPr>
                <w:sz w:val="18"/>
                <w:szCs w:val="18"/>
                <w:lang w:val="fr-FR"/>
              </w:rPr>
            </w:pPr>
          </w:p>
        </w:tc>
      </w:tr>
      <w:tr w:rsidR="00E0792D" w:rsidRPr="00373317" w14:paraId="3BF686FC" w14:textId="77777777" w:rsidTr="00E0792D">
        <w:trPr>
          <w:cantSplit/>
          <w:trHeight w:val="20"/>
          <w:jc w:val="center"/>
        </w:trPr>
        <w:tc>
          <w:tcPr>
            <w:tcW w:w="741" w:type="dxa"/>
            <w:vMerge/>
          </w:tcPr>
          <w:p w14:paraId="71C10A57" w14:textId="77777777" w:rsidR="00E0792D" w:rsidRPr="00373317" w:rsidRDefault="00E0792D" w:rsidP="00E0792D">
            <w:pPr>
              <w:spacing w:line="240" w:lineRule="auto"/>
              <w:jc w:val="center"/>
              <w:rPr>
                <w:sz w:val="18"/>
                <w:szCs w:val="18"/>
                <w:lang w:val="fr-FR"/>
              </w:rPr>
            </w:pPr>
          </w:p>
        </w:tc>
        <w:tc>
          <w:tcPr>
            <w:tcW w:w="976" w:type="dxa"/>
          </w:tcPr>
          <w:p w14:paraId="15B69E7A" w14:textId="77777777" w:rsidR="00E0792D" w:rsidRPr="00373317" w:rsidRDefault="00E0792D" w:rsidP="00E0792D">
            <w:pPr>
              <w:spacing w:line="240" w:lineRule="auto"/>
              <w:jc w:val="center"/>
              <w:rPr>
                <w:sz w:val="18"/>
                <w:szCs w:val="18"/>
                <w:lang w:val="fr-FR"/>
              </w:rPr>
            </w:pPr>
            <w:r w:rsidRPr="00373317">
              <w:rPr>
                <w:sz w:val="18"/>
                <w:szCs w:val="18"/>
                <w:lang w:val="fr-FR"/>
              </w:rPr>
              <w:t>3149</w:t>
            </w:r>
          </w:p>
        </w:tc>
        <w:tc>
          <w:tcPr>
            <w:tcW w:w="5943" w:type="dxa"/>
          </w:tcPr>
          <w:p w14:paraId="19EA63E6" w14:textId="77777777" w:rsidR="00E0792D" w:rsidRPr="00373317" w:rsidRDefault="00E0792D" w:rsidP="00E0792D">
            <w:pPr>
              <w:spacing w:line="240" w:lineRule="auto"/>
              <w:rPr>
                <w:sz w:val="18"/>
                <w:szCs w:val="18"/>
                <w:lang w:val="fr-FR"/>
              </w:rPr>
            </w:pPr>
            <w:r w:rsidRPr="00373317">
              <w:rPr>
                <w:sz w:val="18"/>
                <w:szCs w:val="18"/>
                <w:lang w:val="fr-FR"/>
              </w:rPr>
              <w:t xml:space="preserve">Peroxyde d'hydrogène et acide </w:t>
            </w:r>
            <w:proofErr w:type="spellStart"/>
            <w:r w:rsidRPr="00373317">
              <w:rPr>
                <w:sz w:val="18"/>
                <w:szCs w:val="18"/>
                <w:lang w:val="fr-FR"/>
              </w:rPr>
              <w:t>peroxyacétique</w:t>
            </w:r>
            <w:proofErr w:type="spellEnd"/>
            <w:r w:rsidRPr="00373317">
              <w:rPr>
                <w:sz w:val="18"/>
                <w:szCs w:val="18"/>
                <w:lang w:val="fr-FR"/>
              </w:rPr>
              <w:t xml:space="preserve"> en mélange, stabilisé</w:t>
            </w:r>
          </w:p>
        </w:tc>
        <w:tc>
          <w:tcPr>
            <w:tcW w:w="1617" w:type="dxa"/>
            <w:vMerge/>
            <w:vAlign w:val="center"/>
          </w:tcPr>
          <w:p w14:paraId="50071D29" w14:textId="77777777" w:rsidR="00E0792D" w:rsidRPr="00373317" w:rsidRDefault="00E0792D" w:rsidP="00E0792D">
            <w:pPr>
              <w:spacing w:line="240" w:lineRule="auto"/>
              <w:jc w:val="center"/>
              <w:rPr>
                <w:sz w:val="18"/>
                <w:szCs w:val="18"/>
                <w:lang w:val="fr-FR"/>
              </w:rPr>
            </w:pPr>
          </w:p>
        </w:tc>
      </w:tr>
      <w:tr w:rsidR="00E0792D" w:rsidRPr="00373317" w14:paraId="04557AE2" w14:textId="77777777" w:rsidTr="00E0792D">
        <w:trPr>
          <w:cantSplit/>
          <w:trHeight w:val="20"/>
          <w:jc w:val="center"/>
        </w:trPr>
        <w:tc>
          <w:tcPr>
            <w:tcW w:w="741" w:type="dxa"/>
            <w:vMerge/>
          </w:tcPr>
          <w:p w14:paraId="7BA54A42" w14:textId="77777777" w:rsidR="00E0792D" w:rsidRPr="00373317" w:rsidRDefault="00E0792D" w:rsidP="00E0792D">
            <w:pPr>
              <w:spacing w:line="240" w:lineRule="auto"/>
              <w:jc w:val="center"/>
              <w:rPr>
                <w:sz w:val="18"/>
                <w:szCs w:val="18"/>
                <w:lang w:val="fr-FR"/>
              </w:rPr>
            </w:pPr>
          </w:p>
        </w:tc>
        <w:tc>
          <w:tcPr>
            <w:tcW w:w="976" w:type="dxa"/>
          </w:tcPr>
          <w:p w14:paraId="0F1EC894" w14:textId="77777777" w:rsidR="00E0792D" w:rsidRPr="00373317" w:rsidRDefault="00E0792D" w:rsidP="00E0792D">
            <w:pPr>
              <w:spacing w:line="240" w:lineRule="auto"/>
              <w:jc w:val="center"/>
              <w:rPr>
                <w:sz w:val="18"/>
                <w:szCs w:val="18"/>
                <w:lang w:val="fr-FR"/>
              </w:rPr>
            </w:pPr>
            <w:r w:rsidRPr="00373317">
              <w:rPr>
                <w:sz w:val="18"/>
                <w:szCs w:val="18"/>
                <w:lang w:val="fr-FR"/>
              </w:rPr>
              <w:t>3375</w:t>
            </w:r>
          </w:p>
        </w:tc>
        <w:tc>
          <w:tcPr>
            <w:tcW w:w="5943" w:type="dxa"/>
          </w:tcPr>
          <w:p w14:paraId="2B01A052" w14:textId="77777777" w:rsidR="00E0792D" w:rsidRPr="00373317" w:rsidRDefault="00E0792D" w:rsidP="00E0792D">
            <w:pPr>
              <w:spacing w:line="240" w:lineRule="auto"/>
              <w:rPr>
                <w:sz w:val="18"/>
                <w:szCs w:val="18"/>
                <w:lang w:val="fr-FR"/>
              </w:rPr>
            </w:pPr>
            <w:r w:rsidRPr="00373317">
              <w:rPr>
                <w:sz w:val="18"/>
                <w:szCs w:val="18"/>
                <w:lang w:val="fr-FR"/>
              </w:rPr>
              <w:t>Nitrate d'ammonium en émulsion, suspension ou gel, liquide</w:t>
            </w:r>
          </w:p>
        </w:tc>
        <w:tc>
          <w:tcPr>
            <w:tcW w:w="1617" w:type="dxa"/>
            <w:vAlign w:val="center"/>
          </w:tcPr>
          <w:p w14:paraId="7870395C" w14:textId="77777777" w:rsidR="00E0792D" w:rsidRPr="00373317" w:rsidRDefault="00E0792D" w:rsidP="00E0792D">
            <w:pPr>
              <w:spacing w:line="240" w:lineRule="auto"/>
              <w:jc w:val="center"/>
              <w:rPr>
                <w:sz w:val="18"/>
                <w:szCs w:val="18"/>
                <w:lang w:val="fr-FR"/>
              </w:rPr>
            </w:pPr>
            <w:r w:rsidRPr="00373317">
              <w:rPr>
                <w:sz w:val="18"/>
                <w:szCs w:val="18"/>
                <w:lang w:val="fr-FR"/>
              </w:rPr>
              <w:t>LGAV</w:t>
            </w:r>
          </w:p>
        </w:tc>
      </w:tr>
      <w:tr w:rsidR="00E0792D" w:rsidRPr="00373317" w14:paraId="3CEA550C" w14:textId="77777777" w:rsidTr="00E0792D">
        <w:trPr>
          <w:cantSplit/>
          <w:trHeight w:val="20"/>
          <w:jc w:val="center"/>
        </w:trPr>
        <w:tc>
          <w:tcPr>
            <w:tcW w:w="741" w:type="dxa"/>
            <w:vMerge/>
          </w:tcPr>
          <w:p w14:paraId="5E57D856" w14:textId="77777777" w:rsidR="00E0792D" w:rsidRPr="00373317" w:rsidRDefault="00E0792D" w:rsidP="00E0792D">
            <w:pPr>
              <w:spacing w:line="240" w:lineRule="auto"/>
              <w:jc w:val="center"/>
              <w:rPr>
                <w:sz w:val="18"/>
                <w:szCs w:val="18"/>
                <w:lang w:val="fr-FR"/>
              </w:rPr>
            </w:pPr>
          </w:p>
        </w:tc>
        <w:tc>
          <w:tcPr>
            <w:tcW w:w="976" w:type="dxa"/>
          </w:tcPr>
          <w:p w14:paraId="6B1349D6" w14:textId="77777777" w:rsidR="00E0792D" w:rsidRPr="00373317" w:rsidRDefault="00E0792D" w:rsidP="00E0792D">
            <w:pPr>
              <w:spacing w:line="240" w:lineRule="auto"/>
              <w:jc w:val="center"/>
              <w:rPr>
                <w:sz w:val="18"/>
                <w:szCs w:val="18"/>
                <w:lang w:val="fr-FR"/>
              </w:rPr>
            </w:pPr>
            <w:r w:rsidRPr="00373317">
              <w:rPr>
                <w:sz w:val="18"/>
                <w:szCs w:val="18"/>
                <w:lang w:val="fr-FR"/>
              </w:rPr>
              <w:t>3375</w:t>
            </w:r>
          </w:p>
        </w:tc>
        <w:tc>
          <w:tcPr>
            <w:tcW w:w="5943" w:type="dxa"/>
          </w:tcPr>
          <w:p w14:paraId="5E04747A" w14:textId="77777777" w:rsidR="00E0792D" w:rsidRPr="00373317" w:rsidRDefault="00E0792D" w:rsidP="00E0792D">
            <w:pPr>
              <w:spacing w:line="240" w:lineRule="auto"/>
              <w:rPr>
                <w:sz w:val="18"/>
                <w:szCs w:val="18"/>
                <w:lang w:val="fr-FR"/>
              </w:rPr>
            </w:pPr>
            <w:r w:rsidRPr="00373317">
              <w:rPr>
                <w:sz w:val="18"/>
                <w:szCs w:val="18"/>
                <w:lang w:val="fr-FR"/>
              </w:rPr>
              <w:t>Nitrate d'ammonium en émulsion, suspension ou gel, solide</w:t>
            </w:r>
          </w:p>
        </w:tc>
        <w:tc>
          <w:tcPr>
            <w:tcW w:w="1617" w:type="dxa"/>
            <w:vAlign w:val="center"/>
          </w:tcPr>
          <w:p w14:paraId="6BF54F26" w14:textId="77777777" w:rsidR="00E0792D" w:rsidRPr="00373317" w:rsidRDefault="00E0792D" w:rsidP="00E0792D">
            <w:pPr>
              <w:spacing w:line="240" w:lineRule="auto"/>
              <w:jc w:val="center"/>
              <w:rPr>
                <w:sz w:val="18"/>
                <w:szCs w:val="18"/>
                <w:lang w:val="fr-FR"/>
              </w:rPr>
            </w:pPr>
            <w:r w:rsidRPr="00373317">
              <w:rPr>
                <w:sz w:val="18"/>
                <w:szCs w:val="18"/>
                <w:lang w:val="fr-FR"/>
              </w:rPr>
              <w:t>SGAV</w:t>
            </w:r>
          </w:p>
        </w:tc>
      </w:tr>
      <w:tr w:rsidR="00E0792D" w:rsidRPr="00373317" w14:paraId="5E10F385" w14:textId="77777777" w:rsidTr="00E0792D">
        <w:trPr>
          <w:cantSplit/>
          <w:trHeight w:val="20"/>
          <w:jc w:val="center"/>
        </w:trPr>
        <w:tc>
          <w:tcPr>
            <w:tcW w:w="741" w:type="dxa"/>
            <w:vMerge w:val="restart"/>
          </w:tcPr>
          <w:p w14:paraId="04CD8B19" w14:textId="77777777" w:rsidR="00E0792D" w:rsidRPr="00373317" w:rsidRDefault="00E0792D" w:rsidP="00E0792D">
            <w:pPr>
              <w:spacing w:line="240" w:lineRule="auto"/>
              <w:jc w:val="center"/>
              <w:rPr>
                <w:sz w:val="18"/>
                <w:szCs w:val="18"/>
                <w:lang w:val="fr-FR"/>
              </w:rPr>
            </w:pPr>
            <w:r w:rsidRPr="00373317">
              <w:rPr>
                <w:sz w:val="18"/>
                <w:szCs w:val="18"/>
                <w:lang w:val="fr-FR"/>
              </w:rPr>
              <w:t>5.2</w:t>
            </w:r>
          </w:p>
        </w:tc>
        <w:tc>
          <w:tcPr>
            <w:tcW w:w="976" w:type="dxa"/>
            <w:tcBorders>
              <w:bottom w:val="single" w:sz="4" w:space="0" w:color="auto"/>
            </w:tcBorders>
          </w:tcPr>
          <w:p w14:paraId="5C5DFA79" w14:textId="77777777" w:rsidR="00E0792D" w:rsidRPr="00373317" w:rsidRDefault="00E0792D" w:rsidP="00E0792D">
            <w:pPr>
              <w:spacing w:line="240" w:lineRule="auto"/>
              <w:jc w:val="center"/>
              <w:rPr>
                <w:sz w:val="18"/>
                <w:szCs w:val="18"/>
                <w:lang w:val="fr-FR"/>
              </w:rPr>
            </w:pPr>
            <w:r w:rsidRPr="00373317">
              <w:rPr>
                <w:sz w:val="18"/>
                <w:szCs w:val="18"/>
                <w:lang w:val="fr-FR"/>
              </w:rPr>
              <w:t>3109</w:t>
            </w:r>
          </w:p>
        </w:tc>
        <w:tc>
          <w:tcPr>
            <w:tcW w:w="5943" w:type="dxa"/>
            <w:tcBorders>
              <w:bottom w:val="single" w:sz="4" w:space="0" w:color="auto"/>
            </w:tcBorders>
          </w:tcPr>
          <w:p w14:paraId="1C5EDD3C" w14:textId="77777777" w:rsidR="00E0792D" w:rsidRPr="00373317" w:rsidRDefault="00E0792D" w:rsidP="00E0792D">
            <w:pPr>
              <w:spacing w:line="240" w:lineRule="auto"/>
              <w:rPr>
                <w:sz w:val="18"/>
                <w:szCs w:val="18"/>
                <w:lang w:val="fr-FR"/>
              </w:rPr>
            </w:pPr>
            <w:r w:rsidRPr="00373317">
              <w:rPr>
                <w:sz w:val="18"/>
                <w:szCs w:val="18"/>
                <w:lang w:val="fr-FR"/>
              </w:rPr>
              <w:t>Peroxyde organique de type F, liquide </w:t>
            </w:r>
          </w:p>
        </w:tc>
        <w:tc>
          <w:tcPr>
            <w:tcW w:w="1617" w:type="dxa"/>
            <w:vMerge w:val="restart"/>
            <w:vAlign w:val="center"/>
          </w:tcPr>
          <w:p w14:paraId="7E5A0223" w14:textId="77777777" w:rsidR="00E0792D" w:rsidRPr="00373317" w:rsidRDefault="00E0792D" w:rsidP="00E0792D">
            <w:pPr>
              <w:spacing w:line="240" w:lineRule="auto"/>
              <w:jc w:val="center"/>
              <w:rPr>
                <w:sz w:val="18"/>
                <w:szCs w:val="18"/>
                <w:lang w:val="fr-FR"/>
              </w:rPr>
            </w:pPr>
            <w:r w:rsidRPr="00373317">
              <w:rPr>
                <w:sz w:val="18"/>
                <w:szCs w:val="18"/>
                <w:lang w:val="fr-FR"/>
              </w:rPr>
              <w:t>L4BN</w:t>
            </w:r>
          </w:p>
        </w:tc>
      </w:tr>
      <w:tr w:rsidR="00E0792D" w:rsidRPr="00373317" w14:paraId="3E737E27" w14:textId="77777777" w:rsidTr="00E0792D">
        <w:trPr>
          <w:cantSplit/>
          <w:trHeight w:val="20"/>
          <w:jc w:val="center"/>
        </w:trPr>
        <w:tc>
          <w:tcPr>
            <w:tcW w:w="741" w:type="dxa"/>
            <w:vMerge/>
          </w:tcPr>
          <w:p w14:paraId="6E7700AA" w14:textId="77777777" w:rsidR="00E0792D" w:rsidRPr="00373317" w:rsidRDefault="00E0792D" w:rsidP="00E0792D">
            <w:pPr>
              <w:spacing w:line="240" w:lineRule="auto"/>
              <w:jc w:val="center"/>
              <w:rPr>
                <w:sz w:val="18"/>
                <w:szCs w:val="18"/>
                <w:lang w:val="fr-FR"/>
              </w:rPr>
            </w:pPr>
          </w:p>
        </w:tc>
        <w:tc>
          <w:tcPr>
            <w:tcW w:w="976" w:type="dxa"/>
            <w:tcBorders>
              <w:top w:val="nil"/>
            </w:tcBorders>
          </w:tcPr>
          <w:p w14:paraId="66617EFB" w14:textId="77777777" w:rsidR="00E0792D" w:rsidRPr="00373317" w:rsidRDefault="00E0792D" w:rsidP="00E0792D">
            <w:pPr>
              <w:spacing w:line="240" w:lineRule="auto"/>
              <w:jc w:val="center"/>
              <w:rPr>
                <w:sz w:val="18"/>
                <w:szCs w:val="18"/>
                <w:lang w:val="fr-FR"/>
              </w:rPr>
            </w:pPr>
            <w:r w:rsidRPr="00373317">
              <w:rPr>
                <w:sz w:val="18"/>
                <w:szCs w:val="18"/>
                <w:lang w:val="fr-FR"/>
              </w:rPr>
              <w:t>3119</w:t>
            </w:r>
          </w:p>
        </w:tc>
        <w:tc>
          <w:tcPr>
            <w:tcW w:w="5943" w:type="dxa"/>
            <w:tcBorders>
              <w:top w:val="nil"/>
            </w:tcBorders>
          </w:tcPr>
          <w:p w14:paraId="455146EA" w14:textId="77777777" w:rsidR="00E0792D" w:rsidRPr="00373317" w:rsidRDefault="00E0792D" w:rsidP="00E0792D">
            <w:pPr>
              <w:spacing w:line="240" w:lineRule="auto"/>
              <w:rPr>
                <w:sz w:val="18"/>
                <w:szCs w:val="18"/>
                <w:lang w:val="fr-FR"/>
              </w:rPr>
            </w:pPr>
            <w:r w:rsidRPr="00373317">
              <w:rPr>
                <w:sz w:val="18"/>
                <w:szCs w:val="18"/>
                <w:lang w:val="fr-FR"/>
              </w:rPr>
              <w:t>Peroxyde organique de type F, liquide, avec régulation de température</w:t>
            </w:r>
          </w:p>
        </w:tc>
        <w:tc>
          <w:tcPr>
            <w:tcW w:w="1617" w:type="dxa"/>
            <w:vMerge/>
            <w:vAlign w:val="center"/>
          </w:tcPr>
          <w:p w14:paraId="5A1A4FC7" w14:textId="77777777" w:rsidR="00E0792D" w:rsidRPr="00373317" w:rsidRDefault="00E0792D" w:rsidP="00E0792D">
            <w:pPr>
              <w:spacing w:line="240" w:lineRule="auto"/>
              <w:jc w:val="center"/>
              <w:rPr>
                <w:sz w:val="18"/>
                <w:szCs w:val="18"/>
                <w:lang w:val="fr-FR"/>
              </w:rPr>
            </w:pPr>
          </w:p>
        </w:tc>
      </w:tr>
      <w:tr w:rsidR="00E0792D" w:rsidRPr="00373317" w14:paraId="36CA9CA4" w14:textId="77777777" w:rsidTr="00E0792D">
        <w:trPr>
          <w:cantSplit/>
          <w:trHeight w:val="20"/>
          <w:jc w:val="center"/>
        </w:trPr>
        <w:tc>
          <w:tcPr>
            <w:tcW w:w="741" w:type="dxa"/>
            <w:vMerge/>
          </w:tcPr>
          <w:p w14:paraId="6FBB777B" w14:textId="77777777" w:rsidR="00E0792D" w:rsidRPr="00373317" w:rsidRDefault="00E0792D" w:rsidP="00E0792D">
            <w:pPr>
              <w:spacing w:line="240" w:lineRule="auto"/>
              <w:jc w:val="center"/>
              <w:rPr>
                <w:sz w:val="18"/>
                <w:szCs w:val="18"/>
                <w:lang w:val="fr-FR"/>
              </w:rPr>
            </w:pPr>
          </w:p>
        </w:tc>
        <w:tc>
          <w:tcPr>
            <w:tcW w:w="976" w:type="dxa"/>
            <w:tcBorders>
              <w:bottom w:val="single" w:sz="4" w:space="0" w:color="auto"/>
            </w:tcBorders>
          </w:tcPr>
          <w:p w14:paraId="05E3974F" w14:textId="77777777" w:rsidR="00E0792D" w:rsidRPr="00373317" w:rsidRDefault="00E0792D" w:rsidP="00373317">
            <w:pPr>
              <w:keepNext/>
              <w:keepLines/>
              <w:pageBreakBefore/>
              <w:spacing w:line="240" w:lineRule="auto"/>
              <w:jc w:val="center"/>
              <w:rPr>
                <w:sz w:val="18"/>
                <w:szCs w:val="18"/>
                <w:lang w:val="fr-FR"/>
              </w:rPr>
            </w:pPr>
            <w:r w:rsidRPr="00373317">
              <w:rPr>
                <w:sz w:val="18"/>
                <w:szCs w:val="18"/>
                <w:lang w:val="fr-FR"/>
              </w:rPr>
              <w:t>3110</w:t>
            </w:r>
          </w:p>
        </w:tc>
        <w:tc>
          <w:tcPr>
            <w:tcW w:w="5943" w:type="dxa"/>
            <w:tcBorders>
              <w:bottom w:val="single" w:sz="4" w:space="0" w:color="auto"/>
            </w:tcBorders>
          </w:tcPr>
          <w:p w14:paraId="07305B4A" w14:textId="77777777" w:rsidR="00E0792D" w:rsidRPr="00373317" w:rsidRDefault="00E0792D" w:rsidP="00373317">
            <w:pPr>
              <w:keepNext/>
              <w:keepLines/>
              <w:spacing w:line="240" w:lineRule="auto"/>
              <w:rPr>
                <w:sz w:val="18"/>
                <w:szCs w:val="18"/>
                <w:lang w:val="fr-FR"/>
              </w:rPr>
            </w:pPr>
            <w:r w:rsidRPr="00373317">
              <w:rPr>
                <w:sz w:val="18"/>
                <w:szCs w:val="18"/>
                <w:lang w:val="fr-FR"/>
              </w:rPr>
              <w:t>Peroxyde organique de type F, solide </w:t>
            </w:r>
          </w:p>
        </w:tc>
        <w:tc>
          <w:tcPr>
            <w:tcW w:w="1617" w:type="dxa"/>
            <w:vMerge w:val="restart"/>
            <w:vAlign w:val="center"/>
          </w:tcPr>
          <w:p w14:paraId="652AD217" w14:textId="77777777" w:rsidR="00E0792D" w:rsidRPr="00373317" w:rsidRDefault="00E0792D" w:rsidP="00373317">
            <w:pPr>
              <w:keepNext/>
              <w:keepLines/>
              <w:spacing w:line="240" w:lineRule="auto"/>
              <w:jc w:val="center"/>
              <w:rPr>
                <w:sz w:val="18"/>
                <w:szCs w:val="18"/>
                <w:lang w:val="fr-FR"/>
              </w:rPr>
            </w:pPr>
            <w:r w:rsidRPr="00373317">
              <w:rPr>
                <w:sz w:val="18"/>
                <w:szCs w:val="18"/>
                <w:lang w:val="fr-FR"/>
              </w:rPr>
              <w:t>S4AN</w:t>
            </w:r>
          </w:p>
        </w:tc>
      </w:tr>
      <w:tr w:rsidR="00E0792D" w:rsidRPr="00373317" w14:paraId="5FA34619" w14:textId="77777777" w:rsidTr="00E0792D">
        <w:trPr>
          <w:cantSplit/>
          <w:trHeight w:val="20"/>
          <w:jc w:val="center"/>
        </w:trPr>
        <w:tc>
          <w:tcPr>
            <w:tcW w:w="741" w:type="dxa"/>
            <w:vMerge/>
          </w:tcPr>
          <w:p w14:paraId="778C3EDC" w14:textId="77777777" w:rsidR="00E0792D" w:rsidRPr="00373317" w:rsidRDefault="00E0792D" w:rsidP="00E0792D">
            <w:pPr>
              <w:spacing w:line="240" w:lineRule="auto"/>
              <w:jc w:val="center"/>
              <w:rPr>
                <w:sz w:val="18"/>
                <w:szCs w:val="18"/>
                <w:lang w:val="fr-FR"/>
              </w:rPr>
            </w:pPr>
          </w:p>
        </w:tc>
        <w:tc>
          <w:tcPr>
            <w:tcW w:w="976" w:type="dxa"/>
            <w:tcBorders>
              <w:top w:val="nil"/>
            </w:tcBorders>
          </w:tcPr>
          <w:p w14:paraId="5A546C5D" w14:textId="77777777" w:rsidR="00E0792D" w:rsidRPr="00373317" w:rsidRDefault="00E0792D" w:rsidP="00373317">
            <w:pPr>
              <w:keepNext/>
              <w:keepLines/>
              <w:spacing w:line="240" w:lineRule="auto"/>
              <w:jc w:val="center"/>
              <w:rPr>
                <w:sz w:val="18"/>
                <w:szCs w:val="18"/>
                <w:lang w:val="fr-FR"/>
              </w:rPr>
            </w:pPr>
            <w:r w:rsidRPr="00373317">
              <w:rPr>
                <w:sz w:val="18"/>
                <w:szCs w:val="18"/>
                <w:lang w:val="fr-FR"/>
              </w:rPr>
              <w:t>3120</w:t>
            </w:r>
          </w:p>
        </w:tc>
        <w:tc>
          <w:tcPr>
            <w:tcW w:w="5943" w:type="dxa"/>
            <w:tcBorders>
              <w:top w:val="nil"/>
            </w:tcBorders>
          </w:tcPr>
          <w:p w14:paraId="73CE2218" w14:textId="77777777" w:rsidR="00E0792D" w:rsidRPr="00373317" w:rsidRDefault="00E0792D" w:rsidP="00373317">
            <w:pPr>
              <w:keepNext/>
              <w:keepLines/>
              <w:spacing w:line="240" w:lineRule="auto"/>
              <w:rPr>
                <w:sz w:val="18"/>
                <w:szCs w:val="18"/>
                <w:lang w:val="fr-FR"/>
              </w:rPr>
            </w:pPr>
            <w:r w:rsidRPr="00373317">
              <w:rPr>
                <w:sz w:val="18"/>
                <w:szCs w:val="18"/>
                <w:lang w:val="fr-FR"/>
              </w:rPr>
              <w:t>Peroxyde organique de type F, solide, avec régulation de température</w:t>
            </w:r>
          </w:p>
        </w:tc>
        <w:tc>
          <w:tcPr>
            <w:tcW w:w="1617" w:type="dxa"/>
            <w:vMerge/>
            <w:vAlign w:val="center"/>
          </w:tcPr>
          <w:p w14:paraId="45FEEBA7" w14:textId="77777777" w:rsidR="00E0792D" w:rsidRPr="00373317" w:rsidRDefault="00E0792D" w:rsidP="00373317">
            <w:pPr>
              <w:keepNext/>
              <w:keepLines/>
              <w:spacing w:line="240" w:lineRule="auto"/>
              <w:jc w:val="center"/>
              <w:rPr>
                <w:sz w:val="18"/>
                <w:szCs w:val="18"/>
                <w:lang w:val="fr-FR"/>
              </w:rPr>
            </w:pPr>
          </w:p>
        </w:tc>
      </w:tr>
      <w:tr w:rsidR="00E0792D" w:rsidRPr="00373317" w14:paraId="59A4381F" w14:textId="77777777" w:rsidTr="00E0792D">
        <w:trPr>
          <w:cantSplit/>
          <w:trHeight w:val="20"/>
          <w:jc w:val="center"/>
        </w:trPr>
        <w:tc>
          <w:tcPr>
            <w:tcW w:w="741" w:type="dxa"/>
            <w:vMerge w:val="restart"/>
          </w:tcPr>
          <w:p w14:paraId="15C52485" w14:textId="77777777" w:rsidR="00E0792D" w:rsidRPr="00373317" w:rsidRDefault="00E0792D" w:rsidP="00E0792D">
            <w:pPr>
              <w:spacing w:line="240" w:lineRule="auto"/>
              <w:jc w:val="center"/>
              <w:rPr>
                <w:sz w:val="18"/>
                <w:szCs w:val="18"/>
                <w:lang w:val="fr-FR"/>
              </w:rPr>
            </w:pPr>
            <w:r w:rsidRPr="00373317">
              <w:rPr>
                <w:sz w:val="18"/>
                <w:szCs w:val="18"/>
                <w:lang w:val="fr-FR"/>
              </w:rPr>
              <w:t>6.1</w:t>
            </w:r>
          </w:p>
        </w:tc>
        <w:tc>
          <w:tcPr>
            <w:tcW w:w="976" w:type="dxa"/>
          </w:tcPr>
          <w:p w14:paraId="4716CA53" w14:textId="77777777" w:rsidR="00E0792D" w:rsidRPr="00373317" w:rsidRDefault="00E0792D" w:rsidP="00E0792D">
            <w:pPr>
              <w:spacing w:line="240" w:lineRule="auto"/>
              <w:jc w:val="center"/>
              <w:rPr>
                <w:sz w:val="18"/>
                <w:szCs w:val="18"/>
                <w:lang w:val="fr-FR"/>
              </w:rPr>
            </w:pPr>
            <w:r w:rsidRPr="00373317">
              <w:rPr>
                <w:sz w:val="18"/>
                <w:szCs w:val="18"/>
                <w:lang w:val="fr-FR"/>
              </w:rPr>
              <w:t>1613</w:t>
            </w:r>
          </w:p>
        </w:tc>
        <w:tc>
          <w:tcPr>
            <w:tcW w:w="5943" w:type="dxa"/>
          </w:tcPr>
          <w:p w14:paraId="505C9AFB" w14:textId="77777777" w:rsidR="00E0792D" w:rsidRPr="00373317" w:rsidRDefault="00E0792D" w:rsidP="00E0792D">
            <w:pPr>
              <w:spacing w:line="240" w:lineRule="auto"/>
              <w:rPr>
                <w:sz w:val="18"/>
                <w:szCs w:val="18"/>
                <w:lang w:val="fr-FR"/>
              </w:rPr>
            </w:pPr>
            <w:r w:rsidRPr="00373317">
              <w:rPr>
                <w:sz w:val="18"/>
                <w:szCs w:val="18"/>
                <w:lang w:val="fr-FR"/>
              </w:rPr>
              <w:t>Cyanure d'hydrogène en solution aqueuse</w:t>
            </w:r>
          </w:p>
        </w:tc>
        <w:tc>
          <w:tcPr>
            <w:tcW w:w="1617" w:type="dxa"/>
            <w:vMerge w:val="restart"/>
            <w:vAlign w:val="center"/>
          </w:tcPr>
          <w:p w14:paraId="0BB27E4E" w14:textId="77777777" w:rsidR="00E0792D" w:rsidRPr="00373317" w:rsidRDefault="00E0792D" w:rsidP="00E0792D">
            <w:pPr>
              <w:spacing w:line="240" w:lineRule="auto"/>
              <w:jc w:val="center"/>
              <w:rPr>
                <w:sz w:val="18"/>
                <w:szCs w:val="18"/>
                <w:lang w:val="fr-FR"/>
              </w:rPr>
            </w:pPr>
            <w:r w:rsidRPr="00373317">
              <w:rPr>
                <w:sz w:val="18"/>
                <w:szCs w:val="18"/>
                <w:lang w:val="fr-FR"/>
              </w:rPr>
              <w:t>L15DH</w:t>
            </w:r>
          </w:p>
        </w:tc>
      </w:tr>
      <w:tr w:rsidR="00E0792D" w:rsidRPr="00373317" w14:paraId="28BA3592" w14:textId="77777777" w:rsidTr="00E0792D">
        <w:trPr>
          <w:cantSplit/>
          <w:trHeight w:val="20"/>
          <w:jc w:val="center"/>
        </w:trPr>
        <w:tc>
          <w:tcPr>
            <w:tcW w:w="741" w:type="dxa"/>
            <w:vMerge/>
          </w:tcPr>
          <w:p w14:paraId="0C09E989" w14:textId="77777777" w:rsidR="00E0792D" w:rsidRPr="00373317" w:rsidRDefault="00E0792D" w:rsidP="00E0792D">
            <w:pPr>
              <w:spacing w:line="240" w:lineRule="auto"/>
              <w:rPr>
                <w:sz w:val="18"/>
                <w:szCs w:val="18"/>
                <w:lang w:val="fr-FR"/>
              </w:rPr>
            </w:pPr>
          </w:p>
        </w:tc>
        <w:tc>
          <w:tcPr>
            <w:tcW w:w="976" w:type="dxa"/>
          </w:tcPr>
          <w:p w14:paraId="7350F24D" w14:textId="77777777" w:rsidR="00E0792D" w:rsidRPr="00373317" w:rsidRDefault="00E0792D" w:rsidP="00E0792D">
            <w:pPr>
              <w:spacing w:line="240" w:lineRule="auto"/>
              <w:jc w:val="center"/>
              <w:rPr>
                <w:sz w:val="18"/>
                <w:szCs w:val="18"/>
                <w:lang w:val="fr-FR"/>
              </w:rPr>
            </w:pPr>
            <w:r w:rsidRPr="00373317">
              <w:rPr>
                <w:sz w:val="18"/>
                <w:szCs w:val="18"/>
                <w:lang w:val="fr-FR"/>
              </w:rPr>
              <w:t>3294</w:t>
            </w:r>
          </w:p>
        </w:tc>
        <w:tc>
          <w:tcPr>
            <w:tcW w:w="5943" w:type="dxa"/>
          </w:tcPr>
          <w:p w14:paraId="036C6365" w14:textId="77777777" w:rsidR="00E0792D" w:rsidRPr="00373317" w:rsidRDefault="00E0792D" w:rsidP="00E0792D">
            <w:pPr>
              <w:spacing w:line="240" w:lineRule="auto"/>
              <w:rPr>
                <w:sz w:val="18"/>
                <w:szCs w:val="18"/>
                <w:lang w:val="fr-FR"/>
              </w:rPr>
            </w:pPr>
            <w:r w:rsidRPr="00373317">
              <w:rPr>
                <w:sz w:val="18"/>
                <w:szCs w:val="18"/>
                <w:lang w:val="fr-FR"/>
              </w:rPr>
              <w:t>Cyanure d'hydrogène en solution alcoolique</w:t>
            </w:r>
          </w:p>
        </w:tc>
        <w:tc>
          <w:tcPr>
            <w:tcW w:w="1617" w:type="dxa"/>
            <w:vMerge/>
            <w:vAlign w:val="center"/>
          </w:tcPr>
          <w:p w14:paraId="702DD110" w14:textId="77777777" w:rsidR="00E0792D" w:rsidRPr="00373317" w:rsidRDefault="00E0792D" w:rsidP="00E0792D">
            <w:pPr>
              <w:spacing w:line="240" w:lineRule="auto"/>
              <w:jc w:val="center"/>
              <w:rPr>
                <w:sz w:val="18"/>
                <w:szCs w:val="18"/>
                <w:lang w:val="fr-FR"/>
              </w:rPr>
            </w:pPr>
          </w:p>
        </w:tc>
      </w:tr>
      <w:tr w:rsidR="00E0792D" w:rsidRPr="00373317" w14:paraId="3FCEB837" w14:textId="77777777" w:rsidTr="00E0792D">
        <w:trPr>
          <w:cantSplit/>
          <w:trHeight w:val="20"/>
          <w:jc w:val="center"/>
        </w:trPr>
        <w:tc>
          <w:tcPr>
            <w:tcW w:w="741" w:type="dxa"/>
            <w:vMerge w:val="restart"/>
          </w:tcPr>
          <w:p w14:paraId="0AA5E51A" w14:textId="77777777" w:rsidR="00E0792D" w:rsidRPr="00373317" w:rsidRDefault="00E0792D" w:rsidP="00E0792D">
            <w:pPr>
              <w:spacing w:line="240" w:lineRule="auto"/>
              <w:jc w:val="center"/>
              <w:rPr>
                <w:sz w:val="18"/>
                <w:szCs w:val="18"/>
                <w:lang w:val="fr-FR"/>
              </w:rPr>
            </w:pPr>
            <w:r w:rsidRPr="00373317">
              <w:rPr>
                <w:sz w:val="18"/>
                <w:szCs w:val="18"/>
                <w:lang w:val="fr-FR"/>
              </w:rPr>
              <w:t>7*</w:t>
            </w:r>
          </w:p>
        </w:tc>
        <w:tc>
          <w:tcPr>
            <w:tcW w:w="976" w:type="dxa"/>
            <w:vMerge w:val="restart"/>
          </w:tcPr>
          <w:p w14:paraId="1952DFBA" w14:textId="77777777" w:rsidR="00E0792D" w:rsidRPr="00373317" w:rsidRDefault="00E0792D" w:rsidP="00E0792D">
            <w:pPr>
              <w:spacing w:line="240" w:lineRule="auto"/>
              <w:rPr>
                <w:sz w:val="18"/>
                <w:szCs w:val="18"/>
                <w:lang w:val="fr-FR"/>
              </w:rPr>
            </w:pPr>
          </w:p>
        </w:tc>
        <w:tc>
          <w:tcPr>
            <w:tcW w:w="5943" w:type="dxa"/>
          </w:tcPr>
          <w:p w14:paraId="1B5DAEC6" w14:textId="77777777" w:rsidR="00E0792D" w:rsidRPr="00373317" w:rsidRDefault="00E0792D" w:rsidP="00E0792D">
            <w:pPr>
              <w:spacing w:line="240" w:lineRule="auto"/>
              <w:rPr>
                <w:sz w:val="18"/>
                <w:szCs w:val="18"/>
                <w:lang w:val="fr-FR"/>
              </w:rPr>
            </w:pPr>
            <w:r w:rsidRPr="00373317">
              <w:rPr>
                <w:sz w:val="18"/>
                <w:szCs w:val="18"/>
                <w:lang w:val="fr-FR"/>
              </w:rPr>
              <w:t>Toutes les matières</w:t>
            </w:r>
          </w:p>
        </w:tc>
        <w:tc>
          <w:tcPr>
            <w:tcW w:w="1617" w:type="dxa"/>
            <w:vAlign w:val="center"/>
          </w:tcPr>
          <w:p w14:paraId="7406B15A" w14:textId="77777777" w:rsidR="00E0792D" w:rsidRPr="00373317" w:rsidRDefault="00E0792D" w:rsidP="00E0792D">
            <w:pPr>
              <w:spacing w:line="240" w:lineRule="auto"/>
              <w:jc w:val="center"/>
              <w:rPr>
                <w:sz w:val="18"/>
                <w:szCs w:val="18"/>
                <w:lang w:val="fr-FR"/>
              </w:rPr>
            </w:pPr>
            <w:r w:rsidRPr="00373317">
              <w:rPr>
                <w:sz w:val="18"/>
                <w:szCs w:val="18"/>
                <w:lang w:val="fr-FR"/>
              </w:rPr>
              <w:t>Citerne spéciale</w:t>
            </w:r>
          </w:p>
        </w:tc>
      </w:tr>
      <w:tr w:rsidR="00E0792D" w:rsidRPr="00373317" w14:paraId="114DC42B" w14:textId="77777777" w:rsidTr="00E0792D">
        <w:trPr>
          <w:cantSplit/>
          <w:trHeight w:val="20"/>
          <w:jc w:val="center"/>
        </w:trPr>
        <w:tc>
          <w:tcPr>
            <w:tcW w:w="741" w:type="dxa"/>
            <w:vMerge/>
          </w:tcPr>
          <w:p w14:paraId="787DECD2" w14:textId="77777777" w:rsidR="00E0792D" w:rsidRPr="00373317" w:rsidRDefault="00E0792D" w:rsidP="00E0792D">
            <w:pPr>
              <w:spacing w:line="240" w:lineRule="auto"/>
              <w:jc w:val="center"/>
              <w:rPr>
                <w:sz w:val="18"/>
                <w:szCs w:val="18"/>
                <w:lang w:val="fr-FR"/>
              </w:rPr>
            </w:pPr>
          </w:p>
        </w:tc>
        <w:tc>
          <w:tcPr>
            <w:tcW w:w="976" w:type="dxa"/>
            <w:vMerge/>
          </w:tcPr>
          <w:p w14:paraId="11F32223" w14:textId="77777777" w:rsidR="00E0792D" w:rsidRPr="00373317" w:rsidRDefault="00E0792D" w:rsidP="00E0792D">
            <w:pPr>
              <w:spacing w:line="240" w:lineRule="auto"/>
              <w:rPr>
                <w:sz w:val="18"/>
                <w:szCs w:val="18"/>
                <w:lang w:val="fr-FR"/>
              </w:rPr>
            </w:pPr>
          </w:p>
        </w:tc>
        <w:tc>
          <w:tcPr>
            <w:tcW w:w="5943" w:type="dxa"/>
          </w:tcPr>
          <w:p w14:paraId="37715748" w14:textId="77777777" w:rsidR="00E0792D" w:rsidRPr="00373317" w:rsidRDefault="00E0792D" w:rsidP="00E0792D">
            <w:pPr>
              <w:spacing w:line="240" w:lineRule="auto"/>
              <w:rPr>
                <w:sz w:val="18"/>
                <w:szCs w:val="18"/>
                <w:lang w:val="fr-FR"/>
              </w:rPr>
            </w:pPr>
            <w:r w:rsidRPr="00373317">
              <w:rPr>
                <w:sz w:val="18"/>
                <w:szCs w:val="18"/>
                <w:lang w:val="fr-FR"/>
              </w:rPr>
              <w:t>Exigence minimale pour les liquides</w:t>
            </w:r>
          </w:p>
        </w:tc>
        <w:tc>
          <w:tcPr>
            <w:tcW w:w="1617" w:type="dxa"/>
            <w:vAlign w:val="center"/>
          </w:tcPr>
          <w:p w14:paraId="122E3256" w14:textId="1B2DF84E" w:rsidR="00E0792D" w:rsidRPr="00373317" w:rsidRDefault="00E0792D" w:rsidP="00E0792D">
            <w:pPr>
              <w:spacing w:line="240" w:lineRule="auto"/>
              <w:jc w:val="center"/>
              <w:rPr>
                <w:sz w:val="18"/>
                <w:szCs w:val="18"/>
                <w:lang w:val="fr-FR"/>
              </w:rPr>
            </w:pPr>
            <w:r w:rsidRPr="00373317">
              <w:rPr>
                <w:sz w:val="18"/>
                <w:szCs w:val="18"/>
                <w:lang w:val="fr-FR"/>
              </w:rPr>
              <w:t>L2,65CN</w:t>
            </w:r>
          </w:p>
        </w:tc>
      </w:tr>
      <w:tr w:rsidR="00E0792D" w:rsidRPr="00373317" w14:paraId="2194EF16" w14:textId="77777777" w:rsidTr="00E0792D">
        <w:trPr>
          <w:cantSplit/>
          <w:trHeight w:val="20"/>
          <w:jc w:val="center"/>
        </w:trPr>
        <w:tc>
          <w:tcPr>
            <w:tcW w:w="741" w:type="dxa"/>
            <w:vMerge/>
          </w:tcPr>
          <w:p w14:paraId="6F6B5E90" w14:textId="77777777" w:rsidR="00E0792D" w:rsidRPr="00373317" w:rsidRDefault="00E0792D" w:rsidP="00E0792D">
            <w:pPr>
              <w:spacing w:line="240" w:lineRule="auto"/>
              <w:jc w:val="center"/>
              <w:rPr>
                <w:sz w:val="18"/>
                <w:szCs w:val="18"/>
                <w:lang w:val="fr-FR"/>
              </w:rPr>
            </w:pPr>
          </w:p>
        </w:tc>
        <w:tc>
          <w:tcPr>
            <w:tcW w:w="976" w:type="dxa"/>
            <w:vMerge/>
          </w:tcPr>
          <w:p w14:paraId="0517BC51" w14:textId="77777777" w:rsidR="00E0792D" w:rsidRPr="00373317" w:rsidRDefault="00E0792D" w:rsidP="00E0792D">
            <w:pPr>
              <w:spacing w:line="240" w:lineRule="auto"/>
              <w:rPr>
                <w:sz w:val="18"/>
                <w:szCs w:val="18"/>
                <w:lang w:val="fr-FR"/>
              </w:rPr>
            </w:pPr>
          </w:p>
        </w:tc>
        <w:tc>
          <w:tcPr>
            <w:tcW w:w="5943" w:type="dxa"/>
          </w:tcPr>
          <w:p w14:paraId="7AA02898" w14:textId="77777777" w:rsidR="00E0792D" w:rsidRPr="00373317" w:rsidRDefault="00E0792D" w:rsidP="00E0792D">
            <w:pPr>
              <w:spacing w:line="240" w:lineRule="auto"/>
              <w:rPr>
                <w:sz w:val="18"/>
                <w:szCs w:val="18"/>
                <w:lang w:val="fr-FR"/>
              </w:rPr>
            </w:pPr>
            <w:r w:rsidRPr="00373317">
              <w:rPr>
                <w:sz w:val="18"/>
                <w:szCs w:val="18"/>
                <w:lang w:val="fr-FR"/>
              </w:rPr>
              <w:t>Exigence minimale pour les solides</w:t>
            </w:r>
          </w:p>
        </w:tc>
        <w:tc>
          <w:tcPr>
            <w:tcW w:w="1617" w:type="dxa"/>
            <w:vAlign w:val="center"/>
          </w:tcPr>
          <w:p w14:paraId="6D423FC2" w14:textId="4D9B8DA5" w:rsidR="00E0792D" w:rsidRPr="00373317" w:rsidRDefault="00E0792D" w:rsidP="00E0792D">
            <w:pPr>
              <w:spacing w:line="240" w:lineRule="auto"/>
              <w:jc w:val="center"/>
              <w:rPr>
                <w:sz w:val="18"/>
                <w:szCs w:val="18"/>
                <w:lang w:val="fr-FR"/>
              </w:rPr>
            </w:pPr>
            <w:r w:rsidRPr="00373317">
              <w:rPr>
                <w:sz w:val="18"/>
                <w:szCs w:val="18"/>
                <w:lang w:val="fr-FR"/>
              </w:rPr>
              <w:t>S2,65AN</w:t>
            </w:r>
          </w:p>
        </w:tc>
      </w:tr>
    </w:tbl>
    <w:p w14:paraId="29812EB3" w14:textId="77777777" w:rsidR="00373317" w:rsidRDefault="00373317"/>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76"/>
        <w:gridCol w:w="5943"/>
        <w:gridCol w:w="1617"/>
      </w:tblGrid>
      <w:tr w:rsidR="00373317" w:rsidRPr="00373317" w14:paraId="12150503" w14:textId="77777777" w:rsidTr="001F4685">
        <w:trPr>
          <w:cantSplit/>
          <w:trHeight w:val="20"/>
          <w:tblHeader/>
          <w:jc w:val="center"/>
        </w:trPr>
        <w:tc>
          <w:tcPr>
            <w:tcW w:w="741" w:type="dxa"/>
            <w:tcBorders>
              <w:bottom w:val="single" w:sz="4" w:space="0" w:color="auto"/>
            </w:tcBorders>
          </w:tcPr>
          <w:p w14:paraId="1C2DFE5F" w14:textId="77777777" w:rsidR="00373317" w:rsidRPr="00373317" w:rsidRDefault="00373317" w:rsidP="001F4685">
            <w:pPr>
              <w:spacing w:line="240" w:lineRule="auto"/>
              <w:jc w:val="center"/>
              <w:rPr>
                <w:sz w:val="18"/>
                <w:szCs w:val="18"/>
                <w:lang w:val="fr-FR"/>
              </w:rPr>
            </w:pPr>
            <w:r w:rsidRPr="00373317">
              <w:rPr>
                <w:sz w:val="18"/>
                <w:szCs w:val="18"/>
                <w:lang w:val="fr-FR"/>
              </w:rPr>
              <w:t>Classe</w:t>
            </w:r>
          </w:p>
        </w:tc>
        <w:tc>
          <w:tcPr>
            <w:tcW w:w="976" w:type="dxa"/>
            <w:tcBorders>
              <w:bottom w:val="single" w:sz="4" w:space="0" w:color="auto"/>
            </w:tcBorders>
          </w:tcPr>
          <w:p w14:paraId="2B843D2F" w14:textId="77777777" w:rsidR="00373317" w:rsidRPr="00373317" w:rsidRDefault="00373317" w:rsidP="001F4685">
            <w:pPr>
              <w:spacing w:line="240" w:lineRule="auto"/>
              <w:jc w:val="center"/>
              <w:rPr>
                <w:sz w:val="18"/>
                <w:szCs w:val="18"/>
                <w:lang w:val="fr-FR"/>
              </w:rPr>
            </w:pPr>
            <w:r w:rsidRPr="00373317">
              <w:rPr>
                <w:sz w:val="18"/>
                <w:szCs w:val="18"/>
                <w:lang w:val="fr-FR"/>
              </w:rPr>
              <w:t>No. ONU</w:t>
            </w:r>
          </w:p>
        </w:tc>
        <w:tc>
          <w:tcPr>
            <w:tcW w:w="5943" w:type="dxa"/>
            <w:tcBorders>
              <w:bottom w:val="single" w:sz="4" w:space="0" w:color="auto"/>
            </w:tcBorders>
          </w:tcPr>
          <w:p w14:paraId="0B2BF02C" w14:textId="77777777" w:rsidR="00373317" w:rsidRPr="00373317" w:rsidRDefault="00373317" w:rsidP="001F4685">
            <w:pPr>
              <w:spacing w:line="240" w:lineRule="auto"/>
              <w:jc w:val="center"/>
              <w:rPr>
                <w:sz w:val="18"/>
                <w:szCs w:val="18"/>
                <w:lang w:val="fr-FR"/>
              </w:rPr>
            </w:pPr>
            <w:r w:rsidRPr="00373317">
              <w:rPr>
                <w:sz w:val="18"/>
                <w:szCs w:val="18"/>
                <w:lang w:val="fr-FR"/>
              </w:rPr>
              <w:t>Nom et description</w:t>
            </w:r>
          </w:p>
        </w:tc>
        <w:tc>
          <w:tcPr>
            <w:tcW w:w="1617" w:type="dxa"/>
            <w:tcBorders>
              <w:bottom w:val="single" w:sz="4" w:space="0" w:color="auto"/>
            </w:tcBorders>
          </w:tcPr>
          <w:p w14:paraId="2FA96F06" w14:textId="77777777" w:rsidR="00373317" w:rsidRPr="00373317" w:rsidRDefault="00373317" w:rsidP="001F4685">
            <w:pPr>
              <w:spacing w:line="240" w:lineRule="auto"/>
              <w:jc w:val="center"/>
              <w:rPr>
                <w:sz w:val="18"/>
                <w:szCs w:val="18"/>
                <w:lang w:val="fr-FR"/>
              </w:rPr>
            </w:pPr>
            <w:r w:rsidRPr="00373317">
              <w:rPr>
                <w:sz w:val="18"/>
                <w:szCs w:val="18"/>
                <w:lang w:val="fr-FR"/>
              </w:rPr>
              <w:t>Code-citerne</w:t>
            </w:r>
          </w:p>
        </w:tc>
      </w:tr>
      <w:tr w:rsidR="00E0792D" w:rsidRPr="00373317" w14:paraId="266FE691" w14:textId="77777777" w:rsidTr="00E0792D">
        <w:trPr>
          <w:cantSplit/>
          <w:trHeight w:val="20"/>
          <w:jc w:val="center"/>
        </w:trPr>
        <w:tc>
          <w:tcPr>
            <w:tcW w:w="741" w:type="dxa"/>
            <w:vMerge w:val="restart"/>
          </w:tcPr>
          <w:p w14:paraId="69A4F156" w14:textId="77777777" w:rsidR="00E0792D" w:rsidRPr="00373317" w:rsidRDefault="00E0792D" w:rsidP="00E0792D">
            <w:pPr>
              <w:spacing w:line="240" w:lineRule="auto"/>
              <w:jc w:val="center"/>
              <w:rPr>
                <w:sz w:val="18"/>
                <w:szCs w:val="18"/>
                <w:lang w:val="fr-FR"/>
              </w:rPr>
            </w:pPr>
            <w:r w:rsidRPr="00373317">
              <w:rPr>
                <w:sz w:val="18"/>
                <w:szCs w:val="18"/>
                <w:lang w:val="fr-FR"/>
              </w:rPr>
              <w:t>8</w:t>
            </w:r>
          </w:p>
        </w:tc>
        <w:tc>
          <w:tcPr>
            <w:tcW w:w="976" w:type="dxa"/>
          </w:tcPr>
          <w:p w14:paraId="77CB61FB" w14:textId="77777777" w:rsidR="00E0792D" w:rsidRPr="00373317" w:rsidRDefault="00E0792D" w:rsidP="00E0792D">
            <w:pPr>
              <w:spacing w:line="240" w:lineRule="auto"/>
              <w:jc w:val="center"/>
              <w:rPr>
                <w:sz w:val="18"/>
                <w:szCs w:val="18"/>
                <w:lang w:val="fr-FR"/>
              </w:rPr>
            </w:pPr>
            <w:r w:rsidRPr="00373317">
              <w:rPr>
                <w:sz w:val="18"/>
                <w:szCs w:val="18"/>
                <w:lang w:val="fr-FR"/>
              </w:rPr>
              <w:t>1052</w:t>
            </w:r>
          </w:p>
        </w:tc>
        <w:tc>
          <w:tcPr>
            <w:tcW w:w="5943" w:type="dxa"/>
          </w:tcPr>
          <w:p w14:paraId="507AD00C" w14:textId="77777777" w:rsidR="00E0792D" w:rsidRPr="00373317" w:rsidRDefault="00E0792D" w:rsidP="00E0792D">
            <w:pPr>
              <w:spacing w:line="240" w:lineRule="auto"/>
              <w:rPr>
                <w:sz w:val="18"/>
                <w:szCs w:val="18"/>
                <w:lang w:val="fr-FR"/>
              </w:rPr>
            </w:pPr>
            <w:r w:rsidRPr="00373317">
              <w:rPr>
                <w:sz w:val="18"/>
                <w:szCs w:val="18"/>
                <w:lang w:val="fr-FR"/>
              </w:rPr>
              <w:t>Fluorure d'hydrogène anhydre</w:t>
            </w:r>
          </w:p>
        </w:tc>
        <w:tc>
          <w:tcPr>
            <w:tcW w:w="1617" w:type="dxa"/>
            <w:vMerge w:val="restart"/>
            <w:vAlign w:val="center"/>
          </w:tcPr>
          <w:p w14:paraId="128C2B90" w14:textId="77777777" w:rsidR="00E0792D" w:rsidRPr="00373317" w:rsidRDefault="00E0792D" w:rsidP="00E0792D">
            <w:pPr>
              <w:spacing w:line="240" w:lineRule="auto"/>
              <w:jc w:val="center"/>
              <w:rPr>
                <w:sz w:val="18"/>
                <w:szCs w:val="18"/>
                <w:lang w:val="fr-FR"/>
              </w:rPr>
            </w:pPr>
            <w:r w:rsidRPr="00373317">
              <w:rPr>
                <w:sz w:val="18"/>
                <w:szCs w:val="18"/>
                <w:lang w:val="fr-FR"/>
              </w:rPr>
              <w:t>L21DH</w:t>
            </w:r>
          </w:p>
        </w:tc>
      </w:tr>
      <w:tr w:rsidR="00E0792D" w:rsidRPr="00373317" w14:paraId="6E8D0D29" w14:textId="77777777" w:rsidTr="00E0792D">
        <w:trPr>
          <w:cantSplit/>
          <w:trHeight w:val="20"/>
          <w:jc w:val="center"/>
        </w:trPr>
        <w:tc>
          <w:tcPr>
            <w:tcW w:w="741" w:type="dxa"/>
            <w:vMerge/>
          </w:tcPr>
          <w:p w14:paraId="2DED0572" w14:textId="77777777" w:rsidR="00E0792D" w:rsidRPr="00373317" w:rsidRDefault="00E0792D" w:rsidP="00E0792D">
            <w:pPr>
              <w:spacing w:line="240" w:lineRule="auto"/>
              <w:rPr>
                <w:sz w:val="18"/>
                <w:szCs w:val="18"/>
                <w:lang w:val="fr-FR"/>
              </w:rPr>
            </w:pPr>
          </w:p>
        </w:tc>
        <w:tc>
          <w:tcPr>
            <w:tcW w:w="976" w:type="dxa"/>
          </w:tcPr>
          <w:p w14:paraId="78F6A5CD" w14:textId="77777777" w:rsidR="00E0792D" w:rsidRPr="00373317" w:rsidRDefault="00E0792D" w:rsidP="00E0792D">
            <w:pPr>
              <w:spacing w:line="240" w:lineRule="auto"/>
              <w:jc w:val="center"/>
              <w:rPr>
                <w:sz w:val="18"/>
                <w:szCs w:val="18"/>
                <w:lang w:val="fr-FR"/>
              </w:rPr>
            </w:pPr>
            <w:r w:rsidRPr="00373317">
              <w:rPr>
                <w:sz w:val="18"/>
                <w:szCs w:val="18"/>
                <w:lang w:val="fr-FR"/>
              </w:rPr>
              <w:t>1744</w:t>
            </w:r>
          </w:p>
        </w:tc>
        <w:tc>
          <w:tcPr>
            <w:tcW w:w="5943" w:type="dxa"/>
          </w:tcPr>
          <w:p w14:paraId="29439CF0" w14:textId="77777777" w:rsidR="00E0792D" w:rsidRPr="00373317" w:rsidRDefault="00E0792D" w:rsidP="00E0792D">
            <w:pPr>
              <w:spacing w:line="240" w:lineRule="auto"/>
              <w:rPr>
                <w:sz w:val="18"/>
                <w:szCs w:val="18"/>
                <w:lang w:val="fr-FR"/>
              </w:rPr>
            </w:pPr>
            <w:r w:rsidRPr="00373317">
              <w:rPr>
                <w:sz w:val="18"/>
                <w:szCs w:val="18"/>
                <w:lang w:val="fr-FR"/>
              </w:rPr>
              <w:t xml:space="preserve">Brome ou brome en solution </w:t>
            </w:r>
          </w:p>
        </w:tc>
        <w:tc>
          <w:tcPr>
            <w:tcW w:w="1617" w:type="dxa"/>
            <w:vMerge/>
          </w:tcPr>
          <w:p w14:paraId="21E87995" w14:textId="77777777" w:rsidR="00E0792D" w:rsidRPr="00373317" w:rsidRDefault="00E0792D" w:rsidP="00E0792D">
            <w:pPr>
              <w:spacing w:line="240" w:lineRule="auto"/>
              <w:jc w:val="center"/>
              <w:rPr>
                <w:sz w:val="18"/>
                <w:szCs w:val="18"/>
                <w:lang w:val="fr-FR"/>
              </w:rPr>
            </w:pPr>
          </w:p>
        </w:tc>
      </w:tr>
      <w:tr w:rsidR="00E0792D" w:rsidRPr="00373317" w14:paraId="4F51B71A" w14:textId="77777777" w:rsidTr="00E0792D">
        <w:trPr>
          <w:cantSplit/>
          <w:trHeight w:val="20"/>
          <w:jc w:val="center"/>
        </w:trPr>
        <w:tc>
          <w:tcPr>
            <w:tcW w:w="741" w:type="dxa"/>
            <w:vMerge/>
          </w:tcPr>
          <w:p w14:paraId="343EDB67" w14:textId="77777777" w:rsidR="00E0792D" w:rsidRPr="00373317" w:rsidRDefault="00E0792D" w:rsidP="00E0792D">
            <w:pPr>
              <w:spacing w:line="240" w:lineRule="auto"/>
              <w:rPr>
                <w:sz w:val="18"/>
                <w:szCs w:val="18"/>
                <w:lang w:val="fr-FR"/>
              </w:rPr>
            </w:pPr>
          </w:p>
        </w:tc>
        <w:tc>
          <w:tcPr>
            <w:tcW w:w="976" w:type="dxa"/>
          </w:tcPr>
          <w:p w14:paraId="6A73BB7B" w14:textId="77777777" w:rsidR="00E0792D" w:rsidRPr="00373317" w:rsidRDefault="00E0792D" w:rsidP="00E0792D">
            <w:pPr>
              <w:spacing w:line="240" w:lineRule="auto"/>
              <w:jc w:val="center"/>
              <w:rPr>
                <w:sz w:val="18"/>
                <w:szCs w:val="18"/>
                <w:lang w:val="fr-FR"/>
              </w:rPr>
            </w:pPr>
            <w:r w:rsidRPr="00373317">
              <w:rPr>
                <w:sz w:val="18"/>
                <w:szCs w:val="18"/>
                <w:lang w:val="fr-FR"/>
              </w:rPr>
              <w:t>1790</w:t>
            </w:r>
          </w:p>
        </w:tc>
        <w:tc>
          <w:tcPr>
            <w:tcW w:w="5943" w:type="dxa"/>
          </w:tcPr>
          <w:p w14:paraId="74EC5F4E" w14:textId="77777777" w:rsidR="00E0792D" w:rsidRPr="00373317" w:rsidRDefault="00E0792D" w:rsidP="00E0792D">
            <w:pPr>
              <w:spacing w:line="240" w:lineRule="auto"/>
              <w:rPr>
                <w:sz w:val="18"/>
                <w:szCs w:val="18"/>
                <w:lang w:val="fr-FR"/>
              </w:rPr>
            </w:pPr>
            <w:r w:rsidRPr="00373317">
              <w:rPr>
                <w:sz w:val="18"/>
                <w:szCs w:val="18"/>
                <w:lang w:val="fr-FR"/>
              </w:rPr>
              <w:t>Acide fluorhydrique contenant plus de 85% de fluorure d'hydrogène</w:t>
            </w:r>
          </w:p>
        </w:tc>
        <w:tc>
          <w:tcPr>
            <w:tcW w:w="1617" w:type="dxa"/>
            <w:vMerge/>
          </w:tcPr>
          <w:p w14:paraId="2B113CAE" w14:textId="77777777" w:rsidR="00E0792D" w:rsidRPr="00373317" w:rsidRDefault="00E0792D" w:rsidP="00E0792D">
            <w:pPr>
              <w:spacing w:line="240" w:lineRule="auto"/>
              <w:jc w:val="center"/>
              <w:rPr>
                <w:sz w:val="18"/>
                <w:szCs w:val="18"/>
                <w:lang w:val="fr-FR"/>
              </w:rPr>
            </w:pPr>
          </w:p>
        </w:tc>
      </w:tr>
      <w:tr w:rsidR="00E0792D" w:rsidRPr="00373317" w14:paraId="095D067A" w14:textId="77777777" w:rsidTr="00E0792D">
        <w:trPr>
          <w:cantSplit/>
          <w:trHeight w:val="20"/>
          <w:jc w:val="center"/>
        </w:trPr>
        <w:tc>
          <w:tcPr>
            <w:tcW w:w="741" w:type="dxa"/>
            <w:vMerge/>
          </w:tcPr>
          <w:p w14:paraId="0CEA3CC3" w14:textId="77777777" w:rsidR="00E0792D" w:rsidRPr="00373317" w:rsidRDefault="00E0792D" w:rsidP="00E0792D">
            <w:pPr>
              <w:spacing w:line="240" w:lineRule="auto"/>
              <w:rPr>
                <w:sz w:val="18"/>
                <w:szCs w:val="18"/>
                <w:lang w:val="fr-FR"/>
              </w:rPr>
            </w:pPr>
          </w:p>
        </w:tc>
        <w:tc>
          <w:tcPr>
            <w:tcW w:w="976" w:type="dxa"/>
          </w:tcPr>
          <w:p w14:paraId="1129AFED" w14:textId="77777777" w:rsidR="00E0792D" w:rsidRPr="00373317" w:rsidRDefault="00E0792D" w:rsidP="00E0792D">
            <w:pPr>
              <w:spacing w:line="240" w:lineRule="auto"/>
              <w:jc w:val="center"/>
              <w:rPr>
                <w:sz w:val="18"/>
                <w:szCs w:val="18"/>
                <w:lang w:val="fr-FR"/>
              </w:rPr>
            </w:pPr>
            <w:r w:rsidRPr="00373317">
              <w:rPr>
                <w:sz w:val="18"/>
                <w:szCs w:val="18"/>
                <w:lang w:val="fr-FR"/>
              </w:rPr>
              <w:t>1791</w:t>
            </w:r>
          </w:p>
        </w:tc>
        <w:tc>
          <w:tcPr>
            <w:tcW w:w="5943" w:type="dxa"/>
          </w:tcPr>
          <w:p w14:paraId="074EDB96" w14:textId="77777777" w:rsidR="00E0792D" w:rsidRPr="00373317" w:rsidRDefault="00E0792D" w:rsidP="00E0792D">
            <w:pPr>
              <w:spacing w:line="240" w:lineRule="auto"/>
              <w:rPr>
                <w:sz w:val="18"/>
                <w:szCs w:val="18"/>
                <w:lang w:val="fr-FR"/>
              </w:rPr>
            </w:pPr>
            <w:r w:rsidRPr="00373317">
              <w:rPr>
                <w:sz w:val="18"/>
                <w:szCs w:val="18"/>
                <w:lang w:val="fr-FR"/>
              </w:rPr>
              <w:t>Hypochlorite en solution</w:t>
            </w:r>
          </w:p>
        </w:tc>
        <w:tc>
          <w:tcPr>
            <w:tcW w:w="1617" w:type="dxa"/>
            <w:vMerge w:val="restart"/>
            <w:vAlign w:val="center"/>
          </w:tcPr>
          <w:p w14:paraId="774ABDB7" w14:textId="77777777" w:rsidR="00E0792D" w:rsidRPr="00373317" w:rsidRDefault="00E0792D" w:rsidP="00E0792D">
            <w:pPr>
              <w:spacing w:line="240" w:lineRule="auto"/>
              <w:jc w:val="center"/>
              <w:rPr>
                <w:sz w:val="18"/>
                <w:szCs w:val="18"/>
                <w:lang w:val="fr-FR"/>
              </w:rPr>
            </w:pPr>
            <w:r w:rsidRPr="00373317">
              <w:rPr>
                <w:sz w:val="18"/>
                <w:szCs w:val="18"/>
                <w:lang w:val="fr-FR"/>
              </w:rPr>
              <w:t>L4BV</w:t>
            </w:r>
          </w:p>
        </w:tc>
      </w:tr>
      <w:tr w:rsidR="00E0792D" w:rsidRPr="00373317" w14:paraId="27507E03" w14:textId="77777777" w:rsidTr="00E0792D">
        <w:trPr>
          <w:cantSplit/>
          <w:trHeight w:val="20"/>
          <w:jc w:val="center"/>
        </w:trPr>
        <w:tc>
          <w:tcPr>
            <w:tcW w:w="741" w:type="dxa"/>
            <w:vMerge/>
          </w:tcPr>
          <w:p w14:paraId="50CE2680" w14:textId="77777777" w:rsidR="00E0792D" w:rsidRPr="00373317" w:rsidRDefault="00E0792D" w:rsidP="00E0792D">
            <w:pPr>
              <w:spacing w:line="240" w:lineRule="auto"/>
              <w:rPr>
                <w:sz w:val="18"/>
                <w:szCs w:val="18"/>
                <w:lang w:val="fr-FR"/>
              </w:rPr>
            </w:pPr>
          </w:p>
        </w:tc>
        <w:tc>
          <w:tcPr>
            <w:tcW w:w="976" w:type="dxa"/>
          </w:tcPr>
          <w:p w14:paraId="0FA7CE7A" w14:textId="77777777" w:rsidR="00E0792D" w:rsidRPr="00373317" w:rsidRDefault="00E0792D" w:rsidP="00E0792D">
            <w:pPr>
              <w:spacing w:line="240" w:lineRule="auto"/>
              <w:jc w:val="center"/>
              <w:rPr>
                <w:sz w:val="18"/>
                <w:szCs w:val="18"/>
                <w:lang w:val="fr-FR"/>
              </w:rPr>
            </w:pPr>
            <w:r w:rsidRPr="00373317">
              <w:rPr>
                <w:sz w:val="18"/>
                <w:szCs w:val="18"/>
                <w:lang w:val="fr-FR"/>
              </w:rPr>
              <w:t>1908</w:t>
            </w:r>
          </w:p>
        </w:tc>
        <w:tc>
          <w:tcPr>
            <w:tcW w:w="5943" w:type="dxa"/>
          </w:tcPr>
          <w:p w14:paraId="33A8C6DC" w14:textId="77777777" w:rsidR="00E0792D" w:rsidRPr="00373317" w:rsidRDefault="00E0792D" w:rsidP="00E0792D">
            <w:pPr>
              <w:spacing w:line="240" w:lineRule="auto"/>
              <w:rPr>
                <w:sz w:val="18"/>
                <w:szCs w:val="18"/>
                <w:lang w:val="fr-FR"/>
              </w:rPr>
            </w:pPr>
            <w:r w:rsidRPr="00373317">
              <w:rPr>
                <w:sz w:val="18"/>
                <w:szCs w:val="18"/>
                <w:lang w:val="fr-FR"/>
              </w:rPr>
              <w:t>Chlorite en solution</w:t>
            </w:r>
          </w:p>
        </w:tc>
        <w:tc>
          <w:tcPr>
            <w:tcW w:w="1617" w:type="dxa"/>
            <w:vMerge/>
          </w:tcPr>
          <w:p w14:paraId="6CE1A3A9" w14:textId="77777777" w:rsidR="00E0792D" w:rsidRPr="00373317" w:rsidRDefault="00E0792D" w:rsidP="00E0792D">
            <w:pPr>
              <w:spacing w:line="240" w:lineRule="auto"/>
              <w:rPr>
                <w:sz w:val="18"/>
                <w:szCs w:val="18"/>
                <w:lang w:val="fr-FR"/>
              </w:rPr>
            </w:pPr>
          </w:p>
        </w:tc>
      </w:tr>
    </w:tbl>
    <w:p w14:paraId="13B6C7BB" w14:textId="77777777" w:rsidR="00E0792D" w:rsidRPr="006C3DF2" w:rsidRDefault="00E0792D" w:rsidP="00E0792D">
      <w:pPr>
        <w:pStyle w:val="SingleTxtG"/>
        <w:spacing w:before="120"/>
        <w:rPr>
          <w:i/>
          <w:lang w:val="fr-FR"/>
        </w:rPr>
      </w:pPr>
      <w:r w:rsidRPr="006C3DF2">
        <w:rPr>
          <w:lang w:val="fr-FR"/>
        </w:rPr>
        <w:t>*</w:t>
      </w:r>
      <w:r w:rsidRPr="006C3DF2">
        <w:rPr>
          <w:lang w:val="fr-FR"/>
        </w:rPr>
        <w:tab/>
      </w:r>
      <w:r w:rsidRPr="006C3DF2">
        <w:rPr>
          <w:i/>
          <w:lang w:val="fr-FR"/>
        </w:rPr>
        <w:t>Par dérogation aux prescriptions générales du présent paragraphe, les citernes utilisées pour les matières radioactives, peuvent également être utilisées pour le transport d'autres matières lorsque les prescriptions du 5.1.3.2 sont respectées.</w:t>
      </w:r>
    </w:p>
    <w:p w14:paraId="66191A49" w14:textId="77777777" w:rsidR="00E0792D" w:rsidRPr="006C3DF2" w:rsidRDefault="00E0792D" w:rsidP="00E0792D">
      <w:pPr>
        <w:pStyle w:val="SingleTxtG"/>
        <w:rPr>
          <w:i/>
          <w:iCs/>
          <w:lang w:val="fr-FR"/>
        </w:rPr>
      </w:pPr>
      <w:r w:rsidRPr="006C3DF2">
        <w:rPr>
          <w:i/>
          <w:iCs/>
          <w:lang w:val="fr-FR"/>
        </w:rPr>
        <w:t>(Document de référence: ECE/TRANS/WP15/AC.1/144, annexe II, tel que modifié)</w:t>
      </w:r>
    </w:p>
    <w:p w14:paraId="6C125C0D" w14:textId="77777777" w:rsidR="00E0792D" w:rsidRPr="006C3DF2" w:rsidRDefault="00E0792D" w:rsidP="00520C42">
      <w:pPr>
        <w:pStyle w:val="SingleTxtG"/>
        <w:tabs>
          <w:tab w:val="left" w:pos="2268"/>
        </w:tabs>
        <w:rPr>
          <w:lang w:val="fr-FR"/>
        </w:rPr>
      </w:pPr>
      <w:r w:rsidRPr="006C3DF2">
        <w:rPr>
          <w:lang w:val="fr-FR"/>
        </w:rPr>
        <w:t>4.3.5</w:t>
      </w:r>
      <w:r w:rsidRPr="006C3DF2">
        <w:rPr>
          <w:lang w:val="fr-FR"/>
        </w:rPr>
        <w:tab/>
        <w:t>Ajouter la nouvelle disposition spéciale suivante:</w:t>
      </w:r>
    </w:p>
    <w:p w14:paraId="17625064" w14:textId="21597F98" w:rsidR="00E0792D" w:rsidRPr="006C3DF2" w:rsidRDefault="00E0792D" w:rsidP="00520C42">
      <w:pPr>
        <w:pStyle w:val="SingleTxtG"/>
        <w:tabs>
          <w:tab w:val="left" w:pos="2268"/>
        </w:tabs>
        <w:rPr>
          <w:lang w:val="fr-FR"/>
        </w:rPr>
      </w:pPr>
      <w:r w:rsidRPr="006C3DF2">
        <w:rPr>
          <w:lang w:val="fr-FR"/>
        </w:rPr>
        <w:t>«TU42</w:t>
      </w:r>
      <w:r w:rsidR="00520C42">
        <w:rPr>
          <w:lang w:val="fr-FR"/>
        </w:rPr>
        <w:tab/>
      </w:r>
      <w:r w:rsidRPr="006C3DF2">
        <w:rPr>
          <w:lang w:val="fr-FR"/>
        </w:rPr>
        <w:tab/>
        <w:t>Les citernes dont le réservoir est construit en alliage d’aluminium, y compris celles équipées d’un revêtement protecteur, ne peuvent être utilisées que si le pH de la matière n’est pas inférieur à 5,0 et n’est pas supérieur à 8,0.».</w:t>
      </w:r>
    </w:p>
    <w:p w14:paraId="31B2D4EF" w14:textId="77777777" w:rsidR="00E0792D" w:rsidRPr="006C3DF2" w:rsidRDefault="00E0792D" w:rsidP="00E0792D">
      <w:pPr>
        <w:pStyle w:val="SingleTxtG"/>
        <w:rPr>
          <w:i/>
          <w:lang w:val="fr-FR"/>
        </w:rPr>
      </w:pPr>
      <w:r w:rsidRPr="006C3DF2">
        <w:rPr>
          <w:i/>
          <w:iCs/>
          <w:lang w:val="fr-FR"/>
        </w:rPr>
        <w:t>(Document de référence: ECE/TRANS/WP15/AC.1/144, annexe II)</w:t>
      </w:r>
    </w:p>
    <w:p w14:paraId="349FAF0A" w14:textId="77777777" w:rsidR="00E0792D" w:rsidRPr="00E0792D" w:rsidRDefault="00E0792D" w:rsidP="00E0792D">
      <w:pPr>
        <w:pStyle w:val="H1G"/>
      </w:pPr>
      <w:r w:rsidRPr="00E0792D">
        <w:tab/>
      </w:r>
      <w:r w:rsidRPr="00E0792D">
        <w:tab/>
        <w:t>Chapter 5.3</w:t>
      </w:r>
    </w:p>
    <w:p w14:paraId="6D0AE0C8" w14:textId="77777777" w:rsidR="00E0792D" w:rsidRPr="006C3DF2" w:rsidRDefault="00E0792D" w:rsidP="00E0792D">
      <w:pPr>
        <w:pStyle w:val="SingleTxtG"/>
        <w:rPr>
          <w:iCs/>
          <w:lang w:val="fr-FR"/>
        </w:rPr>
      </w:pPr>
      <w:r w:rsidRPr="006C3DF2">
        <w:rPr>
          <w:iCs/>
          <w:lang w:val="fr-FR"/>
        </w:rPr>
        <w:t>5.3.2.1.4</w:t>
      </w:r>
      <w:r w:rsidRPr="006C3DF2">
        <w:rPr>
          <w:iCs/>
          <w:lang w:val="fr-FR"/>
        </w:rPr>
        <w:tab/>
        <w:t>Remplacer «unités de transport» par «véhicules» et «unité de transport» par «véhicule» partout où le terme apparaît.</w:t>
      </w:r>
    </w:p>
    <w:p w14:paraId="555E43CE" w14:textId="77777777" w:rsidR="00E0792D" w:rsidRPr="006C3DF2" w:rsidRDefault="00E0792D" w:rsidP="00E0792D">
      <w:pPr>
        <w:pStyle w:val="SingleTxtG"/>
        <w:rPr>
          <w:i/>
          <w:lang w:val="fr-FR"/>
        </w:rPr>
      </w:pPr>
      <w:r w:rsidRPr="006C3DF2">
        <w:rPr>
          <w:i/>
          <w:lang w:val="fr-FR"/>
        </w:rPr>
        <w:t>(Document de référence: ECE/TRANS/WP.15/2017/10, tel que modifié)</w:t>
      </w:r>
    </w:p>
    <w:p w14:paraId="1C5C0616" w14:textId="6C44C3F3" w:rsidR="00E0792D" w:rsidRPr="006C3DF2" w:rsidRDefault="00E0792D" w:rsidP="00E0792D">
      <w:pPr>
        <w:pStyle w:val="SingleTxtG"/>
        <w:rPr>
          <w:lang w:val="fr-FR"/>
        </w:rPr>
      </w:pPr>
      <w:r w:rsidRPr="006C3DF2">
        <w:rPr>
          <w:lang w:val="fr-FR"/>
        </w:rPr>
        <w:t>5.3.2.1.6</w:t>
      </w:r>
      <w:r w:rsidRPr="006C3DF2">
        <w:rPr>
          <w:lang w:val="fr-FR"/>
        </w:rPr>
        <w:tab/>
        <w:t>Modifier pour lire comme suit:</w:t>
      </w:r>
    </w:p>
    <w:p w14:paraId="11624214" w14:textId="77777777" w:rsidR="00E0792D" w:rsidRPr="006C3DF2" w:rsidRDefault="00E0792D" w:rsidP="00E0792D">
      <w:pPr>
        <w:pStyle w:val="SingleTxtG"/>
        <w:rPr>
          <w:lang w:val="fr-FR"/>
        </w:rPr>
      </w:pPr>
      <w:r w:rsidRPr="006C3DF2">
        <w:rPr>
          <w:lang w:val="fr-FR"/>
        </w:rPr>
        <w:t xml:space="preserve">[«Pour les unités de transport qui ne </w:t>
      </w:r>
      <w:proofErr w:type="gramStart"/>
      <w:r w:rsidRPr="006C3DF2">
        <w:rPr>
          <w:lang w:val="fr-FR"/>
        </w:rPr>
        <w:t>transportent:</w:t>
      </w:r>
      <w:proofErr w:type="gramEnd"/>
      <w:r w:rsidRPr="006C3DF2">
        <w:rPr>
          <w:lang w:val="fr-FR"/>
        </w:rPr>
        <w:t xml:space="preserve"> </w:t>
      </w:r>
    </w:p>
    <w:p w14:paraId="018DA2B5" w14:textId="77777777" w:rsidR="00E0792D" w:rsidRPr="006C3DF2" w:rsidRDefault="00E0792D" w:rsidP="00E0792D">
      <w:pPr>
        <w:pStyle w:val="SingleTxtG"/>
        <w:rPr>
          <w:lang w:val="fr-FR"/>
        </w:rPr>
      </w:pPr>
      <w:r w:rsidRPr="006C3DF2">
        <w:rPr>
          <w:lang w:val="fr-FR"/>
        </w:rPr>
        <w:t xml:space="preserve">- qu’une seule matière dangereuse, nécessitant l’apposition de panneaux orange; et </w:t>
      </w:r>
    </w:p>
    <w:p w14:paraId="31A79807" w14:textId="251E2B27" w:rsidR="00E0792D" w:rsidRDefault="00E0792D" w:rsidP="00E0792D">
      <w:pPr>
        <w:pStyle w:val="SingleTxtG"/>
        <w:rPr>
          <w:lang w:val="fr-FR"/>
        </w:rPr>
      </w:pPr>
      <w:r w:rsidRPr="006C3DF2">
        <w:rPr>
          <w:lang w:val="fr-FR"/>
        </w:rPr>
        <w:t>- aucune matière non dangereuse dans des citernes fixes, des citernes portables, des citernes démontables, des conteneurs-citernes, des CGEM, ou en vrac</w:t>
      </w:r>
      <w:r>
        <w:rPr>
          <w:lang w:val="fr-FR"/>
        </w:rPr>
        <w:t>;</w:t>
      </w:r>
    </w:p>
    <w:p w14:paraId="058006B6" w14:textId="116A43F9" w:rsidR="00E0792D" w:rsidRPr="006C3DF2" w:rsidRDefault="00E0792D" w:rsidP="00E0792D">
      <w:pPr>
        <w:pStyle w:val="SingleTxtG"/>
        <w:rPr>
          <w:lang w:val="fr-FR"/>
        </w:rPr>
      </w:pPr>
      <w:proofErr w:type="gramStart"/>
      <w:r w:rsidRPr="006C3DF2">
        <w:rPr>
          <w:color w:val="000000"/>
          <w:lang w:val="fr-FR"/>
        </w:rPr>
        <w:t>les</w:t>
      </w:r>
      <w:proofErr w:type="gramEnd"/>
      <w:r w:rsidRPr="006C3DF2">
        <w:rPr>
          <w:color w:val="000000"/>
          <w:lang w:val="fr-FR"/>
        </w:rPr>
        <w:t xml:space="preserve"> panneaux orange prescrits aux 5.3.2.1.2, …».</w:t>
      </w:r>
      <w:r w:rsidRPr="006C3DF2">
        <w:rPr>
          <w:lang w:val="fr-FR"/>
        </w:rPr>
        <w:t>]</w:t>
      </w:r>
    </w:p>
    <w:p w14:paraId="1B8E1BA5" w14:textId="77777777" w:rsidR="00E0792D" w:rsidRPr="006C3DF2" w:rsidRDefault="00E0792D" w:rsidP="00E0792D">
      <w:pPr>
        <w:pStyle w:val="SingleTxtG"/>
        <w:rPr>
          <w:i/>
          <w:iCs/>
          <w:lang w:val="fr-FR"/>
        </w:rPr>
      </w:pPr>
      <w:r w:rsidRPr="006C3DF2">
        <w:rPr>
          <w:i/>
          <w:iCs/>
          <w:lang w:val="fr-FR"/>
        </w:rPr>
        <w:t>(Document de référence: ECE/TRANS/WP.15/2017/10, tel que modifié)</w:t>
      </w:r>
    </w:p>
    <w:p w14:paraId="35C74885" w14:textId="27F88975" w:rsidR="00E0792D" w:rsidRPr="00E0792D" w:rsidRDefault="00E0792D" w:rsidP="00E0792D">
      <w:pPr>
        <w:pStyle w:val="H1G"/>
      </w:pPr>
      <w:r>
        <w:tab/>
      </w:r>
      <w:r>
        <w:tab/>
      </w:r>
      <w:r w:rsidRPr="00E0792D">
        <w:t>Chapter 5.4</w:t>
      </w:r>
    </w:p>
    <w:p w14:paraId="3935E1A8" w14:textId="23BA3B16" w:rsidR="00E0792D" w:rsidRPr="006C3DF2" w:rsidRDefault="00E0792D" w:rsidP="00E0792D">
      <w:pPr>
        <w:pStyle w:val="ParNoG"/>
        <w:numPr>
          <w:ilvl w:val="0"/>
          <w:numId w:val="0"/>
        </w:numPr>
        <w:kinsoku w:val="0"/>
        <w:overflowPunct w:val="0"/>
        <w:autoSpaceDE w:val="0"/>
        <w:autoSpaceDN w:val="0"/>
        <w:adjustRightInd w:val="0"/>
        <w:snapToGrid w:val="0"/>
        <w:ind w:left="1134"/>
        <w:rPr>
          <w:lang w:val="fr-FR"/>
        </w:rPr>
      </w:pPr>
      <w:r>
        <w:rPr>
          <w:lang w:val="fr-FR"/>
        </w:rPr>
        <w:t xml:space="preserve">5.4.1.1.1 </w:t>
      </w:r>
      <w:r w:rsidRPr="006C3DF2">
        <w:rPr>
          <w:lang w:val="fr-FR"/>
        </w:rPr>
        <w:t>f)</w:t>
      </w:r>
      <w:r w:rsidRPr="006C3DF2">
        <w:rPr>
          <w:lang w:val="fr-FR"/>
        </w:rPr>
        <w:tab/>
        <w:t>Modifier le NOTA 1 comme suit:</w:t>
      </w:r>
    </w:p>
    <w:p w14:paraId="631EC930" w14:textId="6D0E5596" w:rsidR="00E0792D" w:rsidRPr="006C3DF2" w:rsidRDefault="00E0792D" w:rsidP="00E0792D">
      <w:pPr>
        <w:pStyle w:val="SingleTxtG"/>
        <w:rPr>
          <w:i/>
          <w:iCs/>
          <w:lang w:val="fr-FR"/>
        </w:rPr>
      </w:pPr>
      <w:r w:rsidRPr="006C3DF2">
        <w:rPr>
          <w:i/>
          <w:iCs/>
          <w:lang w:val="fr-FR"/>
        </w:rPr>
        <w:t>«</w:t>
      </w:r>
      <w:r w:rsidRPr="006C3DF2">
        <w:rPr>
          <w:b/>
          <w:bCs/>
          <w:i/>
          <w:iCs/>
          <w:lang w:val="fr-FR"/>
        </w:rPr>
        <w:t xml:space="preserve">NOTA </w:t>
      </w:r>
      <w:proofErr w:type="gramStart"/>
      <w:r w:rsidRPr="006C3DF2">
        <w:rPr>
          <w:b/>
          <w:bCs/>
          <w:i/>
          <w:iCs/>
          <w:lang w:val="fr-FR"/>
        </w:rPr>
        <w:t>1</w:t>
      </w:r>
      <w:r w:rsidRPr="006C3DF2">
        <w:rPr>
          <w:b/>
          <w:i/>
          <w:iCs/>
          <w:lang w:val="fr-FR"/>
        </w:rPr>
        <w:t>:</w:t>
      </w:r>
      <w:proofErr w:type="gramEnd"/>
      <w:r w:rsidRPr="006C3DF2">
        <w:rPr>
          <w:b/>
          <w:i/>
          <w:iCs/>
          <w:lang w:val="fr-FR"/>
        </w:rPr>
        <w:t xml:space="preserve"> </w:t>
      </w:r>
      <w:r w:rsidRPr="006C3DF2">
        <w:rPr>
          <w:i/>
          <w:iCs/>
          <w:lang w:val="fr-FR"/>
        </w:rPr>
        <w:t xml:space="preserve">Dans le cas où il est envisagé d’appliquer </w:t>
      </w:r>
      <w:r w:rsidR="006E3B57">
        <w:rPr>
          <w:i/>
          <w:iCs/>
          <w:lang w:val="fr-FR"/>
        </w:rPr>
        <w:t>le</w:t>
      </w:r>
      <w:r w:rsidRPr="006C3DF2">
        <w:rPr>
          <w:i/>
          <w:iCs/>
          <w:lang w:val="fr-FR"/>
        </w:rPr>
        <w:t xml:space="preserve"> 1.1.3.6, la quantité totale et la valeur calculée des marchandises dangereuses pour chaque catégorie de transport doivent être indiquées dans le document de transport conformément aux 1.1.3.6.3 et 1.1.3.6.4.».</w:t>
      </w:r>
    </w:p>
    <w:p w14:paraId="2F192A81" w14:textId="77777777" w:rsidR="00E0792D" w:rsidRPr="006C3DF2" w:rsidRDefault="00E0792D" w:rsidP="00E0792D">
      <w:pPr>
        <w:pStyle w:val="SingleTxtG"/>
        <w:rPr>
          <w:i/>
          <w:lang w:val="fr-FR"/>
        </w:rPr>
      </w:pPr>
      <w:r w:rsidRPr="006C3DF2">
        <w:rPr>
          <w:i/>
          <w:lang w:val="fr-FR"/>
        </w:rPr>
        <w:t>(Document de référence: ECE/TRANS/WP.15/2017/5, proposition 2, telle que modifiée)</w:t>
      </w:r>
    </w:p>
    <w:p w14:paraId="73805833" w14:textId="77777777" w:rsidR="00E0792D" w:rsidRPr="00E0792D" w:rsidRDefault="00E0792D" w:rsidP="00E0792D">
      <w:pPr>
        <w:pStyle w:val="H1G"/>
      </w:pPr>
      <w:r w:rsidRPr="00E0792D">
        <w:tab/>
      </w:r>
      <w:r w:rsidRPr="00E0792D">
        <w:tab/>
        <w:t>Chapter 6.2</w:t>
      </w:r>
    </w:p>
    <w:p w14:paraId="1DC4855B" w14:textId="77777777" w:rsidR="00E0792D" w:rsidRPr="006C3DF2" w:rsidRDefault="00E0792D" w:rsidP="00E0792D">
      <w:pPr>
        <w:pStyle w:val="SingleTxtG"/>
        <w:rPr>
          <w:lang w:val="fr-FR"/>
        </w:rPr>
      </w:pPr>
      <w:r w:rsidRPr="006C3DF2">
        <w:rPr>
          <w:lang w:val="fr-FR"/>
        </w:rPr>
        <w:t>6.2.3.9.6</w:t>
      </w:r>
      <w:r w:rsidRPr="006C3DF2">
        <w:rPr>
          <w:lang w:val="fr-FR"/>
        </w:rPr>
        <w:tab/>
        <w:t>Après «sur la bouteille», ajouter «ou le fût à pression».</w:t>
      </w:r>
    </w:p>
    <w:p w14:paraId="173CAC08"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0DA07CAF" w14:textId="7A92D191" w:rsidR="00E0792D" w:rsidRPr="006C3DF2" w:rsidRDefault="00E0792D" w:rsidP="00E0792D">
      <w:pPr>
        <w:pStyle w:val="SingleTxtG"/>
        <w:rPr>
          <w:lang w:val="fr-FR"/>
        </w:rPr>
      </w:pPr>
      <w:r w:rsidRPr="006C3DF2">
        <w:rPr>
          <w:lang w:val="fr-FR"/>
        </w:rPr>
        <w:t>6.2.4.1</w:t>
      </w:r>
      <w:r w:rsidRPr="006C3DF2">
        <w:rPr>
          <w:lang w:val="fr-FR"/>
        </w:rPr>
        <w:tab/>
      </w:r>
      <w:r w:rsidR="00E73877">
        <w:rPr>
          <w:lang w:val="fr-FR"/>
        </w:rPr>
        <w:tab/>
      </w:r>
      <w:r w:rsidRPr="006C3DF2">
        <w:rPr>
          <w:lang w:val="fr-FR"/>
        </w:rPr>
        <w:t xml:space="preserve">Dans le tableau, sous «Pour la conception et la fabrication», pour «EN ISO 11120:1999 + </w:t>
      </w:r>
      <w:proofErr w:type="gramStart"/>
      <w:r w:rsidRPr="006C3DF2">
        <w:rPr>
          <w:lang w:val="fr-FR"/>
        </w:rPr>
        <w:t>A1:</w:t>
      </w:r>
      <w:proofErr w:type="gramEnd"/>
      <w:r w:rsidRPr="006C3DF2">
        <w:rPr>
          <w:lang w:val="fr-FR"/>
        </w:rPr>
        <w:t xml:space="preserve">2013», dans la colonne (4), remplacer «Jusqu’à nouvel ordre» par «Entre </w:t>
      </w:r>
      <w:r w:rsidRPr="006C3DF2">
        <w:rPr>
          <w:lang w:val="fr-FR"/>
        </w:rPr>
        <w:lastRenderedPageBreak/>
        <w:t xml:space="preserve">le 1er janvier 2015 et le 31 décembre 2020». Après la ligne pour «EN ISO 11120:1999 + </w:t>
      </w:r>
      <w:proofErr w:type="gramStart"/>
      <w:r w:rsidRPr="006C3DF2">
        <w:rPr>
          <w:lang w:val="fr-FR"/>
        </w:rPr>
        <w:t>A1:</w:t>
      </w:r>
      <w:proofErr w:type="gramEnd"/>
      <w:r w:rsidRPr="006C3DF2">
        <w:rPr>
          <w:lang w:val="fr-FR"/>
        </w:rPr>
        <w:t>2013», ajouter la nouvelle ligne suivante:</w:t>
      </w:r>
    </w:p>
    <w:tbl>
      <w:tblPr>
        <w:tblW w:w="7371"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50"/>
        <w:gridCol w:w="3285"/>
        <w:gridCol w:w="1430"/>
        <w:gridCol w:w="1306"/>
      </w:tblGrid>
      <w:tr w:rsidR="00E0792D" w:rsidRPr="006C3DF2" w14:paraId="47EB9DC3" w14:textId="77777777" w:rsidTr="00E73877">
        <w:tc>
          <w:tcPr>
            <w:tcW w:w="1417" w:type="dxa"/>
            <w:shd w:val="clear" w:color="auto" w:fill="auto"/>
          </w:tcPr>
          <w:p w14:paraId="60DC0DE1" w14:textId="77777777" w:rsidR="00E0792D" w:rsidRPr="006C3DF2" w:rsidRDefault="00E0792D" w:rsidP="00E0792D">
            <w:pPr>
              <w:keepNext/>
              <w:spacing w:before="60" w:after="60"/>
              <w:ind w:hanging="22"/>
              <w:rPr>
                <w:bCs/>
                <w:lang w:val="fr-FR"/>
              </w:rPr>
            </w:pPr>
            <w:r w:rsidRPr="006C3DF2">
              <w:rPr>
                <w:bCs/>
                <w:lang w:val="fr-FR"/>
              </w:rPr>
              <w:t>EN ISO 11120:2015</w:t>
            </w:r>
          </w:p>
        </w:tc>
        <w:tc>
          <w:tcPr>
            <w:tcW w:w="3459" w:type="dxa"/>
            <w:shd w:val="clear" w:color="auto" w:fill="auto"/>
          </w:tcPr>
          <w:p w14:paraId="750D5570" w14:textId="77777777" w:rsidR="00E0792D" w:rsidRPr="006C3DF2" w:rsidRDefault="00E0792D" w:rsidP="00E0792D">
            <w:pPr>
              <w:keepNext/>
              <w:spacing w:before="60" w:after="60"/>
              <w:ind w:hanging="22"/>
              <w:rPr>
                <w:bCs/>
                <w:lang w:val="fr-FR"/>
              </w:rPr>
            </w:pPr>
            <w:r w:rsidRPr="006C3DF2">
              <w:rPr>
                <w:bCs/>
                <w:lang w:val="fr-FR"/>
              </w:rPr>
              <w:t>Bouteilles à gaz - Tubes en acier sans soudures rechargeables d'une contenance en eau de 150 litres à 3 000 litres - Conception, construction et essais</w:t>
            </w:r>
          </w:p>
        </w:tc>
        <w:tc>
          <w:tcPr>
            <w:tcW w:w="1502" w:type="dxa"/>
            <w:shd w:val="clear" w:color="auto" w:fill="auto"/>
          </w:tcPr>
          <w:p w14:paraId="1B93AEB0" w14:textId="77777777" w:rsidR="00E0792D" w:rsidRPr="006C3DF2" w:rsidRDefault="00E0792D" w:rsidP="00E0792D">
            <w:pPr>
              <w:spacing w:before="60" w:after="60" w:line="240" w:lineRule="auto"/>
              <w:jc w:val="center"/>
              <w:rPr>
                <w:bCs/>
                <w:lang w:val="fr-FR"/>
              </w:rPr>
            </w:pPr>
            <w:r w:rsidRPr="006C3DF2">
              <w:rPr>
                <w:bCs/>
                <w:lang w:val="fr-FR"/>
              </w:rPr>
              <w:t>6.2.3.1 et 6.2.3.4</w:t>
            </w:r>
          </w:p>
        </w:tc>
        <w:tc>
          <w:tcPr>
            <w:tcW w:w="1371" w:type="dxa"/>
            <w:shd w:val="clear" w:color="auto" w:fill="auto"/>
          </w:tcPr>
          <w:p w14:paraId="0BA1594D" w14:textId="77777777" w:rsidR="00E0792D" w:rsidRPr="006C3DF2" w:rsidRDefault="00E0792D" w:rsidP="00E0792D">
            <w:pPr>
              <w:spacing w:before="60" w:after="60" w:line="240" w:lineRule="auto"/>
              <w:jc w:val="center"/>
              <w:rPr>
                <w:lang w:val="fr-FR"/>
              </w:rPr>
            </w:pPr>
            <w:r w:rsidRPr="006C3DF2">
              <w:rPr>
                <w:lang w:val="fr-FR"/>
              </w:rPr>
              <w:t>Jusqu’à nouvel ordre</w:t>
            </w:r>
          </w:p>
        </w:tc>
      </w:tr>
    </w:tbl>
    <w:p w14:paraId="351023EC"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0DF29A7D" w14:textId="3DCF2F7D" w:rsidR="00E0792D" w:rsidRPr="006C3DF2" w:rsidRDefault="00E0792D" w:rsidP="00E0792D">
      <w:pPr>
        <w:pStyle w:val="SingleTxtG"/>
        <w:rPr>
          <w:b/>
          <w:lang w:val="fr-FR"/>
        </w:rPr>
      </w:pPr>
      <w:r w:rsidRPr="006C3DF2">
        <w:rPr>
          <w:lang w:val="fr-FR"/>
        </w:rPr>
        <w:t>6.2.4.1</w:t>
      </w:r>
      <w:r w:rsidRPr="006C3DF2">
        <w:rPr>
          <w:lang w:val="fr-FR"/>
        </w:rPr>
        <w:tab/>
      </w:r>
      <w:r w:rsidR="00E73877">
        <w:rPr>
          <w:lang w:val="fr-FR"/>
        </w:rPr>
        <w:tab/>
      </w:r>
      <w:r w:rsidRPr="006C3DF2">
        <w:rPr>
          <w:rFonts w:cs="Arial"/>
          <w:szCs w:val="22"/>
          <w:lang w:val="fr-FR"/>
        </w:rPr>
        <w:t>Dans</w:t>
      </w:r>
      <w:r w:rsidRPr="006C3DF2">
        <w:rPr>
          <w:lang w:val="fr-FR"/>
        </w:rPr>
        <w:t xml:space="preserve"> le tableau, sous «pour la conception et la fabrication</w:t>
      </w:r>
      <w:proofErr w:type="gramStart"/>
      <w:r w:rsidRPr="006C3DF2">
        <w:rPr>
          <w:lang w:val="fr-FR"/>
        </w:rPr>
        <w:t>»:</w:t>
      </w:r>
      <w:proofErr w:type="gramEnd"/>
    </w:p>
    <w:p w14:paraId="2F1D6ED3" w14:textId="77777777" w:rsidR="00E0792D" w:rsidRPr="006C3DF2" w:rsidRDefault="00E0792D" w:rsidP="00E0792D">
      <w:pPr>
        <w:pStyle w:val="SingleTxtG"/>
        <w:rPr>
          <w:rFonts w:cs="Arial"/>
          <w:bCs/>
          <w:szCs w:val="22"/>
          <w:lang w:val="fr-FR"/>
        </w:rPr>
      </w:pPr>
      <w:r w:rsidRPr="006C3DF2">
        <w:rPr>
          <w:lang w:val="fr-FR"/>
        </w:rPr>
        <w:t>–</w:t>
      </w:r>
      <w:r w:rsidRPr="006C3DF2">
        <w:rPr>
          <w:lang w:val="fr-FR"/>
        </w:rPr>
        <w:tab/>
        <w:t>Pour</w:t>
      </w:r>
      <w:r w:rsidRPr="006C3DF2">
        <w:rPr>
          <w:rFonts w:cs="Arial"/>
          <w:bCs/>
          <w:szCs w:val="22"/>
          <w:lang w:val="fr-FR"/>
        </w:rPr>
        <w:t xml:space="preserve"> la norme «</w:t>
      </w:r>
      <w:r w:rsidRPr="006C3DF2">
        <w:rPr>
          <w:lang w:val="fr-FR"/>
        </w:rPr>
        <w:t>EN </w:t>
      </w:r>
      <w:r w:rsidRPr="006C3DF2">
        <w:rPr>
          <w:rFonts w:cs="Arial"/>
          <w:szCs w:val="22"/>
          <w:lang w:val="fr-FR"/>
        </w:rPr>
        <w:t>1251</w:t>
      </w:r>
      <w:r w:rsidRPr="006C3DF2">
        <w:rPr>
          <w:rFonts w:cs="Arial"/>
          <w:bCs/>
          <w:szCs w:val="22"/>
          <w:lang w:val="fr-FR"/>
        </w:rPr>
        <w:t>-</w:t>
      </w:r>
      <w:proofErr w:type="gramStart"/>
      <w:r w:rsidRPr="006C3DF2">
        <w:rPr>
          <w:rFonts w:cs="Arial"/>
          <w:bCs/>
          <w:szCs w:val="22"/>
          <w:lang w:val="fr-FR"/>
        </w:rPr>
        <w:t>2:</w:t>
      </w:r>
      <w:proofErr w:type="gramEnd"/>
      <w:r w:rsidRPr="006C3DF2">
        <w:rPr>
          <w:rFonts w:cs="Arial"/>
          <w:bCs/>
          <w:szCs w:val="22"/>
          <w:lang w:val="fr-FR"/>
        </w:rPr>
        <w:t xml:space="preserve">2000», modifier le nota figurant dans la colonne (2) pour lire comme suit: </w:t>
      </w:r>
    </w:p>
    <w:p w14:paraId="17315E16" w14:textId="77777777" w:rsidR="00E0792D" w:rsidRPr="006C3DF2" w:rsidRDefault="00E0792D" w:rsidP="00E0792D">
      <w:pPr>
        <w:pStyle w:val="SingleTxtG"/>
        <w:rPr>
          <w:rFonts w:cs="Arial"/>
          <w:szCs w:val="22"/>
          <w:lang w:val="fr-FR"/>
        </w:rPr>
      </w:pPr>
      <w:r w:rsidRPr="006C3DF2">
        <w:rPr>
          <w:rFonts w:cs="Arial"/>
          <w:szCs w:val="22"/>
          <w:lang w:val="fr-FR"/>
        </w:rPr>
        <w:t>«</w:t>
      </w:r>
      <w:proofErr w:type="gramStart"/>
      <w:r w:rsidRPr="006C3DF2">
        <w:rPr>
          <w:b/>
          <w:bCs/>
          <w:i/>
          <w:lang w:val="fr-FR"/>
        </w:rPr>
        <w:t>NOTA:</w:t>
      </w:r>
      <w:proofErr w:type="gramEnd"/>
      <w:r w:rsidRPr="006C3DF2">
        <w:rPr>
          <w:i/>
          <w:lang w:val="fr-FR"/>
        </w:rPr>
        <w:tab/>
        <w:t xml:space="preserve">Les </w:t>
      </w:r>
      <w:r w:rsidRPr="006C3DF2">
        <w:rPr>
          <w:rFonts w:cs="Arial"/>
          <w:i/>
          <w:szCs w:val="22"/>
          <w:lang w:val="fr-FR"/>
        </w:rPr>
        <w:t>normes</w:t>
      </w:r>
      <w:r w:rsidRPr="006C3DF2">
        <w:rPr>
          <w:i/>
          <w:lang w:val="fr-FR"/>
        </w:rPr>
        <w:t xml:space="preserve"> EN 1252-1:1998 et EN 1626 auxquelles il est fait référence dans cette norme sont également applicables aux récipients cryogéniques fermés pour le transport du No ONU 1972 (MÉTHANE LIQUIDE RÉFRIGÉRÉ ou GAZ NATUREL LIQUIDE RÉFRIGÉRÉ).</w:t>
      </w:r>
      <w:r w:rsidRPr="006C3DF2">
        <w:rPr>
          <w:rFonts w:cs="Arial"/>
          <w:szCs w:val="22"/>
          <w:lang w:val="fr-FR"/>
        </w:rPr>
        <w:t>».</w:t>
      </w:r>
    </w:p>
    <w:p w14:paraId="5BF325C4" w14:textId="77777777" w:rsidR="00E0792D" w:rsidRPr="006C3DF2" w:rsidRDefault="00E0792D" w:rsidP="00E0792D">
      <w:pPr>
        <w:pStyle w:val="SingleTxtG"/>
        <w:rPr>
          <w:lang w:val="fr-FR"/>
        </w:rPr>
      </w:pPr>
      <w:r w:rsidRPr="006C3DF2">
        <w:rPr>
          <w:i/>
          <w:iCs/>
          <w:lang w:val="fr-FR"/>
        </w:rPr>
        <w:t>(Document de référence: ECE/TRANS/WP15/AC.1/146, annexe II)</w:t>
      </w:r>
    </w:p>
    <w:p w14:paraId="19FCBDC0" w14:textId="53B55494" w:rsidR="00E0792D" w:rsidRPr="006C3DF2" w:rsidRDefault="00E73877" w:rsidP="00E0792D">
      <w:pPr>
        <w:pStyle w:val="SingleTxtG"/>
        <w:rPr>
          <w:rFonts w:cs="Arial"/>
          <w:szCs w:val="22"/>
          <w:lang w:val="fr-FR"/>
        </w:rPr>
      </w:pPr>
      <w:r>
        <w:rPr>
          <w:rFonts w:cs="Arial"/>
          <w:szCs w:val="22"/>
          <w:lang w:val="fr-FR"/>
        </w:rPr>
        <w:t>6.2.4.1</w:t>
      </w:r>
      <w:r>
        <w:rPr>
          <w:rFonts w:cs="Arial"/>
          <w:szCs w:val="22"/>
          <w:lang w:val="fr-FR"/>
        </w:rPr>
        <w:tab/>
      </w:r>
      <w:r>
        <w:rPr>
          <w:rFonts w:cs="Arial"/>
          <w:szCs w:val="22"/>
          <w:lang w:val="fr-FR"/>
        </w:rPr>
        <w:tab/>
      </w:r>
      <w:r w:rsidR="00E0792D" w:rsidRPr="006C3DF2">
        <w:rPr>
          <w:rFonts w:cs="Arial"/>
          <w:szCs w:val="22"/>
          <w:lang w:val="fr-FR"/>
        </w:rPr>
        <w:t>Dans</w:t>
      </w:r>
      <w:r w:rsidR="00E0792D" w:rsidRPr="006C3DF2">
        <w:rPr>
          <w:lang w:val="fr-FR"/>
        </w:rPr>
        <w:t xml:space="preserve"> le tableau, sous «</w:t>
      </w:r>
      <w:r w:rsidR="00E0792D" w:rsidRPr="006C3DF2">
        <w:rPr>
          <w:i/>
          <w:lang w:val="fr-FR"/>
        </w:rPr>
        <w:t>pour les fermetures</w:t>
      </w:r>
      <w:proofErr w:type="gramStart"/>
      <w:r w:rsidR="00E0792D" w:rsidRPr="006C3DF2">
        <w:rPr>
          <w:lang w:val="fr-FR"/>
        </w:rPr>
        <w:t>»:</w:t>
      </w:r>
      <w:proofErr w:type="gramEnd"/>
    </w:p>
    <w:p w14:paraId="100837A9" w14:textId="77777777" w:rsidR="00E0792D" w:rsidRPr="006C3DF2" w:rsidRDefault="00E0792D" w:rsidP="00E0792D">
      <w:pPr>
        <w:pStyle w:val="SingleTxtG"/>
        <w:rPr>
          <w:bCs/>
          <w:lang w:val="fr-FR"/>
        </w:rPr>
      </w:pPr>
      <w:r w:rsidRPr="006C3DF2">
        <w:rPr>
          <w:lang w:val="fr-FR"/>
        </w:rPr>
        <w:t>–</w:t>
      </w:r>
      <w:r w:rsidRPr="006C3DF2">
        <w:rPr>
          <w:lang w:val="fr-FR"/>
        </w:rPr>
        <w:tab/>
      </w:r>
      <w:r w:rsidRPr="006C3DF2">
        <w:rPr>
          <w:rFonts w:cs="Arial"/>
          <w:szCs w:val="22"/>
          <w:lang w:val="fr-FR"/>
        </w:rPr>
        <w:t>Pour</w:t>
      </w:r>
      <w:r w:rsidRPr="006C3DF2">
        <w:rPr>
          <w:rFonts w:cs="Arial"/>
          <w:bCs/>
          <w:szCs w:val="22"/>
          <w:lang w:val="fr-FR"/>
        </w:rPr>
        <w:t xml:space="preserve"> la norme «EN ISO 10297:</w:t>
      </w:r>
      <w:r w:rsidRPr="006C3DF2">
        <w:rPr>
          <w:rFonts w:cs="Arial"/>
          <w:szCs w:val="22"/>
          <w:lang w:val="fr-FR"/>
        </w:rPr>
        <w:t>2014</w:t>
      </w:r>
      <w:r w:rsidRPr="006C3DF2">
        <w:rPr>
          <w:rFonts w:cs="Arial"/>
          <w:bCs/>
          <w:szCs w:val="22"/>
          <w:lang w:val="fr-FR"/>
        </w:rPr>
        <w:t xml:space="preserve">», dans la colonne (2), </w:t>
      </w:r>
      <w:proofErr w:type="gramStart"/>
      <w:r w:rsidRPr="006C3DF2">
        <w:rPr>
          <w:rFonts w:cs="Arial"/>
          <w:bCs/>
          <w:szCs w:val="22"/>
          <w:lang w:val="fr-FR"/>
        </w:rPr>
        <w:t>supprimer:</w:t>
      </w:r>
      <w:proofErr w:type="gramEnd"/>
      <w:r w:rsidRPr="006C3DF2">
        <w:rPr>
          <w:rFonts w:cs="Arial"/>
          <w:bCs/>
          <w:szCs w:val="22"/>
          <w:lang w:val="fr-FR"/>
        </w:rPr>
        <w:t xml:space="preserve"> </w:t>
      </w:r>
      <w:r w:rsidRPr="006C3DF2">
        <w:rPr>
          <w:lang w:val="fr-FR"/>
        </w:rPr>
        <w:t>«</w:t>
      </w:r>
      <w:r w:rsidRPr="006C3DF2">
        <w:rPr>
          <w:bCs/>
          <w:lang w:val="fr-FR"/>
        </w:rPr>
        <w:t>(ISO/DIS 10297:2012)».</w:t>
      </w:r>
    </w:p>
    <w:p w14:paraId="264BF7C2" w14:textId="77777777" w:rsidR="00E0792D" w:rsidRPr="006C3DF2" w:rsidRDefault="00E0792D" w:rsidP="00E0792D">
      <w:pPr>
        <w:pStyle w:val="SingleTxtG"/>
        <w:rPr>
          <w:lang w:val="fr-FR"/>
        </w:rPr>
      </w:pPr>
      <w:r w:rsidRPr="006C3DF2">
        <w:rPr>
          <w:i/>
          <w:iCs/>
          <w:lang w:val="fr-FR"/>
        </w:rPr>
        <w:t>(Document de référence: ECE/TRANS/WP15/AC.1/146, annexe II)</w:t>
      </w:r>
    </w:p>
    <w:p w14:paraId="4B6C8B24" w14:textId="77777777" w:rsidR="00E0792D" w:rsidRPr="006C3DF2" w:rsidRDefault="00E0792D" w:rsidP="00E0792D">
      <w:pPr>
        <w:pStyle w:val="SingleTxtG"/>
        <w:rPr>
          <w:lang w:val="fr-FR"/>
        </w:rPr>
      </w:pPr>
      <w:r w:rsidRPr="006C3DF2">
        <w:rPr>
          <w:lang w:val="fr-FR"/>
        </w:rPr>
        <w:t>–</w:t>
      </w:r>
      <w:r w:rsidRPr="006C3DF2">
        <w:rPr>
          <w:lang w:val="fr-FR"/>
        </w:rPr>
        <w:tab/>
        <w:t xml:space="preserve">Pour la norme «EN ISO 10297:2014», dans la colonne (4), remplacer «Jusqu’à nouvel ordre» </w:t>
      </w:r>
      <w:proofErr w:type="gramStart"/>
      <w:r w:rsidRPr="006C3DF2">
        <w:rPr>
          <w:lang w:val="fr-FR"/>
        </w:rPr>
        <w:t>par:</w:t>
      </w:r>
      <w:proofErr w:type="gramEnd"/>
      <w:r w:rsidRPr="006C3DF2">
        <w:rPr>
          <w:lang w:val="fr-FR"/>
        </w:rPr>
        <w:t xml:space="preserve"> «Entre le 1</w:t>
      </w:r>
      <w:r w:rsidRPr="006C3DF2">
        <w:rPr>
          <w:vertAlign w:val="superscript"/>
          <w:lang w:val="fr-FR"/>
        </w:rPr>
        <w:t>er</w:t>
      </w:r>
      <w:r w:rsidRPr="006C3DF2">
        <w:rPr>
          <w:lang w:val="fr-FR"/>
        </w:rPr>
        <w:t> janvier 2015 et le 31 décembre 2020».</w:t>
      </w:r>
    </w:p>
    <w:p w14:paraId="1E22D0BA" w14:textId="77777777" w:rsidR="00E0792D" w:rsidRPr="006C3DF2" w:rsidRDefault="00E0792D" w:rsidP="00E0792D">
      <w:pPr>
        <w:pStyle w:val="SingleTxtG"/>
        <w:rPr>
          <w:lang w:val="fr-FR"/>
        </w:rPr>
      </w:pPr>
      <w:r w:rsidRPr="006C3DF2">
        <w:rPr>
          <w:i/>
          <w:iCs/>
          <w:lang w:val="fr-FR"/>
        </w:rPr>
        <w:t>(Document de référence: ECE/TRANS/WP15/AC.1/146, annexe II)</w:t>
      </w:r>
    </w:p>
    <w:p w14:paraId="38AE3195" w14:textId="77777777" w:rsidR="00E0792D" w:rsidRPr="006C3DF2" w:rsidRDefault="00E0792D" w:rsidP="00E0792D">
      <w:pPr>
        <w:pStyle w:val="SingleTxtG"/>
        <w:rPr>
          <w:lang w:val="fr-FR"/>
        </w:rPr>
      </w:pPr>
      <w:r w:rsidRPr="006C3DF2">
        <w:rPr>
          <w:lang w:val="fr-FR"/>
        </w:rPr>
        <w:t>–</w:t>
      </w:r>
      <w:r w:rsidRPr="006C3DF2">
        <w:rPr>
          <w:lang w:val="fr-FR"/>
        </w:rPr>
        <w:tab/>
        <w:t xml:space="preserve">Après la norme «EN ISO 10297:2014», insérer la nouvelle norme </w:t>
      </w:r>
      <w:proofErr w:type="gramStart"/>
      <w:r w:rsidRPr="006C3DF2">
        <w:rPr>
          <w:lang w:val="fr-FR"/>
        </w:rPr>
        <w:t>suivante:</w:t>
      </w:r>
      <w:proofErr w:type="gramEnd"/>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170"/>
        <w:gridCol w:w="997"/>
        <w:gridCol w:w="1129"/>
      </w:tblGrid>
      <w:tr w:rsidR="00E0792D" w:rsidRPr="006C3DF2" w14:paraId="73F5EB09" w14:textId="77777777" w:rsidTr="00E73877">
        <w:trPr>
          <w:cantSplit/>
        </w:trPr>
        <w:tc>
          <w:tcPr>
            <w:tcW w:w="2075" w:type="dxa"/>
          </w:tcPr>
          <w:p w14:paraId="0DB0FBF2" w14:textId="77777777" w:rsidR="00E0792D" w:rsidRPr="006C3DF2" w:rsidRDefault="00E0792D" w:rsidP="00E0792D">
            <w:pPr>
              <w:tabs>
                <w:tab w:val="left" w:pos="1418"/>
              </w:tabs>
              <w:rPr>
                <w:rFonts w:cs="Arial"/>
                <w:lang w:val="fr-FR"/>
              </w:rPr>
            </w:pPr>
            <w:r w:rsidRPr="006C3DF2">
              <w:rPr>
                <w:rFonts w:cs="Arial"/>
                <w:lang w:val="fr-FR"/>
              </w:rPr>
              <w:t>EN ISO </w:t>
            </w:r>
            <w:r w:rsidRPr="006C3DF2">
              <w:rPr>
                <w:rFonts w:cs="Arial"/>
                <w:bCs/>
                <w:szCs w:val="22"/>
                <w:lang w:val="fr-FR"/>
              </w:rPr>
              <w:t>10297:</w:t>
            </w:r>
            <w:r w:rsidRPr="006C3DF2">
              <w:rPr>
                <w:rFonts w:cs="Arial"/>
                <w:szCs w:val="22"/>
                <w:lang w:val="fr-FR"/>
              </w:rPr>
              <w:t>2014+</w:t>
            </w:r>
            <w:r w:rsidRPr="006C3DF2">
              <w:rPr>
                <w:rFonts w:cs="Arial"/>
                <w:szCs w:val="22"/>
                <w:lang w:val="fr-FR"/>
              </w:rPr>
              <w:br/>
              <w:t>A1:[2017]</w:t>
            </w:r>
          </w:p>
        </w:tc>
        <w:tc>
          <w:tcPr>
            <w:tcW w:w="3170" w:type="dxa"/>
            <w:vAlign w:val="center"/>
          </w:tcPr>
          <w:p w14:paraId="59BE2C15" w14:textId="77777777" w:rsidR="00E0792D" w:rsidRPr="006C3DF2" w:rsidRDefault="00E0792D" w:rsidP="00E0792D">
            <w:pPr>
              <w:rPr>
                <w:rFonts w:cs="Arial"/>
                <w:lang w:val="fr-FR"/>
              </w:rPr>
            </w:pPr>
            <w:r w:rsidRPr="006C3DF2">
              <w:rPr>
                <w:rFonts w:cs="Arial"/>
                <w:bCs/>
                <w:lang w:val="fr-FR"/>
              </w:rPr>
              <w:t>Bouteilles à gaz transportables − Robinets de bouteilles − Spécifications et essais de type</w:t>
            </w:r>
          </w:p>
        </w:tc>
        <w:tc>
          <w:tcPr>
            <w:tcW w:w="997" w:type="dxa"/>
            <w:vAlign w:val="center"/>
          </w:tcPr>
          <w:p w14:paraId="6FAE122B" w14:textId="77777777" w:rsidR="00E0792D" w:rsidRPr="006C3DF2" w:rsidRDefault="00E0792D" w:rsidP="00E0792D">
            <w:pPr>
              <w:rPr>
                <w:rFonts w:cs="Arial"/>
                <w:lang w:val="fr-FR"/>
              </w:rPr>
            </w:pPr>
            <w:r w:rsidRPr="006C3DF2">
              <w:rPr>
                <w:rFonts w:cs="Arial"/>
                <w:lang w:val="fr-FR"/>
              </w:rPr>
              <w:t>6.2.3.1 et 6.2.3.3</w:t>
            </w:r>
          </w:p>
        </w:tc>
        <w:tc>
          <w:tcPr>
            <w:tcW w:w="1129" w:type="dxa"/>
            <w:vAlign w:val="center"/>
          </w:tcPr>
          <w:p w14:paraId="03FBF515" w14:textId="77777777" w:rsidR="00E0792D" w:rsidRPr="006C3DF2" w:rsidRDefault="00E0792D" w:rsidP="00E0792D">
            <w:pPr>
              <w:jc w:val="center"/>
              <w:rPr>
                <w:rFonts w:cs="Arial"/>
                <w:lang w:val="fr-FR"/>
              </w:rPr>
            </w:pPr>
            <w:r w:rsidRPr="006C3DF2">
              <w:rPr>
                <w:rFonts w:cs="Arial"/>
                <w:bCs/>
                <w:lang w:val="fr-FR"/>
              </w:rPr>
              <w:t>Jusqu’à nouvel ordre</w:t>
            </w:r>
          </w:p>
        </w:tc>
      </w:tr>
    </w:tbl>
    <w:p w14:paraId="3C46B241" w14:textId="77777777" w:rsidR="00E0792D" w:rsidRPr="006C3DF2" w:rsidRDefault="00E0792D" w:rsidP="00E0792D">
      <w:pPr>
        <w:pStyle w:val="SingleTxtG"/>
        <w:rPr>
          <w:i/>
          <w:iCs/>
          <w:lang w:val="fr-FR"/>
        </w:rPr>
      </w:pPr>
      <w:r w:rsidRPr="006C3DF2">
        <w:rPr>
          <w:i/>
          <w:iCs/>
          <w:lang w:val="fr-FR"/>
        </w:rPr>
        <w:t>(Document de référence: ECE/TRANS/WP15/AC.1/146, annexe II)</w:t>
      </w:r>
    </w:p>
    <w:p w14:paraId="7F31365C" w14:textId="77777777" w:rsidR="00E0792D" w:rsidRPr="006C3DF2" w:rsidRDefault="00E0792D" w:rsidP="00E0792D">
      <w:pPr>
        <w:pStyle w:val="SingleTxtG"/>
        <w:rPr>
          <w:lang w:val="fr-FR"/>
        </w:rPr>
      </w:pPr>
      <w:r w:rsidRPr="006C3DF2">
        <w:rPr>
          <w:lang w:val="fr-FR"/>
        </w:rPr>
        <w:t>–</w:t>
      </w:r>
      <w:r w:rsidRPr="006C3DF2">
        <w:rPr>
          <w:lang w:val="fr-FR"/>
        </w:rPr>
        <w:tab/>
        <w:t xml:space="preserve">Pour la norme «EN 1626:2008», dans la colonne (2), ajouter le nouveau nota </w:t>
      </w:r>
      <w:proofErr w:type="gramStart"/>
      <w:r w:rsidRPr="006C3DF2">
        <w:rPr>
          <w:lang w:val="fr-FR"/>
        </w:rPr>
        <w:t>suivant:</w:t>
      </w:r>
      <w:proofErr w:type="gramEnd"/>
    </w:p>
    <w:p w14:paraId="1DFF63F5" w14:textId="77777777" w:rsidR="00E0792D" w:rsidRPr="006C3DF2" w:rsidRDefault="00E0792D" w:rsidP="00E0792D">
      <w:pPr>
        <w:pStyle w:val="SingleTxtG"/>
        <w:rPr>
          <w:lang w:val="fr-FR"/>
        </w:rPr>
      </w:pPr>
      <w:r w:rsidRPr="006C3DF2">
        <w:rPr>
          <w:lang w:val="fr-FR"/>
        </w:rPr>
        <w:t>«</w:t>
      </w:r>
      <w:proofErr w:type="gramStart"/>
      <w:r w:rsidRPr="006C3DF2">
        <w:rPr>
          <w:b/>
          <w:i/>
          <w:lang w:val="fr-FR"/>
        </w:rPr>
        <w:t>NOTA:</w:t>
      </w:r>
      <w:proofErr w:type="gramEnd"/>
      <w:r w:rsidRPr="006C3DF2">
        <w:rPr>
          <w:i/>
          <w:lang w:val="fr-FR"/>
        </w:rPr>
        <w:tab/>
        <w:t>Cette norme est également applicable aux robinets pour le transport du No ONU 1972 (MÉTHANE LIQUIDE RÉFRIGÉRÉ ou GAZ NATUREL LIQUIDE RÉFRIGÉRÉ).</w:t>
      </w:r>
      <w:r w:rsidRPr="006C3DF2">
        <w:rPr>
          <w:lang w:val="fr-FR"/>
        </w:rPr>
        <w:t>».</w:t>
      </w:r>
    </w:p>
    <w:p w14:paraId="69AA5D48" w14:textId="77777777" w:rsidR="00E0792D" w:rsidRPr="006C3DF2" w:rsidRDefault="00E0792D" w:rsidP="00E0792D">
      <w:pPr>
        <w:pStyle w:val="SingleTxtG"/>
        <w:rPr>
          <w:lang w:val="fr-FR"/>
        </w:rPr>
      </w:pPr>
      <w:r w:rsidRPr="006C3DF2">
        <w:rPr>
          <w:i/>
          <w:iCs/>
          <w:lang w:val="fr-FR"/>
        </w:rPr>
        <w:t>(Document de référence: ECE/TRANS/WP15/AC.1/146, annexe II)</w:t>
      </w:r>
    </w:p>
    <w:p w14:paraId="47C98499" w14:textId="227E3770" w:rsidR="00E0792D" w:rsidRPr="006C3DF2" w:rsidRDefault="00E0792D" w:rsidP="00E0792D">
      <w:pPr>
        <w:pStyle w:val="SingleTxtG"/>
        <w:rPr>
          <w:lang w:val="fr-FR"/>
        </w:rPr>
      </w:pPr>
      <w:r w:rsidRPr="006C3DF2">
        <w:rPr>
          <w:lang w:val="fr-FR"/>
        </w:rPr>
        <w:t>6.2.6.4</w:t>
      </w:r>
      <w:r w:rsidRPr="006C3DF2">
        <w:rPr>
          <w:lang w:val="fr-FR"/>
        </w:rPr>
        <w:tab/>
      </w:r>
      <w:r w:rsidR="00E73877">
        <w:rPr>
          <w:lang w:val="fr-FR"/>
        </w:rPr>
        <w:tab/>
      </w:r>
      <w:r w:rsidRPr="006C3DF2">
        <w:rPr>
          <w:iCs/>
          <w:lang w:val="fr-FR"/>
        </w:rPr>
        <w:t xml:space="preserve">Au troisième tiret, à la fin, supprimer </w:t>
      </w:r>
      <w:proofErr w:type="gramStart"/>
      <w:r w:rsidRPr="006C3DF2">
        <w:rPr>
          <w:iCs/>
          <w:lang w:val="fr-FR"/>
        </w:rPr>
        <w:t>«(</w:t>
      </w:r>
      <w:proofErr w:type="gramEnd"/>
      <w:r w:rsidRPr="006C3DF2">
        <w:rPr>
          <w:iCs/>
          <w:lang w:val="fr-FR"/>
        </w:rPr>
        <w:t>sauf article 9)» et ajouter la nouvelle phrase suivante «Outre les marques prescrites par cette norme, la cartouche à gaz porte la marque "UN 2037/EN 16509".»</w:t>
      </w:r>
    </w:p>
    <w:p w14:paraId="18F0BB93"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6658AFA5" w14:textId="77777777" w:rsidR="00E0792D" w:rsidRPr="00E0792D" w:rsidRDefault="00E0792D" w:rsidP="00E0792D">
      <w:pPr>
        <w:pStyle w:val="H1G"/>
      </w:pPr>
      <w:r w:rsidRPr="00E0792D">
        <w:tab/>
      </w:r>
      <w:r w:rsidRPr="00E0792D">
        <w:tab/>
        <w:t>Chapter 6.8</w:t>
      </w:r>
    </w:p>
    <w:p w14:paraId="73574473" w14:textId="77777777" w:rsidR="00E0792D" w:rsidRPr="006C3DF2" w:rsidRDefault="00E0792D" w:rsidP="00E0792D">
      <w:pPr>
        <w:pStyle w:val="SingleTxtG"/>
        <w:rPr>
          <w:lang w:val="fr-FR"/>
        </w:rPr>
      </w:pPr>
      <w:r w:rsidRPr="006C3DF2">
        <w:rPr>
          <w:lang w:val="fr-FR"/>
        </w:rPr>
        <w:t>6.8.2.1.9</w:t>
      </w:r>
      <w:r w:rsidRPr="006C3DF2">
        <w:rPr>
          <w:lang w:val="fr-FR"/>
        </w:rPr>
        <w:tab/>
        <w:t>La modification ne s’applique pas au texte français.</w:t>
      </w:r>
    </w:p>
    <w:p w14:paraId="75E9E51D" w14:textId="77777777" w:rsidR="00E0792D" w:rsidRPr="006C3DF2" w:rsidRDefault="00E0792D" w:rsidP="00E0792D">
      <w:pPr>
        <w:pStyle w:val="SingleTxtG"/>
        <w:rPr>
          <w:i/>
          <w:iCs/>
          <w:lang w:val="fr-FR"/>
        </w:rPr>
      </w:pPr>
      <w:r w:rsidRPr="006C3DF2">
        <w:rPr>
          <w:i/>
          <w:iCs/>
          <w:lang w:val="fr-FR"/>
        </w:rPr>
        <w:lastRenderedPageBreak/>
        <w:t>(Document de référence: ECE/TRANS/WP.15/AC.1/144, annexe II)</w:t>
      </w:r>
    </w:p>
    <w:p w14:paraId="290774C2" w14:textId="77777777" w:rsidR="00E0792D" w:rsidRPr="001F0D5B" w:rsidRDefault="00E0792D" w:rsidP="00E0792D">
      <w:pPr>
        <w:pStyle w:val="SingleTxtG"/>
        <w:spacing w:before="120"/>
        <w:rPr>
          <w:iCs/>
          <w:lang w:val="fr-FR"/>
        </w:rPr>
      </w:pPr>
      <w:r w:rsidRPr="001F0D5B">
        <w:rPr>
          <w:iCs/>
          <w:lang w:val="fr-FR"/>
        </w:rPr>
        <w:t>6.8.2.2.2</w:t>
      </w:r>
      <w:r w:rsidRPr="001F0D5B">
        <w:rPr>
          <w:iCs/>
          <w:lang w:val="fr-FR"/>
        </w:rPr>
        <w:tab/>
        <w:t>Remplacer «d'un revêtement en ébonite ou en thermoplastique» par «d’un revêtement protecteur».</w:t>
      </w:r>
    </w:p>
    <w:p w14:paraId="1E170D9F" w14:textId="77777777" w:rsidR="00E0792D" w:rsidRPr="006C3DF2" w:rsidRDefault="00E0792D" w:rsidP="00E0792D">
      <w:pPr>
        <w:pStyle w:val="SingleTxtG"/>
        <w:rPr>
          <w:i/>
          <w:iCs/>
          <w:lang w:val="fr-FR"/>
        </w:rPr>
      </w:pPr>
      <w:r w:rsidRPr="006C3DF2">
        <w:rPr>
          <w:i/>
          <w:iCs/>
          <w:lang w:val="fr-FR"/>
        </w:rPr>
        <w:t>(Document de référence: ECE/TRANS/WP.15/AC.1/144, annexe II)</w:t>
      </w:r>
    </w:p>
    <w:p w14:paraId="757249C0" w14:textId="508247F6" w:rsidR="00E0792D" w:rsidRPr="001F0D5B" w:rsidRDefault="00E0792D" w:rsidP="00E0792D">
      <w:pPr>
        <w:pStyle w:val="SingleTxtG"/>
        <w:rPr>
          <w:lang w:val="fr-FR"/>
        </w:rPr>
      </w:pPr>
      <w:r>
        <w:rPr>
          <w:lang w:val="fr-FR"/>
        </w:rPr>
        <w:t>6.8.2.2.11</w:t>
      </w:r>
      <w:r w:rsidRPr="001F0D5B">
        <w:rPr>
          <w:lang w:val="fr-FR"/>
        </w:rPr>
        <w:tab/>
        <w:t>Ajouter le nouveau paragraphe suivant à la fin:</w:t>
      </w:r>
    </w:p>
    <w:p w14:paraId="3C844568" w14:textId="310F9610" w:rsidR="00E0792D" w:rsidRPr="001F0D5B" w:rsidRDefault="00E0792D" w:rsidP="00E0792D">
      <w:pPr>
        <w:pStyle w:val="SingleTxtG"/>
        <w:rPr>
          <w:lang w:val="fr-FR"/>
        </w:rPr>
      </w:pPr>
      <w:r w:rsidRPr="001F0D5B">
        <w:rPr>
          <w:lang w:val="fr-FR"/>
        </w:rPr>
        <w:t>«Les jauges de niveau en verre ou en autres matériaux fragiles, qui sont en contact direct avec le contenu du réservoir, ne doivent pas être utilisées.».</w:t>
      </w:r>
    </w:p>
    <w:p w14:paraId="035C2906" w14:textId="77777777" w:rsidR="00C20E32" w:rsidRPr="006C3DF2" w:rsidRDefault="00C20E32" w:rsidP="00C20E32">
      <w:pPr>
        <w:pStyle w:val="SingleTxtG"/>
        <w:rPr>
          <w:i/>
          <w:iCs/>
          <w:lang w:val="fr-FR"/>
        </w:rPr>
      </w:pPr>
      <w:r w:rsidRPr="006C3DF2">
        <w:rPr>
          <w:i/>
          <w:iCs/>
          <w:lang w:val="fr-FR"/>
        </w:rPr>
        <w:t>(Document de référence: ECE/TRANS/WP.15/AC.1/144, annexe II</w:t>
      </w:r>
      <w:r>
        <w:rPr>
          <w:i/>
          <w:iCs/>
          <w:lang w:val="fr-FR"/>
        </w:rPr>
        <w:t xml:space="preserve"> et</w:t>
      </w:r>
      <w:r w:rsidRPr="006C3DF2">
        <w:rPr>
          <w:i/>
          <w:iCs/>
          <w:lang w:val="fr-FR"/>
        </w:rPr>
        <w:t xml:space="preserve"> ECE/TRANS/WP.15/AC.1/146, annexe II)</w:t>
      </w:r>
    </w:p>
    <w:p w14:paraId="10A48D41" w14:textId="77777777" w:rsidR="00E0792D" w:rsidRPr="006C3DF2" w:rsidRDefault="00E0792D" w:rsidP="00E0792D">
      <w:pPr>
        <w:pStyle w:val="SingleTxtG"/>
        <w:rPr>
          <w:iCs/>
          <w:lang w:val="fr-FR"/>
        </w:rPr>
      </w:pPr>
      <w:r w:rsidRPr="006C3DF2">
        <w:rPr>
          <w:iCs/>
          <w:lang w:val="fr-FR"/>
        </w:rPr>
        <w:t>6.8.2.4.2 and 6.8.2.4.3</w:t>
      </w:r>
      <w:r w:rsidRPr="006C3DF2">
        <w:rPr>
          <w:iCs/>
          <w:lang w:val="fr-FR"/>
        </w:rPr>
        <w:tab/>
        <w:t>A la fin, ajouter le nouveau paragraphe suivant:</w:t>
      </w:r>
    </w:p>
    <w:p w14:paraId="13CBBACD" w14:textId="77777777" w:rsidR="00E0792D" w:rsidRPr="006C3DF2" w:rsidRDefault="00E0792D" w:rsidP="00E0792D">
      <w:pPr>
        <w:pStyle w:val="SingleTxtG"/>
        <w:rPr>
          <w:iCs/>
          <w:lang w:val="fr-FR"/>
        </w:rPr>
      </w:pPr>
      <w:r w:rsidRPr="006C3DF2">
        <w:rPr>
          <w:lang w:val="fr-FR"/>
        </w:rPr>
        <w:t>«Les revêtements protecteurs doivent faire l’objet d’un examen visuel visant à détecter d’éventuels défauts. En cas d’anomalie, l’état du revêtement doit être évalué par un ou des essais appropriés.»</w:t>
      </w:r>
    </w:p>
    <w:p w14:paraId="09CA0931" w14:textId="1D2F2EBF" w:rsidR="00E0792D" w:rsidRPr="006C3DF2" w:rsidRDefault="00E0792D" w:rsidP="00E0792D">
      <w:pPr>
        <w:pStyle w:val="SingleTxtG"/>
        <w:rPr>
          <w:i/>
          <w:iCs/>
          <w:lang w:val="fr-FR"/>
        </w:rPr>
      </w:pPr>
      <w:r w:rsidRPr="006C3DF2">
        <w:rPr>
          <w:i/>
          <w:iCs/>
          <w:lang w:val="fr-FR"/>
        </w:rPr>
        <w:t>(</w:t>
      </w:r>
      <w:r>
        <w:rPr>
          <w:i/>
          <w:iCs/>
          <w:lang w:val="fr-FR"/>
        </w:rPr>
        <w:t>Document de référence</w:t>
      </w:r>
      <w:r w:rsidRPr="006C3DF2">
        <w:rPr>
          <w:i/>
          <w:iCs/>
          <w:lang w:val="fr-FR"/>
        </w:rPr>
        <w:t>: ECE/TRANS/WP15/AC.1/144, annex</w:t>
      </w:r>
      <w:r>
        <w:rPr>
          <w:i/>
          <w:iCs/>
          <w:lang w:val="fr-FR"/>
        </w:rPr>
        <w:t>e</w:t>
      </w:r>
      <w:r w:rsidRPr="006C3DF2">
        <w:rPr>
          <w:i/>
          <w:iCs/>
          <w:lang w:val="fr-FR"/>
        </w:rPr>
        <w:t xml:space="preserve"> II)</w:t>
      </w:r>
    </w:p>
    <w:p w14:paraId="26CF518D" w14:textId="77777777" w:rsidR="00E0792D" w:rsidRPr="006C3DF2" w:rsidRDefault="00E0792D" w:rsidP="00E0792D">
      <w:pPr>
        <w:pStyle w:val="SingleTxtG"/>
        <w:rPr>
          <w:lang w:val="fr-FR"/>
        </w:rPr>
      </w:pPr>
      <w:r w:rsidRPr="006C3DF2">
        <w:rPr>
          <w:lang w:val="fr-FR"/>
        </w:rPr>
        <w:t>6.8.2.6.1</w:t>
      </w:r>
      <w:r w:rsidRPr="006C3DF2">
        <w:rPr>
          <w:lang w:val="fr-FR"/>
        </w:rPr>
        <w:tab/>
      </w:r>
      <w:r w:rsidRPr="006C3DF2">
        <w:rPr>
          <w:rFonts w:cs="Arial"/>
          <w:szCs w:val="22"/>
          <w:lang w:val="fr-FR"/>
        </w:rPr>
        <w:t xml:space="preserve">Modifier </w:t>
      </w:r>
      <w:r w:rsidRPr="006C3DF2">
        <w:rPr>
          <w:lang w:val="fr-FR"/>
        </w:rPr>
        <w:t>le tableau, sous «</w:t>
      </w:r>
      <w:r w:rsidRPr="006C3DF2">
        <w:rPr>
          <w:i/>
          <w:lang w:val="fr-FR"/>
        </w:rPr>
        <w:t>Pour la conception et la construction des citernes</w:t>
      </w:r>
      <w:r w:rsidRPr="006C3DF2">
        <w:rPr>
          <w:lang w:val="fr-FR"/>
        </w:rPr>
        <w:t xml:space="preserve">» pour lire comme </w:t>
      </w:r>
      <w:proofErr w:type="gramStart"/>
      <w:r w:rsidRPr="006C3DF2">
        <w:rPr>
          <w:lang w:val="fr-FR"/>
        </w:rPr>
        <w:t>suit:</w:t>
      </w:r>
      <w:proofErr w:type="gramEnd"/>
    </w:p>
    <w:p w14:paraId="7A786343" w14:textId="77777777" w:rsidR="00E0792D" w:rsidRPr="006C3DF2" w:rsidRDefault="00E0792D" w:rsidP="00E0792D">
      <w:pPr>
        <w:pStyle w:val="SingleTxtG"/>
        <w:rPr>
          <w:rFonts w:cs="Arial"/>
          <w:bCs/>
          <w:szCs w:val="22"/>
          <w:lang w:val="fr-FR"/>
        </w:rPr>
      </w:pPr>
      <w:r w:rsidRPr="006C3DF2">
        <w:rPr>
          <w:lang w:val="fr-FR"/>
        </w:rPr>
        <w:t>–</w:t>
      </w:r>
      <w:r w:rsidRPr="006C3DF2">
        <w:rPr>
          <w:lang w:val="fr-FR"/>
        </w:rPr>
        <w:tab/>
        <w:t>Pour</w:t>
      </w:r>
      <w:r w:rsidRPr="006C3DF2">
        <w:rPr>
          <w:rFonts w:cs="Arial"/>
          <w:bCs/>
          <w:szCs w:val="22"/>
          <w:lang w:val="fr-FR"/>
        </w:rPr>
        <w:t xml:space="preserve"> la norme «</w:t>
      </w:r>
      <w:r w:rsidRPr="006C3DF2">
        <w:rPr>
          <w:lang w:val="fr-FR"/>
        </w:rPr>
        <w:t>EN </w:t>
      </w:r>
      <w:r w:rsidRPr="006C3DF2">
        <w:rPr>
          <w:rFonts w:cs="Arial"/>
          <w:szCs w:val="22"/>
          <w:lang w:val="fr-FR"/>
        </w:rPr>
        <w:t>13530</w:t>
      </w:r>
      <w:r w:rsidRPr="006C3DF2">
        <w:rPr>
          <w:rFonts w:cs="Arial"/>
          <w:bCs/>
          <w:szCs w:val="22"/>
          <w:lang w:val="fr-FR"/>
        </w:rPr>
        <w:t>-</w:t>
      </w:r>
      <w:proofErr w:type="gramStart"/>
      <w:r w:rsidRPr="006C3DF2">
        <w:rPr>
          <w:rFonts w:cs="Arial"/>
          <w:bCs/>
          <w:szCs w:val="22"/>
          <w:lang w:val="fr-FR"/>
        </w:rPr>
        <w:t>2:</w:t>
      </w:r>
      <w:proofErr w:type="gramEnd"/>
      <w:r w:rsidRPr="006C3DF2">
        <w:rPr>
          <w:rFonts w:cs="Arial"/>
          <w:bCs/>
          <w:szCs w:val="22"/>
          <w:lang w:val="fr-FR"/>
        </w:rPr>
        <w:t>2002 + A1:2004», modifier le nota figurant dans la colonne (2) comme suit:</w:t>
      </w:r>
    </w:p>
    <w:p w14:paraId="778507C2" w14:textId="41FF03C4" w:rsidR="00E0792D" w:rsidRPr="006C3DF2" w:rsidRDefault="00E0792D" w:rsidP="00E0792D">
      <w:pPr>
        <w:pStyle w:val="SingleTxtG"/>
        <w:rPr>
          <w:rFonts w:cs="Arial"/>
          <w:szCs w:val="22"/>
          <w:lang w:val="fr-FR"/>
        </w:rPr>
      </w:pPr>
      <w:r w:rsidRPr="006C3DF2">
        <w:rPr>
          <w:rFonts w:cs="Arial"/>
          <w:szCs w:val="22"/>
          <w:lang w:val="fr-FR"/>
        </w:rPr>
        <w:t>«</w:t>
      </w:r>
      <w:proofErr w:type="gramStart"/>
      <w:r w:rsidRPr="00E73877">
        <w:rPr>
          <w:b/>
          <w:i/>
          <w:lang w:val="fr-FR"/>
        </w:rPr>
        <w:t>NOTA:</w:t>
      </w:r>
      <w:proofErr w:type="gramEnd"/>
      <w:r w:rsidRPr="00E73877">
        <w:rPr>
          <w:i/>
          <w:lang w:val="fr-FR"/>
        </w:rPr>
        <w:tab/>
        <w:t xml:space="preserve">Les </w:t>
      </w:r>
      <w:r w:rsidRPr="00E73877">
        <w:rPr>
          <w:rFonts w:cs="Arial"/>
          <w:i/>
          <w:szCs w:val="22"/>
          <w:lang w:val="fr-FR"/>
        </w:rPr>
        <w:t>normes</w:t>
      </w:r>
      <w:r w:rsidRPr="00E73877">
        <w:rPr>
          <w:i/>
          <w:lang w:val="fr-FR"/>
        </w:rPr>
        <w:t xml:space="preserve"> EN 1252-1:1998 et EN 1626 auxquelles il est fait référence dans cette norme sont également applicables aux citernes pour le transport du No ONU 1972 (MÉTHANE LIQUIDE RÉFRIGÉRÉ ou GAZ NATUREL LIQUIDE RÉFRIGÉRÉ).</w:t>
      </w:r>
      <w:r w:rsidRPr="006C3DF2">
        <w:rPr>
          <w:rFonts w:cs="Arial"/>
          <w:szCs w:val="22"/>
          <w:lang w:val="fr-FR"/>
        </w:rPr>
        <w:t>».</w:t>
      </w:r>
    </w:p>
    <w:p w14:paraId="45879895" w14:textId="57928B9A" w:rsidR="00E0792D" w:rsidRPr="006C3DF2" w:rsidRDefault="00E0792D" w:rsidP="00E0792D">
      <w:pPr>
        <w:pStyle w:val="SingleTxtG"/>
        <w:rPr>
          <w:lang w:val="fr-FR"/>
        </w:rPr>
      </w:pPr>
      <w:r w:rsidRPr="006C3DF2">
        <w:rPr>
          <w:i/>
          <w:iCs/>
          <w:lang w:val="fr-FR"/>
        </w:rPr>
        <w:t>(</w:t>
      </w:r>
      <w:r>
        <w:rPr>
          <w:i/>
          <w:iCs/>
          <w:lang w:val="fr-FR"/>
        </w:rPr>
        <w:t>Document de référence</w:t>
      </w:r>
      <w:r w:rsidRPr="006C3DF2">
        <w:rPr>
          <w:i/>
          <w:iCs/>
          <w:lang w:val="fr-FR"/>
        </w:rPr>
        <w:t>: ECE/TRANS/WP.15/AC.1/146, annex</w:t>
      </w:r>
      <w:r>
        <w:rPr>
          <w:i/>
          <w:iCs/>
          <w:lang w:val="fr-FR"/>
        </w:rPr>
        <w:t>e</w:t>
      </w:r>
      <w:r w:rsidRPr="006C3DF2">
        <w:rPr>
          <w:i/>
          <w:iCs/>
          <w:lang w:val="fr-FR"/>
        </w:rPr>
        <w:t xml:space="preserve"> II)</w:t>
      </w:r>
    </w:p>
    <w:p w14:paraId="7DF576C0" w14:textId="77777777" w:rsidR="00E0792D" w:rsidRPr="006C3DF2" w:rsidRDefault="00E0792D" w:rsidP="00E0792D">
      <w:pPr>
        <w:pStyle w:val="SingleTxtG"/>
        <w:rPr>
          <w:lang w:val="fr-FR"/>
        </w:rPr>
      </w:pPr>
      <w:r w:rsidRPr="006C3DF2">
        <w:rPr>
          <w:lang w:val="fr-FR"/>
        </w:rPr>
        <w:t>Modifier le tableau sous «</w:t>
      </w:r>
      <w:r w:rsidRPr="006C3DF2">
        <w:rPr>
          <w:bCs/>
          <w:i/>
          <w:iCs/>
          <w:lang w:val="fr-FR" w:eastAsia="en-GB"/>
        </w:rPr>
        <w:t>Pour les équipements</w:t>
      </w:r>
      <w:r w:rsidRPr="006C3DF2">
        <w:rPr>
          <w:lang w:val="fr-FR"/>
        </w:rPr>
        <w:t xml:space="preserve">» pour lire comme </w:t>
      </w:r>
      <w:proofErr w:type="gramStart"/>
      <w:r w:rsidRPr="006C3DF2">
        <w:rPr>
          <w:lang w:val="fr-FR"/>
        </w:rPr>
        <w:t>suit:</w:t>
      </w:r>
      <w:proofErr w:type="gramEnd"/>
    </w:p>
    <w:p w14:paraId="4CD98FCC" w14:textId="77777777" w:rsidR="00E0792D" w:rsidRPr="006C3DF2" w:rsidRDefault="00E0792D" w:rsidP="00E0792D">
      <w:pPr>
        <w:pStyle w:val="SingleTxtG"/>
        <w:rPr>
          <w:lang w:val="fr-FR"/>
        </w:rPr>
      </w:pPr>
      <w:r w:rsidRPr="006C3DF2">
        <w:rPr>
          <w:lang w:val="fr-FR"/>
        </w:rPr>
        <w:t>–</w:t>
      </w:r>
      <w:r w:rsidRPr="006C3DF2">
        <w:rPr>
          <w:lang w:val="fr-FR"/>
        </w:rPr>
        <w:tab/>
      </w:r>
      <w:r w:rsidRPr="006C3DF2">
        <w:rPr>
          <w:rFonts w:cs="Arial"/>
          <w:szCs w:val="22"/>
          <w:lang w:val="fr-FR"/>
        </w:rPr>
        <w:t xml:space="preserve">Pour la norme «EN 1626:2008 </w:t>
      </w:r>
      <w:r w:rsidRPr="006C3DF2">
        <w:rPr>
          <w:lang w:val="fr-FR"/>
        </w:rPr>
        <w:t xml:space="preserve">(sauf les robinets de catégorie B)», dans la colonne (2), ajouter le nouveau nota </w:t>
      </w:r>
      <w:proofErr w:type="gramStart"/>
      <w:r w:rsidRPr="006C3DF2">
        <w:rPr>
          <w:lang w:val="fr-FR"/>
        </w:rPr>
        <w:t>suivant:</w:t>
      </w:r>
      <w:proofErr w:type="gramEnd"/>
    </w:p>
    <w:p w14:paraId="516E5C40" w14:textId="7AF68B83" w:rsidR="00E0792D" w:rsidRPr="006C3DF2" w:rsidRDefault="00E0792D" w:rsidP="00E0792D">
      <w:pPr>
        <w:pStyle w:val="SingleTxtG"/>
        <w:rPr>
          <w:rFonts w:cs="Arial"/>
          <w:szCs w:val="22"/>
          <w:lang w:val="fr-FR"/>
        </w:rPr>
      </w:pPr>
      <w:r w:rsidRPr="006C3DF2">
        <w:rPr>
          <w:rFonts w:cs="Arial"/>
          <w:szCs w:val="22"/>
          <w:lang w:val="fr-FR"/>
        </w:rPr>
        <w:t>«</w:t>
      </w:r>
      <w:proofErr w:type="gramStart"/>
      <w:r w:rsidRPr="00E73877">
        <w:rPr>
          <w:rFonts w:cs="Arial"/>
          <w:b/>
          <w:i/>
          <w:szCs w:val="22"/>
          <w:lang w:val="fr-FR"/>
        </w:rPr>
        <w:t>NOTA:</w:t>
      </w:r>
      <w:proofErr w:type="gramEnd"/>
      <w:r w:rsidRPr="00E73877">
        <w:rPr>
          <w:rFonts w:cs="Arial"/>
          <w:i/>
          <w:szCs w:val="22"/>
          <w:lang w:val="fr-FR"/>
        </w:rPr>
        <w:tab/>
        <w:t xml:space="preserve">Cette norme est également applicable aux robinets </w:t>
      </w:r>
      <w:r w:rsidRPr="00E73877">
        <w:rPr>
          <w:i/>
          <w:lang w:val="fr-FR"/>
        </w:rPr>
        <w:t>pour le transport du No ONU 1972 (MÉTHANE LIQUIDE RÉFRIGÉRÉ ou GAZ NATUREL LIQUIDE RÉFRIGÉRÉ).</w:t>
      </w:r>
      <w:r w:rsidRPr="006C3DF2">
        <w:rPr>
          <w:rFonts w:cs="Arial"/>
          <w:szCs w:val="22"/>
          <w:lang w:val="fr-FR"/>
        </w:rPr>
        <w:t>».</w:t>
      </w:r>
    </w:p>
    <w:p w14:paraId="11D5E69C" w14:textId="72121692" w:rsidR="00E0792D" w:rsidRPr="006C3DF2" w:rsidRDefault="00E0792D" w:rsidP="00E0792D">
      <w:pPr>
        <w:pStyle w:val="SingleTxtG"/>
        <w:rPr>
          <w:lang w:val="fr-FR"/>
        </w:rPr>
      </w:pPr>
      <w:r w:rsidRPr="006C3DF2">
        <w:rPr>
          <w:i/>
          <w:iCs/>
          <w:lang w:val="fr-FR"/>
        </w:rPr>
        <w:t>(</w:t>
      </w:r>
      <w:r>
        <w:rPr>
          <w:i/>
          <w:iCs/>
          <w:lang w:val="fr-FR"/>
        </w:rPr>
        <w:t>Document de référence</w:t>
      </w:r>
      <w:r w:rsidRPr="006C3DF2">
        <w:rPr>
          <w:i/>
          <w:iCs/>
          <w:lang w:val="fr-FR"/>
        </w:rPr>
        <w:t>: ECE/TRANS/WP.15/AC.1/146, annex</w:t>
      </w:r>
      <w:r>
        <w:rPr>
          <w:i/>
          <w:iCs/>
          <w:lang w:val="fr-FR"/>
        </w:rPr>
        <w:t>e</w:t>
      </w:r>
      <w:r w:rsidRPr="006C3DF2">
        <w:rPr>
          <w:i/>
          <w:iCs/>
          <w:lang w:val="fr-FR"/>
        </w:rPr>
        <w:t xml:space="preserve"> II)</w:t>
      </w:r>
    </w:p>
    <w:p w14:paraId="55FC9C9A" w14:textId="1001A165" w:rsidR="00E0792D" w:rsidRPr="006C3DF2" w:rsidRDefault="00E0792D" w:rsidP="00E0792D">
      <w:pPr>
        <w:pStyle w:val="SingleTxtG"/>
        <w:rPr>
          <w:lang w:val="fr-FR"/>
        </w:rPr>
      </w:pPr>
      <w:r w:rsidRPr="006C3DF2">
        <w:rPr>
          <w:lang w:val="fr-FR"/>
        </w:rPr>
        <w:t>6.8.3.2.6</w:t>
      </w:r>
      <w:r w:rsidRPr="006C3DF2">
        <w:rPr>
          <w:lang w:val="fr-FR"/>
        </w:rPr>
        <w:tab/>
        <w:t>Supprimer la première phrase</w:t>
      </w:r>
      <w:r>
        <w:rPr>
          <w:lang w:val="fr-FR"/>
        </w:rPr>
        <w:t>.</w:t>
      </w:r>
    </w:p>
    <w:p w14:paraId="089B7372" w14:textId="77777777" w:rsidR="00C20E32" w:rsidRPr="006C3DF2" w:rsidRDefault="00C20E32" w:rsidP="00C20E32">
      <w:pPr>
        <w:pStyle w:val="SingleTxtG"/>
        <w:rPr>
          <w:i/>
          <w:iCs/>
          <w:lang w:val="fr-FR"/>
        </w:rPr>
      </w:pPr>
      <w:r w:rsidRPr="006C3DF2">
        <w:rPr>
          <w:i/>
          <w:iCs/>
          <w:lang w:val="fr-FR"/>
        </w:rPr>
        <w:t>(Document de référence: ECE/TRANS/WP.15/AC.1/144, annexe II</w:t>
      </w:r>
      <w:r>
        <w:rPr>
          <w:i/>
          <w:iCs/>
          <w:lang w:val="fr-FR"/>
        </w:rPr>
        <w:t xml:space="preserve"> et</w:t>
      </w:r>
      <w:r w:rsidRPr="006C3DF2">
        <w:rPr>
          <w:i/>
          <w:iCs/>
          <w:lang w:val="fr-FR"/>
        </w:rPr>
        <w:t xml:space="preserve"> ECE/TRANS/WP.15/AC.1/146, annexe II)</w:t>
      </w:r>
    </w:p>
    <w:p w14:paraId="5C0CE756" w14:textId="23A84D80" w:rsidR="00E0792D" w:rsidRPr="006C3DF2" w:rsidRDefault="00E0792D" w:rsidP="00E0792D">
      <w:pPr>
        <w:pStyle w:val="SingleTxtG"/>
        <w:rPr>
          <w:rFonts w:cs="Arial"/>
          <w:bCs/>
          <w:szCs w:val="18"/>
          <w:lang w:val="fr-FR"/>
        </w:rPr>
      </w:pPr>
      <w:r w:rsidRPr="006C3DF2">
        <w:rPr>
          <w:bCs/>
          <w:lang w:val="fr-FR"/>
        </w:rPr>
        <w:t>6.8.3.2.9</w:t>
      </w:r>
      <w:r w:rsidRPr="006C3DF2">
        <w:rPr>
          <w:b/>
          <w:lang w:val="fr-FR"/>
        </w:rPr>
        <w:tab/>
      </w:r>
      <w:r w:rsidRPr="006C3DF2">
        <w:rPr>
          <w:lang w:val="fr-FR"/>
        </w:rPr>
        <w:t>À la fin, ajouter un nouveau paragraphe libellé comme suit:</w:t>
      </w:r>
    </w:p>
    <w:p w14:paraId="7613B86A" w14:textId="7CEB10AA" w:rsidR="00E0792D" w:rsidRPr="006C3DF2" w:rsidRDefault="00E0792D" w:rsidP="00E0792D">
      <w:pPr>
        <w:pStyle w:val="SingleTxtG"/>
        <w:rPr>
          <w:lang w:val="fr-FR"/>
        </w:rPr>
      </w:pPr>
      <w:r w:rsidRPr="006C3DF2">
        <w:rPr>
          <w:lang w:val="fr-FR"/>
        </w:rPr>
        <w:t>«</w:t>
      </w:r>
      <w:r w:rsidRPr="006C3DF2">
        <w:rPr>
          <w:iCs/>
          <w:lang w:val="fr-FR"/>
        </w:rPr>
        <w:t>Les soupapes de sécurité doivent être conçues ou protégées pour empêcher la pénétration d’eau ou d’autre substance étrangère qui pourrait nuire à leur bon fonctionnement. Cette protection ne doit pas affecter leurs performances.</w:t>
      </w:r>
      <w:r w:rsidRPr="006C3DF2">
        <w:rPr>
          <w:lang w:val="fr-FR"/>
        </w:rPr>
        <w:t>».</w:t>
      </w:r>
    </w:p>
    <w:p w14:paraId="6D96A31B" w14:textId="3B1B38A9" w:rsidR="00E0792D" w:rsidRPr="006C3DF2" w:rsidRDefault="00E0792D" w:rsidP="00E0792D">
      <w:pPr>
        <w:pStyle w:val="SingleTxtG"/>
        <w:rPr>
          <w:i/>
          <w:iCs/>
          <w:lang w:val="fr-FR"/>
        </w:rPr>
      </w:pPr>
      <w:r w:rsidRPr="006C3DF2">
        <w:rPr>
          <w:i/>
          <w:iCs/>
          <w:lang w:val="fr-FR"/>
        </w:rPr>
        <w:t>(Document de référence: ECE/TRANS/WP.15/AC.1/146, annexe II)</w:t>
      </w:r>
    </w:p>
    <w:p w14:paraId="46FC3287" w14:textId="3813AC44" w:rsidR="00E0792D" w:rsidRPr="006C3DF2" w:rsidRDefault="00E0792D" w:rsidP="00C20E32">
      <w:pPr>
        <w:pStyle w:val="SingleTxtG"/>
        <w:tabs>
          <w:tab w:val="left" w:pos="2268"/>
        </w:tabs>
        <w:rPr>
          <w:lang w:val="fr-FR" w:eastAsia="en-GB"/>
        </w:rPr>
      </w:pPr>
      <w:r w:rsidRPr="006C3DF2">
        <w:rPr>
          <w:lang w:val="fr-FR" w:eastAsia="en-GB"/>
        </w:rPr>
        <w:t>6.8.5.4</w:t>
      </w:r>
      <w:r w:rsidRPr="006C3DF2">
        <w:rPr>
          <w:lang w:val="fr-FR" w:eastAsia="en-GB"/>
        </w:rPr>
        <w:tab/>
        <w:t>Remplacer «EN 1252-</w:t>
      </w:r>
      <w:proofErr w:type="gramStart"/>
      <w:r w:rsidRPr="006C3DF2">
        <w:rPr>
          <w:lang w:val="fr-FR" w:eastAsia="en-GB"/>
        </w:rPr>
        <w:t>1:</w:t>
      </w:r>
      <w:proofErr w:type="gramEnd"/>
      <w:r w:rsidRPr="006C3DF2">
        <w:rPr>
          <w:lang w:val="fr-FR" w:eastAsia="en-GB"/>
        </w:rPr>
        <w:t>1998 Récipients cryogéniques- Matériaux - Partie 1: Exigences de ténacité pour les températures inférieures à -80 °C» par «EN ISO 21028-1:2016 Récipients cryogéniques – Exigences de ténacité pour les matériaux à des températures cryogéniques - Partie 1: températures inférieures à -80</w:t>
      </w:r>
      <w:r>
        <w:rPr>
          <w:lang w:val="fr-FR" w:eastAsia="en-GB"/>
        </w:rPr>
        <w:t> </w:t>
      </w:r>
      <w:r w:rsidRPr="006C3DF2">
        <w:rPr>
          <w:lang w:val="fr-FR" w:eastAsia="en-GB"/>
        </w:rPr>
        <w:t>°C».</w:t>
      </w:r>
    </w:p>
    <w:p w14:paraId="542B384A" w14:textId="57B7EB2F" w:rsidR="00E0792D" w:rsidRPr="006C3DF2" w:rsidRDefault="00E0792D" w:rsidP="00E0792D">
      <w:pPr>
        <w:pStyle w:val="SingleTxtG"/>
        <w:rPr>
          <w:i/>
          <w:iCs/>
          <w:lang w:val="fr-FR"/>
        </w:rPr>
      </w:pPr>
      <w:r w:rsidRPr="006C3DF2">
        <w:rPr>
          <w:i/>
          <w:iCs/>
          <w:lang w:val="fr-FR"/>
        </w:rPr>
        <w:t>(</w:t>
      </w:r>
      <w:r>
        <w:rPr>
          <w:i/>
          <w:iCs/>
          <w:lang w:val="fr-FR"/>
        </w:rPr>
        <w:t>Document de référence</w:t>
      </w:r>
      <w:r w:rsidRPr="006C3DF2">
        <w:rPr>
          <w:i/>
          <w:iCs/>
          <w:lang w:val="fr-FR"/>
        </w:rPr>
        <w:t>: ECE/TRANS/WP15/AC.1/144, annex</w:t>
      </w:r>
      <w:r>
        <w:rPr>
          <w:i/>
          <w:iCs/>
          <w:lang w:val="fr-FR"/>
        </w:rPr>
        <w:t>e</w:t>
      </w:r>
      <w:r w:rsidRPr="006C3DF2">
        <w:rPr>
          <w:i/>
          <w:iCs/>
          <w:lang w:val="fr-FR"/>
        </w:rPr>
        <w:t xml:space="preserve"> II, </w:t>
      </w:r>
      <w:r>
        <w:rPr>
          <w:i/>
          <w:iCs/>
          <w:lang w:val="fr-FR"/>
        </w:rPr>
        <w:t>tel que modifié</w:t>
      </w:r>
      <w:r w:rsidRPr="006C3DF2">
        <w:rPr>
          <w:i/>
          <w:iCs/>
          <w:lang w:val="fr-FR"/>
        </w:rPr>
        <w:t>)</w:t>
      </w:r>
    </w:p>
    <w:p w14:paraId="191B4128" w14:textId="77777777" w:rsidR="00E0792D" w:rsidRPr="00E0792D" w:rsidRDefault="00E0792D" w:rsidP="00E0792D">
      <w:pPr>
        <w:pStyle w:val="H1G"/>
      </w:pPr>
      <w:r w:rsidRPr="00E0792D">
        <w:lastRenderedPageBreak/>
        <w:tab/>
      </w:r>
      <w:r w:rsidRPr="00E0792D">
        <w:tab/>
        <w:t>Chapter 6.10</w:t>
      </w:r>
    </w:p>
    <w:p w14:paraId="459F5FF1" w14:textId="08C9DE96" w:rsidR="00E0792D" w:rsidRPr="006C3DF2" w:rsidRDefault="00E0792D" w:rsidP="00E0792D">
      <w:pPr>
        <w:pStyle w:val="SingleTxtG"/>
        <w:rPr>
          <w:lang w:val="fr-FR"/>
        </w:rPr>
      </w:pPr>
      <w:r w:rsidRPr="006C3DF2">
        <w:rPr>
          <w:lang w:val="fr-FR"/>
        </w:rPr>
        <w:t>6.10.3.8 f)</w:t>
      </w:r>
      <w:r w:rsidRPr="006C3DF2">
        <w:rPr>
          <w:lang w:val="fr-FR"/>
        </w:rPr>
        <w:tab/>
        <w:t>Remplacer «Des repères transparents» par «Des jauges de niveau en verre ou en autres matériaux transparents appropriés».</w:t>
      </w:r>
    </w:p>
    <w:p w14:paraId="36E6CF65" w14:textId="77777777" w:rsidR="00C20E32" w:rsidRPr="006C3DF2" w:rsidRDefault="00C20E32" w:rsidP="00C20E32">
      <w:pPr>
        <w:pStyle w:val="SingleTxtG"/>
        <w:rPr>
          <w:i/>
          <w:iCs/>
          <w:lang w:val="fr-FR"/>
        </w:rPr>
      </w:pPr>
      <w:r w:rsidRPr="006C3DF2">
        <w:rPr>
          <w:i/>
          <w:iCs/>
          <w:lang w:val="fr-FR"/>
        </w:rPr>
        <w:t>(Document de référence: ECE/TRANS/WP.15/AC.1/144, annexe II</w:t>
      </w:r>
      <w:r>
        <w:rPr>
          <w:i/>
          <w:iCs/>
          <w:lang w:val="fr-FR"/>
        </w:rPr>
        <w:t xml:space="preserve"> et</w:t>
      </w:r>
      <w:r w:rsidRPr="006C3DF2">
        <w:rPr>
          <w:i/>
          <w:iCs/>
          <w:lang w:val="fr-FR"/>
        </w:rPr>
        <w:t xml:space="preserve"> ECE/TRANS/WP.15/AC.1/146, annexe II)</w:t>
      </w:r>
    </w:p>
    <w:p w14:paraId="73E58ABB" w14:textId="20C41BB5" w:rsidR="00E0792D" w:rsidRPr="00E0792D" w:rsidRDefault="00E0792D" w:rsidP="00E0792D">
      <w:pPr>
        <w:pStyle w:val="H1G"/>
      </w:pPr>
      <w:r>
        <w:tab/>
      </w:r>
      <w:r>
        <w:tab/>
      </w:r>
      <w:r w:rsidRPr="00E0792D">
        <w:t>Chapter 7.5</w:t>
      </w:r>
    </w:p>
    <w:p w14:paraId="48082477" w14:textId="77777777" w:rsidR="00E0792D" w:rsidRPr="006C3DF2" w:rsidRDefault="00E0792D" w:rsidP="00E0792D">
      <w:pPr>
        <w:pStyle w:val="ParNoG"/>
        <w:numPr>
          <w:ilvl w:val="0"/>
          <w:numId w:val="0"/>
        </w:numPr>
        <w:tabs>
          <w:tab w:val="left" w:pos="2268"/>
        </w:tabs>
        <w:kinsoku w:val="0"/>
        <w:overflowPunct w:val="0"/>
        <w:autoSpaceDE w:val="0"/>
        <w:autoSpaceDN w:val="0"/>
        <w:adjustRightInd w:val="0"/>
        <w:snapToGrid w:val="0"/>
        <w:ind w:left="1134"/>
        <w:rPr>
          <w:lang w:val="fr-FR"/>
        </w:rPr>
      </w:pPr>
      <w:r w:rsidRPr="006C3DF2">
        <w:rPr>
          <w:lang w:val="fr-FR"/>
        </w:rPr>
        <w:t>7.5.7.1</w:t>
      </w:r>
      <w:r w:rsidRPr="006C3DF2">
        <w:rPr>
          <w:lang w:val="fr-FR"/>
        </w:rPr>
        <w:tab/>
        <w:t xml:space="preserve">Modifier la note de bas de page 1 pour lire comme suit: </w:t>
      </w:r>
    </w:p>
    <w:p w14:paraId="7B6BBEDF" w14:textId="2DA6638B" w:rsidR="00E0792D" w:rsidRPr="006C3DF2" w:rsidRDefault="00E0792D" w:rsidP="00E0792D">
      <w:pPr>
        <w:pStyle w:val="SingleTxtG"/>
        <w:rPr>
          <w:i/>
          <w:lang w:val="fr-FR"/>
        </w:rPr>
      </w:pPr>
      <w:r w:rsidRPr="00E73877">
        <w:rPr>
          <w:lang w:val="fr-FR"/>
        </w:rPr>
        <w:t>«</w:t>
      </w:r>
      <w:r w:rsidRPr="00E73877">
        <w:rPr>
          <w:rStyle w:val="FootnoteReference"/>
          <w:lang w:val="fr-FR"/>
        </w:rPr>
        <w:t>1</w:t>
      </w:r>
      <w:r w:rsidRPr="006C3DF2">
        <w:rPr>
          <w:i/>
          <w:lang w:val="fr-FR"/>
        </w:rPr>
        <w:tab/>
        <w:t>Des indications concernant l’arrimage des marchandises dangereuses se trouvent dans les chapitres 9 et 10 du Code de bonnes pratiques OMI/OIT/CEE pour le chargement des cargaisons dans des engins de transport (Code CTU) et dans le document “Code de bonnes pratiques européen concernant l’arrimage des charges sur les véhicules routiers” publié par la Commission Européenne. D’autres indications sont également disponibles auprès des autorités compétentes et des organismes de l’industrie</w:t>
      </w:r>
      <w:r>
        <w:rPr>
          <w:i/>
          <w:lang w:val="fr-FR"/>
        </w:rPr>
        <w:t>.</w:t>
      </w:r>
      <w:r w:rsidRPr="00E73877">
        <w:rPr>
          <w:lang w:val="fr-FR"/>
        </w:rPr>
        <w:t>».</w:t>
      </w:r>
    </w:p>
    <w:p w14:paraId="6F866273" w14:textId="77777777" w:rsidR="00E0792D" w:rsidRPr="006C3DF2" w:rsidRDefault="00E0792D" w:rsidP="00E0792D">
      <w:pPr>
        <w:pStyle w:val="SingleTxtG"/>
        <w:rPr>
          <w:i/>
          <w:lang w:val="fr-FR"/>
        </w:rPr>
      </w:pPr>
      <w:r w:rsidRPr="006C3DF2">
        <w:rPr>
          <w:i/>
          <w:lang w:val="fr-FR"/>
        </w:rPr>
        <w:t>(Document de référence: ECE/TRANS/WP.15/2017/12)</w:t>
      </w:r>
    </w:p>
    <w:p w14:paraId="117BD648" w14:textId="4FC0FBBB" w:rsidR="00E0792D" w:rsidRPr="006C3DF2" w:rsidRDefault="00E0792D" w:rsidP="00E0792D">
      <w:pPr>
        <w:pStyle w:val="SingleTxtG"/>
        <w:rPr>
          <w:iCs/>
          <w:lang w:val="fr-FR"/>
        </w:rPr>
      </w:pPr>
      <w:r w:rsidRPr="006C3DF2">
        <w:rPr>
          <w:iCs/>
          <w:lang w:val="fr-FR"/>
        </w:rPr>
        <w:t>7.5.7.4</w:t>
      </w:r>
      <w:r w:rsidRPr="006C3DF2">
        <w:rPr>
          <w:iCs/>
          <w:lang w:val="fr-FR"/>
        </w:rPr>
        <w:tab/>
      </w:r>
      <w:r w:rsidR="00E73877">
        <w:rPr>
          <w:iCs/>
          <w:lang w:val="fr-FR"/>
        </w:rPr>
        <w:tab/>
      </w:r>
      <w:r w:rsidRPr="006C3DF2">
        <w:rPr>
          <w:iCs/>
          <w:lang w:val="fr-FR"/>
        </w:rPr>
        <w:t>Modifier pour lire comme suit:</w:t>
      </w:r>
    </w:p>
    <w:p w14:paraId="56D84F69" w14:textId="7F554366" w:rsidR="00E0792D" w:rsidRPr="006C3DF2" w:rsidRDefault="00E0792D" w:rsidP="00E0792D">
      <w:pPr>
        <w:pStyle w:val="SingleTxtG"/>
        <w:rPr>
          <w:lang w:val="fr-FR"/>
        </w:rPr>
      </w:pPr>
      <w:r w:rsidRPr="006C3DF2">
        <w:rPr>
          <w:lang w:val="fr-FR"/>
        </w:rPr>
        <w:t>«</w:t>
      </w:r>
      <w:r>
        <w:rPr>
          <w:lang w:val="fr-FR"/>
        </w:rPr>
        <w:t>7.5.7.4</w:t>
      </w:r>
      <w:r>
        <w:rPr>
          <w:lang w:val="fr-FR"/>
        </w:rPr>
        <w:tab/>
      </w:r>
      <w:r w:rsidRPr="006C3DF2">
        <w:rPr>
          <w:lang w:val="fr-FR"/>
        </w:rPr>
        <w:t>Les dispositions du paragraphe 7.5.7.1 s’appliquent également au chargement et à l’arrimage des conteneurs, conteneurs-citernes, citernes mobiles et CGEM sur les véhicules ainsi qu’à leur déchargement. Pour les conteneurs-citernes, citernes mobiles et CGEM qui ne comprennent pas, par construction, de pièces de coin conformément à la norme ISO 1496-1 (Conteneurs de la série 1 – Spécifications et essais – Partie 1: Conteneurs d’usage général pour marchandises diverses), on doit vérifier que les dispositifs utilisés sur les conteneurs-citernes, citernes mobiles et CGEM sont compatibles avec le dispositif dont est équipé le véhicule et conformes aux prescriptions de la section 9.7.3</w:t>
      </w:r>
      <w:r>
        <w:rPr>
          <w:lang w:val="fr-FR"/>
        </w:rPr>
        <w:t>.</w:t>
      </w:r>
      <w:r w:rsidRPr="006C3DF2">
        <w:rPr>
          <w:lang w:val="fr-FR"/>
        </w:rPr>
        <w:t>».</w:t>
      </w:r>
    </w:p>
    <w:p w14:paraId="436B6562" w14:textId="77777777" w:rsidR="00E0792D" w:rsidRPr="006C3DF2" w:rsidRDefault="00E0792D" w:rsidP="00E0792D">
      <w:pPr>
        <w:pStyle w:val="SingleTxtG"/>
        <w:rPr>
          <w:lang w:val="fr-FR"/>
        </w:rPr>
      </w:pPr>
      <w:r w:rsidRPr="006C3DF2">
        <w:rPr>
          <w:i/>
          <w:lang w:val="fr-FR"/>
        </w:rPr>
        <w:t>(Document de référence: ECE/TRANS/WP.15/2017/</w:t>
      </w:r>
      <w:r w:rsidRPr="006C3DF2">
        <w:rPr>
          <w:i/>
          <w:iCs/>
          <w:lang w:val="fr-FR"/>
        </w:rPr>
        <w:t>7, proposition 3, telle que modifiée)</w:t>
      </w:r>
    </w:p>
    <w:p w14:paraId="0A1D2C35" w14:textId="27AACB29" w:rsidR="00E0792D" w:rsidRPr="00E0792D" w:rsidRDefault="00E0792D" w:rsidP="00E0792D">
      <w:pPr>
        <w:pStyle w:val="H1G"/>
      </w:pPr>
      <w:r>
        <w:tab/>
      </w:r>
      <w:r>
        <w:tab/>
      </w:r>
      <w:r w:rsidRPr="00E0792D">
        <w:t>Chapter 8.1</w:t>
      </w:r>
    </w:p>
    <w:p w14:paraId="57F4A3D7" w14:textId="69A0FF89" w:rsidR="00E0792D" w:rsidRPr="006C3DF2" w:rsidRDefault="00E0792D" w:rsidP="00E73877">
      <w:pPr>
        <w:pStyle w:val="SingleTxtG"/>
        <w:rPr>
          <w:lang w:val="fr-FR"/>
        </w:rPr>
      </w:pPr>
      <w:r w:rsidRPr="006C3DF2">
        <w:rPr>
          <w:lang w:val="fr-FR"/>
        </w:rPr>
        <w:t xml:space="preserve">8.1.2.1 a) </w:t>
      </w:r>
      <w:r w:rsidRPr="006C3DF2">
        <w:rPr>
          <w:lang w:val="fr-FR"/>
        </w:rPr>
        <w:tab/>
        <w:t xml:space="preserve">Remplacer </w:t>
      </w:r>
      <w:r w:rsidRPr="006C3DF2">
        <w:rPr>
          <w:rFonts w:ascii="Arial" w:hAnsi="Arial" w:cs="Arial"/>
          <w:lang w:val="fr-FR"/>
        </w:rPr>
        <w:t>«</w:t>
      </w:r>
      <w:r w:rsidRPr="006C3DF2">
        <w:rPr>
          <w:lang w:val="fr-FR" w:eastAsia="de-DE"/>
        </w:rPr>
        <w:t>certificat d'empotage du grand conteneur ou du véhicule</w:t>
      </w:r>
      <w:r w:rsidRPr="006C3DF2">
        <w:rPr>
          <w:rFonts w:ascii="Arial" w:hAnsi="Arial" w:cs="Arial"/>
          <w:lang w:val="fr-FR"/>
        </w:rPr>
        <w:t xml:space="preserve">» </w:t>
      </w:r>
      <w:r w:rsidRPr="006C3DF2">
        <w:rPr>
          <w:lang w:val="fr-FR"/>
        </w:rPr>
        <w:t xml:space="preserve">par </w:t>
      </w:r>
      <w:r w:rsidRPr="006C3DF2">
        <w:rPr>
          <w:rFonts w:ascii="Arial" w:hAnsi="Arial" w:cs="Arial"/>
          <w:lang w:val="fr-FR"/>
        </w:rPr>
        <w:t>«"</w:t>
      </w:r>
      <w:r w:rsidRPr="006C3DF2">
        <w:rPr>
          <w:lang w:val="fr-FR"/>
        </w:rPr>
        <w:t>certificat d'empotage du conteneur ou du véhicule"</w:t>
      </w:r>
      <w:r w:rsidRPr="006C3DF2">
        <w:rPr>
          <w:rFonts w:ascii="Arial" w:hAnsi="Arial" w:cs="Arial"/>
          <w:lang w:val="fr-FR"/>
        </w:rPr>
        <w:t>»</w:t>
      </w:r>
      <w:r w:rsidRPr="006C3DF2">
        <w:rPr>
          <w:lang w:val="fr-FR"/>
        </w:rPr>
        <w:t>.</w:t>
      </w:r>
    </w:p>
    <w:p w14:paraId="5F3E6365" w14:textId="77777777" w:rsidR="00E0792D" w:rsidRPr="006C3DF2" w:rsidRDefault="00E0792D" w:rsidP="00E0792D">
      <w:pPr>
        <w:pStyle w:val="SingleTxtG"/>
        <w:spacing w:before="120"/>
        <w:jc w:val="left"/>
        <w:rPr>
          <w:i/>
          <w:lang w:val="fr-FR"/>
        </w:rPr>
      </w:pPr>
      <w:r w:rsidRPr="006C3DF2">
        <w:rPr>
          <w:i/>
          <w:lang w:val="fr-FR"/>
        </w:rPr>
        <w:t>(Document de référence: document informel INF.3)</w:t>
      </w:r>
    </w:p>
    <w:p w14:paraId="7777EFEE" w14:textId="2AC7678F" w:rsidR="00E0792D" w:rsidRPr="00E0792D" w:rsidRDefault="00F46508" w:rsidP="00E0792D">
      <w:pPr>
        <w:pStyle w:val="H1G"/>
      </w:pPr>
      <w:r>
        <w:tab/>
      </w:r>
      <w:r>
        <w:tab/>
      </w:r>
      <w:r w:rsidR="00E0792D" w:rsidRPr="00E0792D">
        <w:t>Chapter 9.2</w:t>
      </w:r>
    </w:p>
    <w:p w14:paraId="4F3C8049" w14:textId="77777777" w:rsidR="00E0792D" w:rsidRPr="006C3DF2" w:rsidRDefault="00E0792D" w:rsidP="00E0792D">
      <w:pPr>
        <w:pStyle w:val="SingleTxtG"/>
        <w:rPr>
          <w:lang w:val="fr-FR"/>
        </w:rPr>
      </w:pPr>
      <w:r w:rsidRPr="006C3DF2">
        <w:rPr>
          <w:lang w:val="fr-FR"/>
        </w:rPr>
        <w:t>9.2.2.9.1 a)</w:t>
      </w:r>
      <w:r w:rsidRPr="006C3DF2">
        <w:rPr>
          <w:lang w:val="fr-FR"/>
        </w:rPr>
        <w:tab/>
        <w:t xml:space="preserve">Remplacer «parties 1, 2, 5, 6, 7, 11, 15 ou 18» par «parties 1, 2, 5, 6, 7, 11, 15, 18, 26 ou 28». </w:t>
      </w:r>
    </w:p>
    <w:p w14:paraId="5F12500D" w14:textId="77777777" w:rsidR="00E0792D" w:rsidRPr="006C3DF2" w:rsidRDefault="00E0792D" w:rsidP="00E0792D">
      <w:pPr>
        <w:pStyle w:val="SingleTxtG"/>
        <w:rPr>
          <w:lang w:val="fr-FR"/>
        </w:rPr>
      </w:pPr>
      <w:r w:rsidRPr="006C3DF2">
        <w:rPr>
          <w:i/>
          <w:lang w:val="fr-FR"/>
        </w:rPr>
        <w:t>(Document de référence: ECE/TRANS/WP.15/2017/6)</w:t>
      </w:r>
    </w:p>
    <w:p w14:paraId="5C95F343" w14:textId="71D64541" w:rsidR="00E0792D" w:rsidRPr="00E0792D" w:rsidRDefault="00F46508" w:rsidP="00E0792D">
      <w:pPr>
        <w:pStyle w:val="H1G"/>
      </w:pPr>
      <w:r>
        <w:tab/>
      </w:r>
      <w:r>
        <w:tab/>
      </w:r>
      <w:r w:rsidR="00E0792D" w:rsidRPr="00E0792D">
        <w:t>Chapter 9.7</w:t>
      </w:r>
    </w:p>
    <w:p w14:paraId="7FA24ACC" w14:textId="0481E0A0" w:rsidR="00E0792D" w:rsidRPr="006C3DF2" w:rsidRDefault="00E0792D" w:rsidP="00E0792D">
      <w:pPr>
        <w:pStyle w:val="ParNoG"/>
        <w:numPr>
          <w:ilvl w:val="0"/>
          <w:numId w:val="0"/>
        </w:numPr>
        <w:kinsoku w:val="0"/>
        <w:overflowPunct w:val="0"/>
        <w:autoSpaceDE w:val="0"/>
        <w:autoSpaceDN w:val="0"/>
        <w:adjustRightInd w:val="0"/>
        <w:snapToGrid w:val="0"/>
        <w:ind w:left="1134"/>
        <w:rPr>
          <w:lang w:val="fr-FR"/>
        </w:rPr>
      </w:pPr>
      <w:r w:rsidRPr="006C3DF2">
        <w:rPr>
          <w:iCs/>
          <w:lang w:val="fr-FR"/>
        </w:rPr>
        <w:t>9.7.3</w:t>
      </w:r>
      <w:r w:rsidRPr="006C3DF2">
        <w:rPr>
          <w:iCs/>
          <w:lang w:val="fr-FR"/>
        </w:rPr>
        <w:tab/>
      </w:r>
      <w:r w:rsidR="00E73877">
        <w:rPr>
          <w:iCs/>
          <w:lang w:val="fr-FR"/>
        </w:rPr>
        <w:tab/>
      </w:r>
      <w:r w:rsidRPr="006C3DF2">
        <w:rPr>
          <w:iCs/>
          <w:lang w:val="fr-FR"/>
        </w:rPr>
        <w:t>M</w:t>
      </w:r>
      <w:r w:rsidRPr="006C3DF2">
        <w:rPr>
          <w:lang w:val="fr-FR"/>
        </w:rPr>
        <w:t>odifier la section 9.7.3 comme suit:</w:t>
      </w:r>
    </w:p>
    <w:p w14:paraId="56DB4178" w14:textId="46771464" w:rsidR="00130074" w:rsidRDefault="00130074" w:rsidP="00130074">
      <w:pPr>
        <w:pStyle w:val="SingleTxtG"/>
        <w:rPr>
          <w:b/>
          <w:lang w:val="fr-FR"/>
        </w:rPr>
      </w:pPr>
      <w:r>
        <w:rPr>
          <w:lang w:val="fr-FR"/>
        </w:rPr>
        <w:t>«</w:t>
      </w:r>
      <w:r>
        <w:rPr>
          <w:b/>
          <w:lang w:val="fr-FR"/>
        </w:rPr>
        <w:t>9.7.3</w:t>
      </w:r>
      <w:r>
        <w:rPr>
          <w:b/>
          <w:lang w:val="fr-FR"/>
        </w:rPr>
        <w:tab/>
      </w:r>
      <w:r>
        <w:rPr>
          <w:b/>
          <w:lang w:val="fr-FR"/>
        </w:rPr>
        <w:tab/>
        <w:t>Moyens de fixation</w:t>
      </w:r>
    </w:p>
    <w:p w14:paraId="346B70DC" w14:textId="77777777" w:rsidR="00130074" w:rsidRDefault="00130074" w:rsidP="00130074">
      <w:pPr>
        <w:pStyle w:val="SingleTxtG"/>
        <w:ind w:left="2268" w:hanging="1134"/>
        <w:rPr>
          <w:lang w:val="fr-FR"/>
        </w:rPr>
      </w:pPr>
      <w:r>
        <w:rPr>
          <w:lang w:val="fr-FR"/>
        </w:rPr>
        <w:t>9.7.3.1</w:t>
      </w:r>
      <w:r>
        <w:rPr>
          <w:lang w:val="fr-FR"/>
        </w:rPr>
        <w:tab/>
        <w:t xml:space="preserve">Les moyens de fixation doivent être conçus pour résister aux sollicitations statiques et dynamiques dans les conditions normales de transport. </w:t>
      </w:r>
      <w:r>
        <w:rPr>
          <w:lang w:val="fr-FR"/>
        </w:rPr>
        <w:lastRenderedPageBreak/>
        <w:t>Les moyens de fixation comprennent également les cadres de support utilisés pour le montage de l’équipement de structure (voir 1.2.1) au véhicule.</w:t>
      </w:r>
    </w:p>
    <w:p w14:paraId="18D580B7" w14:textId="77777777" w:rsidR="00130074" w:rsidRDefault="00130074" w:rsidP="00130074">
      <w:pPr>
        <w:pStyle w:val="SingleTxtG"/>
        <w:ind w:left="2268" w:hanging="1134"/>
        <w:rPr>
          <w:lang w:val="fr-FR"/>
        </w:rPr>
      </w:pPr>
      <w:r>
        <w:rPr>
          <w:lang w:val="fr-FR"/>
        </w:rPr>
        <w:t>9.7.3.2</w:t>
      </w:r>
      <w:r>
        <w:rPr>
          <w:lang w:val="fr-FR"/>
        </w:rPr>
        <w:tab/>
      </w:r>
      <w:r>
        <w:rPr>
          <w:lang w:val="fr-FR"/>
        </w:rPr>
        <w:tab/>
        <w:t>Les moyens de fixation utilisés sur les véhicules-citernes, les véhicules-batteries, les véhicules transportant des conteneurs-citernes, les citernes démontables, les citernes mobiles, les CGEM ou les CGEM "UN" doivent pouvoir absorber, à la charge maximale admissible, les forces statiques suivantes appliquées séparément:</w:t>
      </w:r>
    </w:p>
    <w:p w14:paraId="51B7A952" w14:textId="77777777" w:rsidR="00130074" w:rsidRDefault="00130074" w:rsidP="00130074">
      <w:pPr>
        <w:pStyle w:val="Bullet1G"/>
        <w:numPr>
          <w:ilvl w:val="0"/>
          <w:numId w:val="13"/>
        </w:numPr>
        <w:kinsoku w:val="0"/>
        <w:overflowPunct w:val="0"/>
        <w:autoSpaceDE w:val="0"/>
        <w:autoSpaceDN w:val="0"/>
        <w:adjustRightInd w:val="0"/>
        <w:snapToGrid w:val="0"/>
        <w:ind w:left="2835"/>
        <w:rPr>
          <w:lang w:val="fr-FR"/>
        </w:rPr>
      </w:pPr>
      <w:r>
        <w:rPr>
          <w:lang w:val="fr-FR"/>
        </w:rPr>
        <w:tab/>
        <w:t>Dans le sens de la marche: deux fois la masse totale multipliée par l’accélération de la pesanteur (g)</w:t>
      </w:r>
      <w:r>
        <w:rPr>
          <w:vertAlign w:val="superscript"/>
          <w:lang w:val="fr-FR"/>
        </w:rPr>
        <w:t>1</w:t>
      </w:r>
      <w:r>
        <w:rPr>
          <w:lang w:val="fr-FR"/>
        </w:rPr>
        <w:t>;</w:t>
      </w:r>
    </w:p>
    <w:p w14:paraId="0DE79B83" w14:textId="77777777" w:rsidR="00130074" w:rsidRDefault="00130074" w:rsidP="00130074">
      <w:pPr>
        <w:pStyle w:val="Bullet1G"/>
        <w:numPr>
          <w:ilvl w:val="0"/>
          <w:numId w:val="13"/>
        </w:numPr>
        <w:kinsoku w:val="0"/>
        <w:overflowPunct w:val="0"/>
        <w:autoSpaceDE w:val="0"/>
        <w:autoSpaceDN w:val="0"/>
        <w:adjustRightInd w:val="0"/>
        <w:snapToGrid w:val="0"/>
        <w:ind w:left="2835"/>
        <w:rPr>
          <w:lang w:val="fr-FR"/>
        </w:rPr>
      </w:pPr>
      <w:r>
        <w:rPr>
          <w:lang w:val="fr-FR"/>
        </w:rPr>
        <w:tab/>
        <w:t>Transversalement au sens de la marche: la masse totale multipliée par l’accélération de la pesanteur (g)</w:t>
      </w:r>
      <w:r>
        <w:rPr>
          <w:vertAlign w:val="superscript"/>
          <w:lang w:val="fr-FR"/>
        </w:rPr>
        <w:t>1</w:t>
      </w:r>
      <w:r>
        <w:rPr>
          <w:lang w:val="fr-FR"/>
        </w:rPr>
        <w:t>;</w:t>
      </w:r>
    </w:p>
    <w:p w14:paraId="0945B993" w14:textId="77777777" w:rsidR="00130074" w:rsidRDefault="00130074" w:rsidP="00130074">
      <w:pPr>
        <w:pStyle w:val="Bullet1G"/>
        <w:numPr>
          <w:ilvl w:val="0"/>
          <w:numId w:val="13"/>
        </w:numPr>
        <w:kinsoku w:val="0"/>
        <w:overflowPunct w:val="0"/>
        <w:autoSpaceDE w:val="0"/>
        <w:autoSpaceDN w:val="0"/>
        <w:adjustRightInd w:val="0"/>
        <w:snapToGrid w:val="0"/>
        <w:ind w:left="2835"/>
        <w:rPr>
          <w:lang w:val="fr-FR"/>
        </w:rPr>
      </w:pPr>
      <w:r>
        <w:rPr>
          <w:lang w:val="fr-FR"/>
        </w:rPr>
        <w:tab/>
        <w:t>Verticalement, de bas en haut: la masse totale multipliée par l’accélération de la pesanteur (g)</w:t>
      </w:r>
      <w:r>
        <w:rPr>
          <w:vertAlign w:val="superscript"/>
          <w:lang w:val="fr-FR"/>
        </w:rPr>
        <w:t>1</w:t>
      </w:r>
      <w:r>
        <w:rPr>
          <w:lang w:val="fr-FR"/>
        </w:rPr>
        <w:t>;</w:t>
      </w:r>
    </w:p>
    <w:p w14:paraId="52ECECBB" w14:textId="77777777" w:rsidR="00130074" w:rsidRDefault="00130074" w:rsidP="00130074">
      <w:pPr>
        <w:pStyle w:val="Bullet1G"/>
        <w:numPr>
          <w:ilvl w:val="0"/>
          <w:numId w:val="13"/>
        </w:numPr>
        <w:kinsoku w:val="0"/>
        <w:overflowPunct w:val="0"/>
        <w:autoSpaceDE w:val="0"/>
        <w:autoSpaceDN w:val="0"/>
        <w:adjustRightInd w:val="0"/>
        <w:snapToGrid w:val="0"/>
        <w:ind w:left="2835"/>
        <w:rPr>
          <w:lang w:val="fr-FR"/>
        </w:rPr>
      </w:pPr>
      <w:r>
        <w:rPr>
          <w:lang w:val="fr-FR"/>
        </w:rPr>
        <w:tab/>
        <w:t>Verticalement, de haut en bas: deux fois la masse totale multipliée par l’accélération de la pesanteur (g)</w:t>
      </w:r>
      <w:r>
        <w:rPr>
          <w:vertAlign w:val="superscript"/>
          <w:lang w:val="fr-FR"/>
        </w:rPr>
        <w:t>1</w:t>
      </w:r>
      <w:r>
        <w:rPr>
          <w:lang w:val="fr-FR"/>
        </w:rPr>
        <w:t>.</w:t>
      </w:r>
    </w:p>
    <w:p w14:paraId="6642A1D7" w14:textId="77777777" w:rsidR="00130074" w:rsidRDefault="00130074" w:rsidP="00130074">
      <w:pPr>
        <w:pStyle w:val="SingleTxtG"/>
        <w:ind w:left="2268"/>
        <w:rPr>
          <w:i/>
          <w:lang w:val="fr-FR"/>
        </w:rPr>
      </w:pPr>
      <w:r>
        <w:rPr>
          <w:b/>
          <w:i/>
          <w:lang w:val="fr-FR"/>
        </w:rPr>
        <w:t>NOTA:</w:t>
      </w:r>
      <w:r>
        <w:rPr>
          <w:i/>
          <w:lang w:val="fr-FR"/>
        </w:rPr>
        <w:t xml:space="preserve"> Les prescriptions du présent paragraphe ne s’appliquent pas aux dispositifs d’arrimage à verrous tournants conformes à la norme ISO 1161:2016 (Conteneurs de la série 1 – Pièces de coin et pièces de fixation intermédiaires – Spécifications). Néanmoins, elles s’appliquent aux cadres et autres dispositifs utilisés en renfort de tels moyens de fixation au véhicule.».</w:t>
      </w:r>
    </w:p>
    <w:p w14:paraId="2547A221" w14:textId="77777777" w:rsidR="00130074" w:rsidRDefault="00130074" w:rsidP="00130074">
      <w:pPr>
        <w:pStyle w:val="SingleTxtG"/>
        <w:ind w:left="2268"/>
        <w:rPr>
          <w:b/>
          <w:lang w:val="fr-FR"/>
        </w:rPr>
      </w:pPr>
      <w:r>
        <w:rPr>
          <w:lang w:val="fr-FR"/>
        </w:rPr>
        <w:t xml:space="preserve">La note de bas de page 1 est libellée comme </w:t>
      </w:r>
      <w:proofErr w:type="gramStart"/>
      <w:r>
        <w:rPr>
          <w:lang w:val="fr-FR"/>
        </w:rPr>
        <w:t>suit:</w:t>
      </w:r>
      <w:proofErr w:type="gramEnd"/>
      <w:r>
        <w:rPr>
          <w:lang w:val="fr-FR"/>
        </w:rPr>
        <w:t xml:space="preserve"> «</w:t>
      </w:r>
      <w:r w:rsidRPr="00130074">
        <w:rPr>
          <w:i/>
          <w:lang w:val="fr-FR"/>
        </w:rPr>
        <w:t>Aux fins des calculs: g = 9,81 m/s</w:t>
      </w:r>
      <w:r w:rsidRPr="00130074">
        <w:rPr>
          <w:i/>
          <w:vertAlign w:val="superscript"/>
          <w:lang w:val="fr-FR"/>
        </w:rPr>
        <w:t>2</w:t>
      </w:r>
      <w:r w:rsidRPr="00130074">
        <w:rPr>
          <w:i/>
          <w:lang w:val="fr-FR"/>
        </w:rPr>
        <w:t>.</w:t>
      </w:r>
      <w:r>
        <w:rPr>
          <w:lang w:val="fr-FR"/>
        </w:rPr>
        <w:t>». Renuméroter la note de bas de page 1 existante du chapitre 9.7 en tant que note de bas de page 2.</w:t>
      </w:r>
    </w:p>
    <w:p w14:paraId="48238A7A" w14:textId="77777777" w:rsidR="00130074" w:rsidRDefault="00130074" w:rsidP="00130074">
      <w:pPr>
        <w:pStyle w:val="SingleTxtG"/>
        <w:rPr>
          <w:i/>
          <w:iCs/>
          <w:lang w:val="fr-FR"/>
        </w:rPr>
      </w:pPr>
      <w:r>
        <w:rPr>
          <w:i/>
          <w:lang w:val="fr-FR"/>
        </w:rPr>
        <w:t>(Document de référence:</w:t>
      </w:r>
      <w:r>
        <w:rPr>
          <w:i/>
          <w:iCs/>
          <w:lang w:val="fr-FR"/>
        </w:rPr>
        <w:t xml:space="preserve"> ECE/TRANS/WP.15/2017/7, proposition 2a, telle que modifiée)</w:t>
      </w:r>
    </w:p>
    <w:p w14:paraId="168456E5" w14:textId="77777777" w:rsidR="00130074" w:rsidRDefault="00130074" w:rsidP="00130074">
      <w:pPr>
        <w:pStyle w:val="SingleTxtG"/>
        <w:rPr>
          <w:lang w:val="fr-FR"/>
        </w:rPr>
      </w:pPr>
      <w:r>
        <w:rPr>
          <w:lang w:val="fr-FR"/>
        </w:rPr>
        <w:t>9.7.3</w:t>
      </w:r>
      <w:r>
        <w:rPr>
          <w:lang w:val="fr-FR"/>
        </w:rPr>
        <w:tab/>
        <w:t>Ajouter le nouveau paragraphe suivant:</w:t>
      </w:r>
    </w:p>
    <w:p w14:paraId="6E064A3B" w14:textId="77777777" w:rsidR="00130074" w:rsidRDefault="00130074" w:rsidP="00130074">
      <w:pPr>
        <w:pStyle w:val="SingleTxtG"/>
        <w:ind w:left="2268" w:hanging="1134"/>
        <w:rPr>
          <w:lang w:val="fr-FR"/>
        </w:rPr>
      </w:pPr>
      <w:r>
        <w:rPr>
          <w:lang w:val="fr-FR"/>
        </w:rPr>
        <w:t>«9.7.3.3</w:t>
      </w:r>
      <w:r>
        <w:rPr>
          <w:lang w:val="fr-FR"/>
        </w:rPr>
        <w:tab/>
        <w:t>Pour les véhicules-citernes, les véhicules-batteries et les véhicules porteurs de citernes démontables, les moyens de fixation doivent pouvoir absorber les contraintes minimales telles qu’elles sont définies aux 6.8.2.1.11 à 6.8.2.1.13, 6.8.2.1.15 et 6.8.2.1.16.».</w:t>
      </w:r>
    </w:p>
    <w:p w14:paraId="3025841D" w14:textId="51776822" w:rsidR="00E0792D" w:rsidRPr="006C3DF2" w:rsidRDefault="00E0792D" w:rsidP="009F69FE">
      <w:pPr>
        <w:pStyle w:val="SingleTxtG"/>
        <w:rPr>
          <w:lang w:val="fr-FR"/>
        </w:rPr>
      </w:pPr>
      <w:r w:rsidRPr="006C3DF2">
        <w:rPr>
          <w:i/>
          <w:lang w:val="fr-FR"/>
        </w:rPr>
        <w:t>(Document de référence:</w:t>
      </w:r>
      <w:r w:rsidRPr="006C3DF2">
        <w:rPr>
          <w:i/>
          <w:iCs/>
          <w:lang w:val="fr-FR"/>
        </w:rPr>
        <w:t xml:space="preserve"> ECE/TRANS/WP.15/2017/7, proposition 2c, telle que modifiée)</w:t>
      </w:r>
    </w:p>
    <w:p w14:paraId="2A4A1212" w14:textId="77777777" w:rsidR="00E0792D" w:rsidRPr="006C3DF2" w:rsidRDefault="00E0792D" w:rsidP="00DB77BC">
      <w:pPr>
        <w:pStyle w:val="SingleTxtG"/>
        <w:tabs>
          <w:tab w:val="left" w:pos="2268"/>
        </w:tabs>
        <w:rPr>
          <w:lang w:val="fr-FR"/>
        </w:rPr>
      </w:pPr>
      <w:r w:rsidRPr="006C3DF2">
        <w:rPr>
          <w:lang w:val="fr-FR"/>
        </w:rPr>
        <w:t>9.7.8.2</w:t>
      </w:r>
      <w:r w:rsidRPr="006C3DF2">
        <w:rPr>
          <w:lang w:val="fr-FR"/>
        </w:rPr>
        <w:tab/>
        <w:t>Remplacer «parties 1, 2, 5, 6, 7, 11 ou 18» par «parties 1, 2, 5, 6, 7, 11, 18, 26 ou 28».</w:t>
      </w:r>
    </w:p>
    <w:p w14:paraId="76A40597" w14:textId="77777777" w:rsidR="00E0792D" w:rsidRPr="006C3DF2" w:rsidRDefault="00E0792D" w:rsidP="00DB77BC">
      <w:pPr>
        <w:pStyle w:val="SingleTxtG"/>
        <w:tabs>
          <w:tab w:val="left" w:pos="2268"/>
        </w:tabs>
        <w:rPr>
          <w:i/>
          <w:lang w:val="fr-FR"/>
        </w:rPr>
      </w:pPr>
      <w:r w:rsidRPr="006C3DF2">
        <w:rPr>
          <w:i/>
          <w:lang w:val="fr-FR"/>
        </w:rPr>
        <w:t>(Document de référence: ECE/TRANS/WP.15/2017/6)</w:t>
      </w:r>
    </w:p>
    <w:p w14:paraId="2984634B" w14:textId="5139DC84" w:rsidR="00BF06B0" w:rsidRDefault="00BF06B0" w:rsidP="00765650">
      <w:pPr>
        <w:suppressAutoHyphens w:val="0"/>
        <w:spacing w:line="240" w:lineRule="auto"/>
      </w:pPr>
    </w:p>
    <w:p w14:paraId="33CD8DCB" w14:textId="524898A4" w:rsidR="008C7AD9" w:rsidRDefault="008C7AD9" w:rsidP="00765650">
      <w:pPr>
        <w:suppressAutoHyphens w:val="0"/>
        <w:spacing w:line="240" w:lineRule="auto"/>
      </w:pPr>
    </w:p>
    <w:p w14:paraId="46149E4D" w14:textId="23BAD8F4" w:rsidR="008C7AD9" w:rsidRDefault="008C7AD9">
      <w:pPr>
        <w:suppressAutoHyphens w:val="0"/>
        <w:spacing w:line="240" w:lineRule="auto"/>
      </w:pPr>
      <w:r>
        <w:br w:type="page"/>
      </w:r>
    </w:p>
    <w:p w14:paraId="2343E87B" w14:textId="77777777" w:rsidR="0076474D" w:rsidRDefault="0076474D" w:rsidP="0076474D">
      <w:pPr>
        <w:pStyle w:val="HChG"/>
      </w:pPr>
      <w:r>
        <w:lastRenderedPageBreak/>
        <w:t>Annexe II</w:t>
      </w:r>
    </w:p>
    <w:p w14:paraId="7F3A75B2" w14:textId="58110F95" w:rsidR="0076474D" w:rsidRDefault="0076474D" w:rsidP="0076474D">
      <w:pPr>
        <w:pStyle w:val="HChG"/>
      </w:pPr>
      <w:r>
        <w:tab/>
      </w:r>
      <w:r>
        <w:tab/>
        <w:t>Corrections aux annexes A et B de l'ADR</w:t>
      </w:r>
    </w:p>
    <w:p w14:paraId="00C224A8" w14:textId="77777777" w:rsidR="0076474D" w:rsidRDefault="0076474D" w:rsidP="0076474D">
      <w:pPr>
        <w:pStyle w:val="SingleTxtG"/>
        <w:rPr>
          <w:i/>
          <w:lang w:val="fr-FR"/>
        </w:rPr>
      </w:pPr>
      <w:r w:rsidRPr="0076474D">
        <w:rPr>
          <w:b/>
          <w:i/>
          <w:lang w:val="fr-FR"/>
        </w:rPr>
        <w:t>Note du secrétariat:</w:t>
      </w:r>
      <w:r w:rsidRPr="0076474D">
        <w:rPr>
          <w:b/>
          <w:i/>
          <w:lang w:val="fr-FR"/>
        </w:rPr>
        <w:tab/>
      </w:r>
      <w:r>
        <w:rPr>
          <w:i/>
          <w:lang w:val="fr-FR"/>
        </w:rPr>
        <w:t xml:space="preserve">Comme la version française des annexes A et B de l’ADR est la seule version authentique, et que les corrections ne s’appliquent pas à la version française, ces corrections doivent être considérées comme étant déjà applicables. </w:t>
      </w:r>
    </w:p>
    <w:p w14:paraId="3A394922" w14:textId="3AD4D0D2" w:rsidR="0076474D" w:rsidRPr="006C3DF2" w:rsidRDefault="0076474D" w:rsidP="0076474D">
      <w:pPr>
        <w:pStyle w:val="SingleTxtG"/>
        <w:ind w:left="567" w:firstLine="567"/>
        <w:rPr>
          <w:b/>
          <w:bCs/>
          <w:lang w:val="fr-FR"/>
        </w:rPr>
      </w:pPr>
      <w:r w:rsidRPr="006C3DF2">
        <w:rPr>
          <w:b/>
          <w:bCs/>
          <w:lang w:val="fr-FR"/>
        </w:rPr>
        <w:t>Chapitre 6.1, 6.1.4.1.1</w:t>
      </w:r>
    </w:p>
    <w:p w14:paraId="42B7819B" w14:textId="77777777" w:rsidR="0076474D" w:rsidRPr="006C3DF2" w:rsidRDefault="0076474D" w:rsidP="0076474D">
      <w:pPr>
        <w:pStyle w:val="SingleTxtG"/>
        <w:rPr>
          <w:lang w:val="fr-FR"/>
        </w:rPr>
      </w:pPr>
      <w:r w:rsidRPr="006C3DF2">
        <w:rPr>
          <w:lang w:val="fr-FR"/>
        </w:rPr>
        <w:t>Sans objet en français.</w:t>
      </w:r>
    </w:p>
    <w:p w14:paraId="14F3F280" w14:textId="77777777" w:rsidR="0076474D" w:rsidRPr="006C3DF2" w:rsidRDefault="0076474D" w:rsidP="0076474D">
      <w:pPr>
        <w:pStyle w:val="SingleTxtG"/>
        <w:rPr>
          <w:lang w:val="fr-FR"/>
        </w:rPr>
      </w:pPr>
      <w:r w:rsidRPr="006C3DF2">
        <w:rPr>
          <w:i/>
          <w:iCs/>
          <w:lang w:val="fr-FR"/>
        </w:rPr>
        <w:t>(Document de référence: ECE/TRANS/WP.15/AC.1/146, annexe III)</w:t>
      </w:r>
    </w:p>
    <w:p w14:paraId="7B63E338" w14:textId="77777777" w:rsidR="0076474D" w:rsidRPr="006C3DF2" w:rsidRDefault="0076474D" w:rsidP="0076474D">
      <w:pPr>
        <w:pStyle w:val="SingleTxtG"/>
        <w:rPr>
          <w:b/>
          <w:bCs/>
          <w:lang w:val="fr-FR"/>
        </w:rPr>
      </w:pPr>
      <w:r w:rsidRPr="006C3DF2">
        <w:rPr>
          <w:b/>
          <w:bCs/>
          <w:lang w:val="fr-FR"/>
        </w:rPr>
        <w:t xml:space="preserve">Chapitre 9.2, 9.2.1.1, </w:t>
      </w:r>
      <w:r>
        <w:rPr>
          <w:rFonts w:eastAsia="Calibri"/>
          <w:b/>
          <w:bCs/>
          <w:lang w:val="fr-FR"/>
        </w:rPr>
        <w:t xml:space="preserve">dans le </w:t>
      </w:r>
      <w:r w:rsidRPr="006C3DF2">
        <w:rPr>
          <w:rFonts w:eastAsia="Calibri"/>
          <w:b/>
          <w:bCs/>
          <w:lang w:val="fr-FR"/>
        </w:rPr>
        <w:t>tableau</w:t>
      </w:r>
      <w:r>
        <w:rPr>
          <w:rFonts w:eastAsia="Calibri"/>
          <w:b/>
          <w:bCs/>
          <w:lang w:val="fr-FR"/>
        </w:rPr>
        <w:t>, pour 9.2.5,</w:t>
      </w:r>
      <w:r w:rsidRPr="006C3DF2" w:rsidDel="00950F2C">
        <w:rPr>
          <w:b/>
          <w:bCs/>
          <w:lang w:val="fr-FR"/>
        </w:rPr>
        <w:t xml:space="preserve"> </w:t>
      </w:r>
      <w:r>
        <w:rPr>
          <w:b/>
          <w:bCs/>
          <w:lang w:val="fr-FR"/>
        </w:rPr>
        <w:t>remarque</w:t>
      </w:r>
      <w:r w:rsidRPr="006C3DF2">
        <w:rPr>
          <w:b/>
          <w:bCs/>
          <w:lang w:val="fr-FR"/>
        </w:rPr>
        <w:t xml:space="preserve"> “i”</w:t>
      </w:r>
    </w:p>
    <w:p w14:paraId="4210CCEF" w14:textId="77777777" w:rsidR="0076474D" w:rsidRPr="006C3DF2" w:rsidRDefault="0076474D" w:rsidP="0076474D">
      <w:pPr>
        <w:pStyle w:val="SingleTxtG"/>
        <w:rPr>
          <w:lang w:val="fr-FR"/>
        </w:rPr>
      </w:pPr>
      <w:r w:rsidRPr="006C3DF2">
        <w:rPr>
          <w:lang w:val="fr-FR"/>
        </w:rPr>
        <w:t>Sans objet en français</w:t>
      </w:r>
    </w:p>
    <w:p w14:paraId="1992D4C1" w14:textId="77777777" w:rsidR="0076474D" w:rsidRPr="006C3DF2" w:rsidRDefault="0076474D" w:rsidP="0076474D">
      <w:pPr>
        <w:pStyle w:val="SingleTxtG"/>
        <w:rPr>
          <w:i/>
          <w:iCs/>
          <w:lang w:val="fr-FR"/>
        </w:rPr>
      </w:pPr>
      <w:r w:rsidRPr="006C3DF2">
        <w:rPr>
          <w:i/>
          <w:iCs/>
          <w:lang w:val="fr-FR"/>
        </w:rPr>
        <w:t>(Document de référence:</w:t>
      </w:r>
      <w:r w:rsidRPr="006C3DF2">
        <w:rPr>
          <w:i/>
          <w:lang w:val="fr-FR"/>
        </w:rPr>
        <w:t xml:space="preserve"> document informel INF.</w:t>
      </w:r>
      <w:r w:rsidRPr="006C3DF2">
        <w:rPr>
          <w:i/>
          <w:iCs/>
          <w:lang w:val="fr-FR"/>
        </w:rPr>
        <w:t>12)</w:t>
      </w:r>
    </w:p>
    <w:p w14:paraId="07750EDD" w14:textId="77777777" w:rsidR="0076474D" w:rsidRPr="006C3DF2" w:rsidRDefault="0076474D" w:rsidP="0076474D">
      <w:pPr>
        <w:pStyle w:val="SingleTxtG"/>
        <w:rPr>
          <w:b/>
          <w:bCs/>
          <w:lang w:val="fr-FR"/>
        </w:rPr>
      </w:pPr>
      <w:r w:rsidRPr="006C3DF2">
        <w:rPr>
          <w:b/>
          <w:bCs/>
          <w:lang w:val="fr-FR"/>
        </w:rPr>
        <w:t xml:space="preserve">Chapitre 9.2, 9.2.4.4, titre </w:t>
      </w:r>
    </w:p>
    <w:p w14:paraId="30C7DACD" w14:textId="77777777" w:rsidR="0076474D" w:rsidRPr="006C3DF2" w:rsidRDefault="0076474D" w:rsidP="0076474D">
      <w:pPr>
        <w:pStyle w:val="SingleTxtG"/>
        <w:rPr>
          <w:lang w:val="fr-FR"/>
        </w:rPr>
      </w:pPr>
      <w:r w:rsidRPr="006C3DF2">
        <w:rPr>
          <w:lang w:val="fr-FR"/>
        </w:rPr>
        <w:t>Sans objet en français</w:t>
      </w:r>
    </w:p>
    <w:p w14:paraId="7E21ABE2" w14:textId="77777777" w:rsidR="0076474D" w:rsidRPr="006C3DF2" w:rsidRDefault="0076474D" w:rsidP="0076474D">
      <w:pPr>
        <w:pStyle w:val="SingleTxtG"/>
        <w:rPr>
          <w:i/>
          <w:iCs/>
          <w:lang w:val="fr-FR"/>
        </w:rPr>
      </w:pPr>
      <w:r w:rsidRPr="006C3DF2">
        <w:rPr>
          <w:i/>
          <w:iCs/>
          <w:lang w:val="fr-FR"/>
        </w:rPr>
        <w:t>(Document de référence:</w:t>
      </w:r>
      <w:r w:rsidRPr="006C3DF2">
        <w:rPr>
          <w:i/>
          <w:lang w:val="fr-FR"/>
        </w:rPr>
        <w:t xml:space="preserve"> document informel INF.</w:t>
      </w:r>
      <w:r w:rsidRPr="006C3DF2">
        <w:rPr>
          <w:i/>
          <w:iCs/>
          <w:lang w:val="fr-FR"/>
        </w:rPr>
        <w:t>12)</w:t>
      </w:r>
    </w:p>
    <w:p w14:paraId="1D8092A5" w14:textId="77777777" w:rsidR="0076474D" w:rsidRDefault="0076474D">
      <w:pPr>
        <w:suppressAutoHyphens w:val="0"/>
        <w:spacing w:line="240" w:lineRule="auto"/>
        <w:rPr>
          <w:b/>
          <w:sz w:val="28"/>
        </w:rPr>
      </w:pPr>
      <w:r>
        <w:br w:type="page"/>
      </w:r>
    </w:p>
    <w:p w14:paraId="08EA2516" w14:textId="77777777" w:rsidR="009C16F9" w:rsidRDefault="009C16F9" w:rsidP="009C16F9">
      <w:pPr>
        <w:pStyle w:val="HChG"/>
      </w:pPr>
      <w:r>
        <w:lastRenderedPageBreak/>
        <w:t>Annexe III</w:t>
      </w:r>
    </w:p>
    <w:p w14:paraId="199D678E" w14:textId="77777777" w:rsidR="009C16F9" w:rsidRDefault="009C16F9" w:rsidP="009C16F9">
      <w:pPr>
        <w:pStyle w:val="HChG"/>
      </w:pPr>
      <w:r>
        <w:tab/>
      </w:r>
      <w:r>
        <w:tab/>
        <w:t xml:space="preserve">Projet d’amendements aux annexes A et B de l’ADR </w:t>
      </w:r>
      <w:r>
        <w:br/>
        <w:t xml:space="preserve">adopté par le Groupe de travail pour </w:t>
      </w:r>
      <w:proofErr w:type="spellStart"/>
      <w:r>
        <w:t>entrée</w:t>
      </w:r>
      <w:proofErr w:type="spellEnd"/>
      <w:r>
        <w:t xml:space="preserve"> en vigueur </w:t>
      </w:r>
      <w:r>
        <w:br/>
        <w:t>dès que possible</w:t>
      </w:r>
    </w:p>
    <w:p w14:paraId="469A6CA8" w14:textId="77777777" w:rsidR="009C16F9" w:rsidRDefault="009C16F9" w:rsidP="009C16F9">
      <w:pPr>
        <w:pStyle w:val="SingleTxtG"/>
        <w:rPr>
          <w:i/>
          <w:lang w:val="fr-FR"/>
        </w:rPr>
      </w:pPr>
      <w:r>
        <w:rPr>
          <w:b/>
          <w:i/>
          <w:lang w:val="fr-FR"/>
        </w:rPr>
        <w:t xml:space="preserve">Note du secrétariat: </w:t>
      </w:r>
      <w:r>
        <w:rPr>
          <w:i/>
          <w:lang w:val="fr-FR"/>
        </w:rPr>
        <w:t>Les amendements repris dans le</w:t>
      </w:r>
      <w:r>
        <w:rPr>
          <w:b/>
          <w:i/>
          <w:lang w:val="fr-FR"/>
        </w:rPr>
        <w:t xml:space="preserve"> </w:t>
      </w:r>
      <w:r>
        <w:rPr>
          <w:i/>
          <w:lang w:val="fr-FR"/>
        </w:rPr>
        <w:t>projet d’amendements ci-après ont été adoptés par le Groupe de travail en tant que corrections. Toutefois, suite à l'adoption du rapport, la Section des traités du Bureau des affaires juridiques des Nations Unies a été consultée et a estimé que la plupart des corrections proposées ne satisfaisaient pas aux critères de rectification d'erreurs ou de défauts de concordance dans l'original d'un traité multilatéral, tel qu'énoncé dans le Précis de la pratique du Secrétaire Général en tant que dépositaire des traités multilatéraux, et devraient être traités comme des amendements. En conséquence, le Président du Groupe de travail a informé le secrétariat que le Portugal présenterait une proposition d'amendements conformément à la procédure prévue à l'article 14 (3) de l'ADR.</w:t>
      </w:r>
    </w:p>
    <w:p w14:paraId="3198F99C" w14:textId="77777777" w:rsidR="00DB77BC" w:rsidRPr="006C3DF2" w:rsidRDefault="00DB77BC" w:rsidP="00DB77BC">
      <w:pPr>
        <w:pStyle w:val="H23G"/>
        <w:tabs>
          <w:tab w:val="clear" w:pos="851"/>
        </w:tabs>
        <w:ind w:firstLine="0"/>
        <w:rPr>
          <w:lang w:val="fr-FR"/>
        </w:rPr>
      </w:pPr>
      <w:r w:rsidRPr="006C3DF2">
        <w:rPr>
          <w:lang w:val="fr-FR"/>
        </w:rPr>
        <w:t xml:space="preserve">Chapitre 3.2, </w:t>
      </w:r>
      <w:r w:rsidRPr="006C3DF2">
        <w:rPr>
          <w:bCs/>
          <w:lang w:val="fr-FR"/>
        </w:rPr>
        <w:t xml:space="preserve">Liste des marchandises dangereuses, No ONU </w:t>
      </w:r>
      <w:r w:rsidRPr="006C3DF2">
        <w:rPr>
          <w:lang w:val="fr-FR"/>
        </w:rPr>
        <w:t>2908, colonne (6)</w:t>
      </w:r>
    </w:p>
    <w:p w14:paraId="54ACAFA9" w14:textId="77777777" w:rsidR="00DB77BC" w:rsidRPr="006C3DF2" w:rsidRDefault="00DB77BC" w:rsidP="00DB77BC">
      <w:pPr>
        <w:pStyle w:val="SingleTxtG"/>
        <w:rPr>
          <w:lang w:val="fr-FR"/>
        </w:rPr>
      </w:pPr>
      <w:r w:rsidRPr="006C3DF2">
        <w:rPr>
          <w:i/>
          <w:lang w:val="fr-FR"/>
        </w:rPr>
        <w:t>Insérer</w:t>
      </w:r>
      <w:r w:rsidRPr="006C3DF2">
        <w:rPr>
          <w:lang w:val="fr-FR"/>
        </w:rPr>
        <w:t xml:space="preserve"> 368</w:t>
      </w:r>
    </w:p>
    <w:p w14:paraId="7FDBC600" w14:textId="77777777" w:rsidR="00DB77BC" w:rsidRPr="006C3DF2" w:rsidRDefault="00DB77BC" w:rsidP="00DB77BC">
      <w:pPr>
        <w:pStyle w:val="SingleTxtG"/>
        <w:rPr>
          <w:lang w:val="fr-FR"/>
        </w:rPr>
      </w:pPr>
      <w:r w:rsidRPr="006C3DF2">
        <w:rPr>
          <w:i/>
          <w:iCs/>
          <w:lang w:val="fr-FR"/>
        </w:rPr>
        <w:t>(Document de référence: ECE/TRANS/WP.15/AC.1/146, annexe III)</w:t>
      </w:r>
    </w:p>
    <w:p w14:paraId="2D47E583" w14:textId="461715F9" w:rsidR="00DB77BC" w:rsidRPr="006C3DF2" w:rsidRDefault="00DB77BC" w:rsidP="00DB77BC">
      <w:pPr>
        <w:pStyle w:val="H23G"/>
        <w:tabs>
          <w:tab w:val="clear" w:pos="851"/>
        </w:tabs>
        <w:ind w:firstLine="0"/>
        <w:rPr>
          <w:lang w:val="fr-FR"/>
        </w:rPr>
      </w:pPr>
      <w:r w:rsidRPr="006C3DF2">
        <w:rPr>
          <w:lang w:val="fr-FR"/>
        </w:rPr>
        <w:t xml:space="preserve">Chapitre 3.2, </w:t>
      </w:r>
      <w:r w:rsidRPr="00373317">
        <w:rPr>
          <w:lang w:val="fr-FR"/>
        </w:rPr>
        <w:t xml:space="preserve">Liste des marchandises dangereuses, No ONU </w:t>
      </w:r>
      <w:r w:rsidRPr="006C3DF2">
        <w:rPr>
          <w:lang w:val="fr-FR"/>
        </w:rPr>
        <w:t>2913, colonne (6)</w:t>
      </w:r>
    </w:p>
    <w:p w14:paraId="3A3CA1A4" w14:textId="77777777" w:rsidR="00DB77BC" w:rsidRPr="006C3DF2" w:rsidRDefault="00DB77BC" w:rsidP="00DB77BC">
      <w:pPr>
        <w:pStyle w:val="SingleTxtG"/>
        <w:rPr>
          <w:lang w:val="fr-FR"/>
        </w:rPr>
      </w:pPr>
      <w:r w:rsidRPr="006C3DF2">
        <w:rPr>
          <w:i/>
          <w:lang w:val="fr-FR"/>
        </w:rPr>
        <w:t>Insérer</w:t>
      </w:r>
      <w:r w:rsidRPr="006C3DF2">
        <w:rPr>
          <w:lang w:val="fr-FR"/>
        </w:rPr>
        <w:t xml:space="preserve"> 325</w:t>
      </w:r>
    </w:p>
    <w:p w14:paraId="4311DC41" w14:textId="77777777" w:rsidR="00DB77BC" w:rsidRPr="006C3DF2" w:rsidRDefault="00DB77BC" w:rsidP="00DB77BC">
      <w:pPr>
        <w:pStyle w:val="SingleTxtG"/>
        <w:rPr>
          <w:lang w:val="fr-FR"/>
        </w:rPr>
      </w:pPr>
      <w:r w:rsidRPr="006C3DF2">
        <w:rPr>
          <w:i/>
          <w:iCs/>
          <w:lang w:val="fr-FR"/>
        </w:rPr>
        <w:t>(Document de référence: ECE/TRANS/WP.15/AC.1/146, annexe III)</w:t>
      </w:r>
    </w:p>
    <w:p w14:paraId="1F3B94FD" w14:textId="77777777" w:rsidR="00DB77BC" w:rsidRPr="006C3DF2" w:rsidRDefault="00DB77BC" w:rsidP="00DB77BC">
      <w:pPr>
        <w:pStyle w:val="H23G"/>
        <w:tabs>
          <w:tab w:val="clear" w:pos="851"/>
        </w:tabs>
        <w:ind w:firstLine="0"/>
        <w:rPr>
          <w:lang w:val="fr-FR"/>
        </w:rPr>
      </w:pPr>
      <w:r w:rsidRPr="006C3DF2">
        <w:rPr>
          <w:lang w:val="fr-FR"/>
        </w:rPr>
        <w:t xml:space="preserve">Chapitre 3.2, </w:t>
      </w:r>
      <w:r w:rsidRPr="00373317">
        <w:rPr>
          <w:lang w:val="fr-FR"/>
        </w:rPr>
        <w:t xml:space="preserve">Liste des marchandises dangereuses, No ONU </w:t>
      </w:r>
      <w:r w:rsidRPr="006C3DF2">
        <w:rPr>
          <w:lang w:val="fr-FR"/>
        </w:rPr>
        <w:t>2913, colonne (6)</w:t>
      </w:r>
    </w:p>
    <w:p w14:paraId="4BCF6C8D" w14:textId="77777777" w:rsidR="00DB77BC" w:rsidRPr="006C3DF2" w:rsidRDefault="00DB77BC" w:rsidP="00DB77BC">
      <w:pPr>
        <w:pStyle w:val="SingleTxtG"/>
        <w:rPr>
          <w:lang w:val="fr-FR"/>
        </w:rPr>
      </w:pPr>
      <w:r w:rsidRPr="006C3DF2">
        <w:rPr>
          <w:i/>
          <w:lang w:val="fr-FR"/>
        </w:rPr>
        <w:t>Supprimer</w:t>
      </w:r>
      <w:r w:rsidRPr="006C3DF2">
        <w:rPr>
          <w:lang w:val="fr-FR"/>
        </w:rPr>
        <w:t xml:space="preserve"> 336</w:t>
      </w:r>
    </w:p>
    <w:p w14:paraId="6F84315D" w14:textId="77777777" w:rsidR="00DB77BC" w:rsidRPr="006C3DF2" w:rsidRDefault="00DB77BC" w:rsidP="00DB77BC">
      <w:pPr>
        <w:pStyle w:val="SingleTxtG"/>
        <w:rPr>
          <w:lang w:val="fr-FR"/>
        </w:rPr>
      </w:pPr>
      <w:r w:rsidRPr="006C3DF2">
        <w:rPr>
          <w:i/>
          <w:iCs/>
          <w:lang w:val="fr-FR"/>
        </w:rPr>
        <w:t>(Document de référence: ECE/TRANS/WP.15/AC.1/146, annexe III)</w:t>
      </w:r>
    </w:p>
    <w:p w14:paraId="3D66BC50" w14:textId="77777777" w:rsidR="00DB77BC" w:rsidRPr="006C3DF2" w:rsidRDefault="00DB77BC" w:rsidP="00DB77BC">
      <w:pPr>
        <w:pStyle w:val="H23G"/>
        <w:tabs>
          <w:tab w:val="clear" w:pos="851"/>
        </w:tabs>
        <w:ind w:firstLine="0"/>
        <w:rPr>
          <w:lang w:val="fr-FR"/>
        </w:rPr>
      </w:pPr>
      <w:r w:rsidRPr="006C3DF2">
        <w:rPr>
          <w:lang w:val="fr-FR"/>
        </w:rPr>
        <w:t xml:space="preserve">Chapitre 3.2, </w:t>
      </w:r>
      <w:r w:rsidRPr="00373317">
        <w:rPr>
          <w:lang w:val="fr-FR"/>
        </w:rPr>
        <w:t xml:space="preserve">Liste des marchandises dangereuses, No ONU </w:t>
      </w:r>
      <w:r w:rsidRPr="006C3DF2">
        <w:rPr>
          <w:lang w:val="fr-FR"/>
        </w:rPr>
        <w:t>3326, colonne (6)</w:t>
      </w:r>
    </w:p>
    <w:p w14:paraId="295328E6" w14:textId="77777777" w:rsidR="00DB77BC" w:rsidRPr="006C3DF2" w:rsidRDefault="00DB77BC" w:rsidP="00DB77BC">
      <w:pPr>
        <w:pStyle w:val="SingleTxtG"/>
        <w:rPr>
          <w:lang w:val="fr-FR"/>
        </w:rPr>
      </w:pPr>
      <w:r w:rsidRPr="006C3DF2">
        <w:rPr>
          <w:i/>
          <w:lang w:val="fr-FR"/>
        </w:rPr>
        <w:t>Insérer</w:t>
      </w:r>
      <w:r w:rsidRPr="006C3DF2">
        <w:rPr>
          <w:lang w:val="fr-FR"/>
        </w:rPr>
        <w:t xml:space="preserve"> 326</w:t>
      </w:r>
    </w:p>
    <w:p w14:paraId="7654BF3E" w14:textId="77777777" w:rsidR="00DB77BC" w:rsidRPr="006C3DF2" w:rsidRDefault="00DB77BC" w:rsidP="00DB77BC">
      <w:pPr>
        <w:pStyle w:val="SingleTxtG"/>
        <w:rPr>
          <w:lang w:val="fr-FR"/>
        </w:rPr>
      </w:pPr>
      <w:r w:rsidRPr="006C3DF2">
        <w:rPr>
          <w:i/>
          <w:iCs/>
          <w:lang w:val="fr-FR"/>
        </w:rPr>
        <w:t>(Document de référence: ECE/TRANS/WP.15/AC.1/146, annexe III)</w:t>
      </w:r>
    </w:p>
    <w:p w14:paraId="2C399680" w14:textId="77777777" w:rsidR="00DB77BC" w:rsidRPr="006C3DF2" w:rsidRDefault="00DB77BC" w:rsidP="00DB77BC">
      <w:pPr>
        <w:pStyle w:val="H23G"/>
        <w:tabs>
          <w:tab w:val="clear" w:pos="851"/>
        </w:tabs>
        <w:ind w:firstLine="0"/>
        <w:rPr>
          <w:lang w:val="fr-FR"/>
        </w:rPr>
      </w:pPr>
      <w:r w:rsidRPr="006C3DF2">
        <w:rPr>
          <w:lang w:val="fr-FR"/>
        </w:rPr>
        <w:t xml:space="preserve">Chapitre 3.2, </w:t>
      </w:r>
      <w:r w:rsidRPr="00373317">
        <w:rPr>
          <w:lang w:val="fr-FR"/>
        </w:rPr>
        <w:t xml:space="preserve">Liste des marchandises dangereuses, No ONU </w:t>
      </w:r>
      <w:r w:rsidRPr="006C3DF2">
        <w:rPr>
          <w:lang w:val="fr-FR"/>
        </w:rPr>
        <w:t>3326, colonne (6)</w:t>
      </w:r>
    </w:p>
    <w:p w14:paraId="384F7269" w14:textId="77777777" w:rsidR="00DB77BC" w:rsidRPr="006C3DF2" w:rsidRDefault="00DB77BC" w:rsidP="00DB77BC">
      <w:pPr>
        <w:pStyle w:val="SingleTxtG"/>
        <w:rPr>
          <w:lang w:val="fr-FR"/>
        </w:rPr>
      </w:pPr>
      <w:r w:rsidRPr="006C3DF2">
        <w:rPr>
          <w:i/>
          <w:lang w:val="fr-FR"/>
        </w:rPr>
        <w:t>Supprimer</w:t>
      </w:r>
      <w:r w:rsidRPr="006C3DF2">
        <w:rPr>
          <w:lang w:val="fr-FR"/>
        </w:rPr>
        <w:t xml:space="preserve"> 336</w:t>
      </w:r>
    </w:p>
    <w:p w14:paraId="5AE4EBAD" w14:textId="77777777" w:rsidR="00DB77BC" w:rsidRPr="006C3DF2" w:rsidRDefault="00DB77BC" w:rsidP="00DB77BC">
      <w:pPr>
        <w:pStyle w:val="SingleTxtG"/>
        <w:rPr>
          <w:lang w:val="fr-FR"/>
        </w:rPr>
      </w:pPr>
      <w:r w:rsidRPr="006C3DF2">
        <w:rPr>
          <w:i/>
          <w:iCs/>
          <w:lang w:val="fr-FR"/>
        </w:rPr>
        <w:t>(Document de référence: ECE/TRANS/WP.15/AC.1/146, annexe III)</w:t>
      </w:r>
    </w:p>
    <w:p w14:paraId="1B323B45" w14:textId="77777777" w:rsidR="00DB77BC" w:rsidRPr="006C3DF2" w:rsidRDefault="00DB77BC" w:rsidP="00373317">
      <w:pPr>
        <w:pStyle w:val="H23G"/>
        <w:tabs>
          <w:tab w:val="clear" w:pos="851"/>
        </w:tabs>
        <w:ind w:firstLine="0"/>
        <w:rPr>
          <w:lang w:val="fr-FR"/>
        </w:rPr>
      </w:pPr>
      <w:r w:rsidRPr="006C3DF2">
        <w:rPr>
          <w:lang w:val="fr-FR"/>
        </w:rPr>
        <w:t>Chapitre 5.2, 5.2.1.9.2, dans le dernier paragraphe, dans la troisième phrase, après «sur un fond blanc»</w:t>
      </w:r>
    </w:p>
    <w:p w14:paraId="71187D5C" w14:textId="77777777" w:rsidR="00DB77BC" w:rsidRPr="006C3DF2" w:rsidRDefault="00DB77BC" w:rsidP="00DB77BC">
      <w:pPr>
        <w:pStyle w:val="SingleTxtG"/>
        <w:ind w:right="1138"/>
        <w:rPr>
          <w:lang w:val="fr-FR"/>
        </w:rPr>
      </w:pPr>
      <w:r w:rsidRPr="006C3DF2">
        <w:rPr>
          <w:i/>
          <w:iCs/>
          <w:lang w:val="fr-FR"/>
        </w:rPr>
        <w:t>Ajouter</w:t>
      </w:r>
      <w:r w:rsidRPr="006C3DF2">
        <w:rPr>
          <w:iCs/>
          <w:lang w:val="fr-FR"/>
        </w:rPr>
        <w:t xml:space="preserve"> </w:t>
      </w:r>
      <w:r w:rsidRPr="006C3DF2">
        <w:rPr>
          <w:lang w:val="fr-FR"/>
        </w:rPr>
        <w:t>ou d’une couleur offrant un contraste suffisant</w:t>
      </w:r>
    </w:p>
    <w:p w14:paraId="538E3492" w14:textId="77777777" w:rsidR="00DB77BC" w:rsidRPr="006C3DF2" w:rsidRDefault="00DB77BC" w:rsidP="00DB77BC">
      <w:pPr>
        <w:pStyle w:val="SingleTxtG"/>
        <w:rPr>
          <w:lang w:val="fr-FR"/>
        </w:rPr>
      </w:pPr>
      <w:r w:rsidRPr="006C3DF2">
        <w:rPr>
          <w:i/>
          <w:iCs/>
          <w:lang w:val="fr-FR"/>
        </w:rPr>
        <w:t>(Document de référence: ECE/TRANS/WP.15/AC.1/146, annexe III)</w:t>
      </w:r>
    </w:p>
    <w:p w14:paraId="1183B283" w14:textId="77777777" w:rsidR="00DB77BC" w:rsidRPr="00373317" w:rsidRDefault="00DB77BC" w:rsidP="00373317">
      <w:pPr>
        <w:pStyle w:val="H23G"/>
        <w:tabs>
          <w:tab w:val="clear" w:pos="851"/>
        </w:tabs>
        <w:ind w:firstLine="0"/>
        <w:rPr>
          <w:lang w:val="fr-FR"/>
        </w:rPr>
      </w:pPr>
      <w:r w:rsidRPr="00373317">
        <w:rPr>
          <w:lang w:val="fr-FR"/>
        </w:rPr>
        <w:t>Chapitre 6.1, 6.1.3.1 d)</w:t>
      </w:r>
    </w:p>
    <w:p w14:paraId="04640D88" w14:textId="77777777" w:rsidR="00DB77BC" w:rsidRPr="006C3DF2" w:rsidRDefault="00DB77BC" w:rsidP="00DB77BC">
      <w:pPr>
        <w:pStyle w:val="SingleTxtG"/>
        <w:ind w:right="1138"/>
        <w:rPr>
          <w:lang w:val="fr-FR"/>
        </w:rPr>
      </w:pPr>
      <w:r w:rsidRPr="006C3DF2">
        <w:rPr>
          <w:i/>
          <w:iCs/>
          <w:lang w:val="fr-FR"/>
        </w:rPr>
        <w:t>Au lieu de</w:t>
      </w:r>
      <w:r w:rsidRPr="006C3DF2">
        <w:rPr>
          <w:iCs/>
          <w:lang w:val="fr-FR"/>
        </w:rPr>
        <w:t xml:space="preserve"> </w:t>
      </w:r>
      <w:r w:rsidRPr="006C3DF2">
        <w:rPr>
          <w:lang w:val="fr-FR"/>
        </w:rPr>
        <w:t xml:space="preserve">dizaine la plus proche </w:t>
      </w:r>
      <w:r w:rsidRPr="006C3DF2">
        <w:rPr>
          <w:i/>
          <w:lang w:val="fr-FR"/>
        </w:rPr>
        <w:t>lire</w:t>
      </w:r>
      <w:r w:rsidRPr="006C3DF2">
        <w:rPr>
          <w:lang w:val="fr-FR"/>
        </w:rPr>
        <w:t xml:space="preserve"> dizaine inférieure</w:t>
      </w:r>
    </w:p>
    <w:p w14:paraId="0D67C7E4" w14:textId="77777777" w:rsidR="00DB77BC" w:rsidRPr="006C3DF2" w:rsidRDefault="00DB77BC" w:rsidP="00DB77BC">
      <w:pPr>
        <w:pStyle w:val="SingleTxtG"/>
        <w:rPr>
          <w:lang w:val="fr-FR"/>
        </w:rPr>
      </w:pPr>
      <w:r w:rsidRPr="006C3DF2">
        <w:rPr>
          <w:i/>
          <w:iCs/>
          <w:lang w:val="fr-FR"/>
        </w:rPr>
        <w:t>(Document de référence: ECE/TRANS/WP.15/AC.1/146, annexe III)</w:t>
      </w:r>
    </w:p>
    <w:p w14:paraId="20E604B0" w14:textId="76E5A643" w:rsidR="00DB77BC" w:rsidRPr="00373317" w:rsidRDefault="00DB77BC" w:rsidP="00373317">
      <w:pPr>
        <w:pStyle w:val="H23G"/>
        <w:tabs>
          <w:tab w:val="clear" w:pos="851"/>
        </w:tabs>
        <w:ind w:firstLine="0"/>
        <w:rPr>
          <w:lang w:val="fr-FR"/>
        </w:rPr>
      </w:pPr>
      <w:r w:rsidRPr="00373317">
        <w:rPr>
          <w:lang w:val="fr-FR"/>
        </w:rPr>
        <w:lastRenderedPageBreak/>
        <w:t>Chapitre 6.4, 6.4.2.11</w:t>
      </w:r>
    </w:p>
    <w:p w14:paraId="334E9ECB" w14:textId="77777777" w:rsidR="00DB77BC" w:rsidRPr="006C3DF2" w:rsidRDefault="00DB77BC" w:rsidP="00DB77BC">
      <w:pPr>
        <w:pStyle w:val="SingleTxtG"/>
        <w:rPr>
          <w:iCs/>
          <w:lang w:val="fr-FR"/>
        </w:rPr>
      </w:pPr>
      <w:r w:rsidRPr="006C3DF2">
        <w:rPr>
          <w:i/>
          <w:lang w:val="fr-FR"/>
        </w:rPr>
        <w:t>Au lieu de</w:t>
      </w:r>
      <w:r w:rsidRPr="006C3DF2">
        <w:rPr>
          <w:lang w:val="fr-FR"/>
        </w:rPr>
        <w:t xml:space="preserve"> </w:t>
      </w:r>
      <w:r w:rsidRPr="006C3DF2">
        <w:rPr>
          <w:iCs/>
          <w:lang w:val="fr-FR"/>
        </w:rPr>
        <w:t xml:space="preserve">4.1.9.1.10 et 4.1.9.1.11 </w:t>
      </w:r>
      <w:r w:rsidRPr="006C3DF2">
        <w:rPr>
          <w:i/>
          <w:iCs/>
          <w:lang w:val="fr-FR"/>
        </w:rPr>
        <w:t>lire</w:t>
      </w:r>
      <w:r w:rsidRPr="006C3DF2">
        <w:rPr>
          <w:iCs/>
          <w:lang w:val="fr-FR"/>
        </w:rPr>
        <w:t xml:space="preserve"> 4.1.9.1.11 et 4.1.9.1.12</w:t>
      </w:r>
    </w:p>
    <w:p w14:paraId="6A2E96D4" w14:textId="77777777" w:rsidR="00DB77BC" w:rsidRPr="006C3DF2" w:rsidRDefault="00DB77BC" w:rsidP="00DB77BC">
      <w:pPr>
        <w:pStyle w:val="SingleTxtG"/>
        <w:rPr>
          <w:lang w:val="fr-FR"/>
        </w:rPr>
      </w:pPr>
      <w:r w:rsidRPr="006C3DF2">
        <w:rPr>
          <w:i/>
          <w:iCs/>
          <w:lang w:val="fr-FR"/>
        </w:rPr>
        <w:t>(Document de référence: ECE/TRANS/WP.15/AC.1/146, annexe III)</w:t>
      </w:r>
    </w:p>
    <w:p w14:paraId="185D2EFD" w14:textId="2A260620" w:rsidR="00DB77BC" w:rsidRPr="00373317" w:rsidRDefault="00DB77BC" w:rsidP="00373317">
      <w:pPr>
        <w:pStyle w:val="H23G"/>
        <w:tabs>
          <w:tab w:val="clear" w:pos="851"/>
        </w:tabs>
        <w:ind w:firstLine="0"/>
        <w:rPr>
          <w:lang w:val="fr-FR"/>
        </w:rPr>
      </w:pPr>
      <w:r w:rsidRPr="00373317">
        <w:rPr>
          <w:lang w:val="fr-FR"/>
        </w:rPr>
        <w:t>Chapitre 6.8, 6.8.2.4.3</w:t>
      </w:r>
      <w:r w:rsidR="00153D80">
        <w:rPr>
          <w:lang w:val="fr-FR"/>
        </w:rPr>
        <w:t>,</w:t>
      </w:r>
      <w:r w:rsidRPr="00373317">
        <w:rPr>
          <w:lang w:val="fr-FR"/>
        </w:rPr>
        <w:t xml:space="preserve"> avant dernier paragraphe</w:t>
      </w:r>
    </w:p>
    <w:p w14:paraId="49E06FEF" w14:textId="6FF47276" w:rsidR="00DB77BC" w:rsidRDefault="00DB77BC" w:rsidP="00DB77BC">
      <w:pPr>
        <w:pStyle w:val="SingleTxtG"/>
        <w:rPr>
          <w:b/>
          <w:bCs/>
          <w:lang w:val="fr-FR"/>
        </w:rPr>
      </w:pPr>
      <w:r>
        <w:rPr>
          <w:i/>
          <w:iCs/>
          <w:lang w:val="fr-FR"/>
        </w:rPr>
        <w:t xml:space="preserve">Substituer </w:t>
      </w:r>
      <w:r>
        <w:rPr>
          <w:iCs/>
          <w:lang w:val="fr-FR"/>
        </w:rPr>
        <w:t>au texte existant</w:t>
      </w:r>
    </w:p>
    <w:p w14:paraId="4232FD5D" w14:textId="77777777" w:rsidR="00DB77BC" w:rsidRPr="006C3DF2" w:rsidRDefault="00DB77BC" w:rsidP="00DB77BC">
      <w:pPr>
        <w:pStyle w:val="SingleTxtG"/>
        <w:rPr>
          <w:b/>
          <w:bCs/>
          <w:lang w:val="fr-FR"/>
        </w:rPr>
      </w:pPr>
      <w:r w:rsidRPr="006C3DF2">
        <w:rPr>
          <w:noProof/>
          <w:lang w:val="fr-FR"/>
        </w:rPr>
        <w:t>Pour les citernes munies de dispositifs de respiration et d’un dispositif propre à empêcher que le contenu ne se répande au-dehors si la citerne se renverse, l’épreuve d’étanchéité doit être effectuée à une pression au moins égale à la valeur la plus élevée parmi la pression statique de la matière à transporter la plus dense, la pression statique de l’eau et 20 kPa (0,2 bar).</w:t>
      </w:r>
    </w:p>
    <w:p w14:paraId="392EB4F3" w14:textId="77777777" w:rsidR="00DB77BC" w:rsidRPr="006C3DF2" w:rsidRDefault="00DB77BC" w:rsidP="00DB77BC">
      <w:pPr>
        <w:pStyle w:val="SingleTxtG"/>
        <w:rPr>
          <w:i/>
          <w:lang w:val="fr-FR"/>
        </w:rPr>
      </w:pPr>
      <w:r w:rsidRPr="006C3DF2">
        <w:rPr>
          <w:i/>
          <w:iCs/>
          <w:lang w:val="fr-FR"/>
        </w:rPr>
        <w:t>(Document de référence:</w:t>
      </w:r>
      <w:r w:rsidRPr="006C3DF2">
        <w:rPr>
          <w:i/>
          <w:lang w:val="fr-FR"/>
        </w:rPr>
        <w:t xml:space="preserve"> document informel INF.13, tel que modifié)</w:t>
      </w:r>
      <w:r w:rsidRPr="006C3DF2">
        <w:rPr>
          <w:i/>
          <w:lang w:val="fr-FR"/>
        </w:rPr>
        <w:tab/>
      </w:r>
    </w:p>
    <w:p w14:paraId="4FE091C9" w14:textId="77777777" w:rsidR="00DB77BC" w:rsidRPr="00373317" w:rsidRDefault="00DB77BC" w:rsidP="00373317">
      <w:pPr>
        <w:pStyle w:val="H23G"/>
        <w:tabs>
          <w:tab w:val="clear" w:pos="851"/>
        </w:tabs>
        <w:ind w:firstLine="0"/>
        <w:rPr>
          <w:lang w:val="fr-FR"/>
        </w:rPr>
      </w:pPr>
      <w:r w:rsidRPr="00373317">
        <w:rPr>
          <w:lang w:val="fr-FR"/>
        </w:rPr>
        <w:t>Chapitre 9.2, 9.2.1.1, dans le tableau, pour 9.2.2.6, deuxième colonne</w:t>
      </w:r>
    </w:p>
    <w:p w14:paraId="7545BF1B" w14:textId="77777777" w:rsidR="00DB77BC" w:rsidRPr="00E04C2F" w:rsidRDefault="00DB77BC" w:rsidP="00DB77BC">
      <w:pPr>
        <w:pStyle w:val="SingleTxtG"/>
        <w:rPr>
          <w:lang w:val="fr-FR"/>
        </w:rPr>
      </w:pPr>
      <w:r w:rsidRPr="00E04C2F">
        <w:rPr>
          <w:i/>
          <w:lang w:val="fr-FR"/>
        </w:rPr>
        <w:t xml:space="preserve">Au lieu de </w:t>
      </w:r>
      <w:r w:rsidRPr="00E04C2F">
        <w:rPr>
          <w:lang w:val="fr-FR"/>
        </w:rPr>
        <w:t xml:space="preserve">Connexions électriques </w:t>
      </w:r>
      <w:r w:rsidRPr="00E04C2F">
        <w:rPr>
          <w:i/>
          <w:lang w:val="fr-FR"/>
        </w:rPr>
        <w:t xml:space="preserve">lire </w:t>
      </w:r>
      <w:r w:rsidRPr="00E04C2F">
        <w:rPr>
          <w:bCs/>
          <w:iCs/>
          <w:lang w:val="fr-FR" w:eastAsia="en-GB"/>
        </w:rPr>
        <w:t>Connexions électriques entre les véhicules à moteur et les remorques</w:t>
      </w:r>
    </w:p>
    <w:p w14:paraId="0FC16F04" w14:textId="77777777" w:rsidR="00DB77BC" w:rsidRPr="006C3DF2" w:rsidRDefault="00DB77BC" w:rsidP="00DB77BC">
      <w:pPr>
        <w:pStyle w:val="SingleTxtG"/>
        <w:rPr>
          <w:i/>
          <w:iCs/>
          <w:lang w:val="fr-FR"/>
        </w:rPr>
      </w:pPr>
      <w:r w:rsidRPr="006C3DF2">
        <w:rPr>
          <w:i/>
          <w:iCs/>
          <w:lang w:val="fr-FR"/>
        </w:rPr>
        <w:t>(Document de référence:</w:t>
      </w:r>
      <w:r w:rsidRPr="006C3DF2">
        <w:rPr>
          <w:i/>
          <w:lang w:val="fr-FR"/>
        </w:rPr>
        <w:t xml:space="preserve"> document informel INF.</w:t>
      </w:r>
      <w:r w:rsidRPr="006C3DF2">
        <w:rPr>
          <w:i/>
          <w:iCs/>
          <w:lang w:val="fr-FR"/>
        </w:rPr>
        <w:t>12, proposition 1)</w:t>
      </w:r>
    </w:p>
    <w:p w14:paraId="0ACC97D7" w14:textId="6FC81EF9" w:rsidR="00DB77BC" w:rsidRPr="00373317" w:rsidRDefault="00DB77BC" w:rsidP="00373317">
      <w:pPr>
        <w:pStyle w:val="H23G"/>
        <w:tabs>
          <w:tab w:val="clear" w:pos="851"/>
        </w:tabs>
        <w:ind w:firstLine="0"/>
        <w:rPr>
          <w:lang w:val="fr-FR"/>
        </w:rPr>
      </w:pPr>
      <w:r w:rsidRPr="00373317">
        <w:rPr>
          <w:lang w:val="fr-FR"/>
        </w:rPr>
        <w:t xml:space="preserve">Chapitre 9.2, 9.2.1.1, pour 9.2.2.6, remarque c, </w:t>
      </w:r>
    </w:p>
    <w:p w14:paraId="65E9CD19" w14:textId="77777777" w:rsidR="00DB77BC" w:rsidRPr="00E04C2F" w:rsidRDefault="00DB77BC" w:rsidP="00DB77BC">
      <w:pPr>
        <w:pStyle w:val="SingleTxtG"/>
        <w:rPr>
          <w:lang w:val="fr-FR"/>
        </w:rPr>
      </w:pPr>
      <w:r w:rsidRPr="00E04C2F">
        <w:rPr>
          <w:i/>
          <w:lang w:val="fr-FR"/>
        </w:rPr>
        <w:t xml:space="preserve">Substituer </w:t>
      </w:r>
      <w:r w:rsidRPr="00E04C2F">
        <w:rPr>
          <w:lang w:val="fr-FR"/>
        </w:rPr>
        <w:t>au texte existant</w:t>
      </w:r>
    </w:p>
    <w:p w14:paraId="556E288C" w14:textId="57FA6A12" w:rsidR="00DB77BC" w:rsidRPr="006C3DF2" w:rsidRDefault="00DB77BC" w:rsidP="00DB77BC">
      <w:pPr>
        <w:pStyle w:val="SingleTxtG"/>
        <w:rPr>
          <w:lang w:val="fr-FR"/>
        </w:rPr>
      </w:pPr>
      <w:proofErr w:type="gramStart"/>
      <w:r w:rsidRPr="00153D80">
        <w:rPr>
          <w:b/>
          <w:vertAlign w:val="superscript"/>
          <w:lang w:val="fr-FR"/>
        </w:rPr>
        <w:t>c</w:t>
      </w:r>
      <w:proofErr w:type="gramEnd"/>
      <w:r w:rsidRPr="00153D80">
        <w:rPr>
          <w:vertAlign w:val="superscript"/>
          <w:lang w:val="fr-FR"/>
        </w:rPr>
        <w:t xml:space="preserve"> </w:t>
      </w:r>
      <w:r w:rsidRPr="006C3DF2">
        <w:rPr>
          <w:lang w:val="fr-FR"/>
        </w:rPr>
        <w:t xml:space="preserve">Applicable aux véhicules à moteur destinés à tracter des remorques d’une masse maximale </w:t>
      </w:r>
      <w:r w:rsidRPr="006C3DF2">
        <w:rPr>
          <w:w w:val="102"/>
          <w:lang w:val="fr-FR"/>
        </w:rPr>
        <w:t>supérieure</w:t>
      </w:r>
      <w:r w:rsidRPr="006C3DF2">
        <w:rPr>
          <w:lang w:val="fr-FR"/>
        </w:rPr>
        <w:t xml:space="preserve"> à 3,5 tonnes et aux remorques d’une masse maximale supérieure à 3,5 tonnes immatriculés pour la première fois (ou mis en service, dans le cas où l’immatriculation n’est pas obligatoire) après le 31 mars 2018.</w:t>
      </w:r>
    </w:p>
    <w:p w14:paraId="7E167559" w14:textId="77777777" w:rsidR="00DB77BC" w:rsidRPr="006C3DF2" w:rsidRDefault="00DB77BC" w:rsidP="00DB77BC">
      <w:pPr>
        <w:pStyle w:val="SingleTxtG"/>
        <w:rPr>
          <w:i/>
          <w:iCs/>
          <w:lang w:val="fr-FR"/>
        </w:rPr>
      </w:pPr>
      <w:r w:rsidRPr="006C3DF2">
        <w:rPr>
          <w:i/>
          <w:iCs/>
          <w:lang w:val="fr-FR"/>
        </w:rPr>
        <w:t>(Document de référence:</w:t>
      </w:r>
      <w:r w:rsidRPr="006C3DF2">
        <w:rPr>
          <w:i/>
          <w:lang w:val="fr-FR"/>
        </w:rPr>
        <w:t xml:space="preserve"> document informel INF.</w:t>
      </w:r>
      <w:r w:rsidRPr="006C3DF2">
        <w:rPr>
          <w:i/>
          <w:iCs/>
          <w:lang w:val="fr-FR"/>
        </w:rPr>
        <w:t>13)</w:t>
      </w:r>
    </w:p>
    <w:p w14:paraId="3EA0C627" w14:textId="77777777" w:rsidR="00DB77BC" w:rsidRPr="00373317" w:rsidRDefault="00DB77BC" w:rsidP="00373317">
      <w:pPr>
        <w:pStyle w:val="H23G"/>
        <w:tabs>
          <w:tab w:val="clear" w:pos="851"/>
        </w:tabs>
        <w:ind w:firstLine="0"/>
        <w:rPr>
          <w:lang w:val="fr-FR"/>
        </w:rPr>
      </w:pPr>
      <w:r w:rsidRPr="00373317">
        <w:rPr>
          <w:lang w:val="fr-FR"/>
        </w:rPr>
        <w:t>Chapitre 9.2, 9.2.1.1, tableau, pour 9.2.5, deuxième colonne</w:t>
      </w:r>
    </w:p>
    <w:p w14:paraId="38DE9285" w14:textId="0CFE01B1" w:rsidR="00DB77BC" w:rsidRPr="00E04C2F" w:rsidRDefault="00DB77BC" w:rsidP="00DB77BC">
      <w:pPr>
        <w:pStyle w:val="SingleTxtG"/>
        <w:rPr>
          <w:lang w:val="fr-FR"/>
        </w:rPr>
      </w:pPr>
      <w:r w:rsidRPr="00E04C2F">
        <w:rPr>
          <w:i/>
          <w:lang w:val="fr-FR"/>
        </w:rPr>
        <w:t xml:space="preserve">Au lieu de </w:t>
      </w:r>
      <w:r w:rsidR="00153D80" w:rsidRPr="00E04C2F">
        <w:rPr>
          <w:bCs/>
          <w:lang w:val="fr-FR" w:eastAsia="en-GB"/>
        </w:rPr>
        <w:t xml:space="preserve">DISPOSITIFS </w:t>
      </w:r>
      <w:r w:rsidRPr="00E04C2F">
        <w:rPr>
          <w:i/>
          <w:lang w:val="fr-FR"/>
        </w:rPr>
        <w:t xml:space="preserve">lire </w:t>
      </w:r>
      <w:r w:rsidR="00153D80" w:rsidRPr="00E04C2F">
        <w:rPr>
          <w:bCs/>
          <w:lang w:val="fr-FR" w:eastAsia="en-GB"/>
        </w:rPr>
        <w:t>DISPOSITIF</w:t>
      </w:r>
    </w:p>
    <w:p w14:paraId="3ABD3420" w14:textId="77777777" w:rsidR="00DB77BC" w:rsidRPr="006C3DF2" w:rsidRDefault="00DB77BC" w:rsidP="00DB77BC">
      <w:pPr>
        <w:pStyle w:val="SingleTxtG"/>
        <w:rPr>
          <w:i/>
          <w:iCs/>
          <w:lang w:val="fr-FR"/>
        </w:rPr>
      </w:pPr>
      <w:r w:rsidRPr="006C3DF2">
        <w:rPr>
          <w:i/>
          <w:iCs/>
          <w:lang w:val="fr-FR"/>
        </w:rPr>
        <w:t>(Document de référence:</w:t>
      </w:r>
      <w:r w:rsidRPr="006C3DF2">
        <w:rPr>
          <w:i/>
          <w:lang w:val="fr-FR"/>
        </w:rPr>
        <w:t xml:space="preserve"> document informel INF.</w:t>
      </w:r>
      <w:r w:rsidRPr="006C3DF2">
        <w:rPr>
          <w:i/>
          <w:iCs/>
          <w:lang w:val="fr-FR"/>
        </w:rPr>
        <w:t>12, proposition 2, telle que modifiée)</w:t>
      </w:r>
    </w:p>
    <w:p w14:paraId="4A052CA3" w14:textId="77777777" w:rsidR="00DB77BC" w:rsidRPr="00373317" w:rsidRDefault="00DB77BC" w:rsidP="00373317">
      <w:pPr>
        <w:pStyle w:val="H23G"/>
        <w:tabs>
          <w:tab w:val="clear" w:pos="851"/>
        </w:tabs>
        <w:ind w:firstLine="0"/>
        <w:rPr>
          <w:lang w:val="fr-FR"/>
        </w:rPr>
      </w:pPr>
      <w:r w:rsidRPr="00373317">
        <w:rPr>
          <w:lang w:val="fr-FR"/>
        </w:rPr>
        <w:t>Chapitre 9.2, 9.2.2.6.2, premier tiret</w:t>
      </w:r>
    </w:p>
    <w:p w14:paraId="438E5569" w14:textId="77777777" w:rsidR="00DB77BC" w:rsidRPr="00E04C2F" w:rsidRDefault="00DB77BC" w:rsidP="00DB77BC">
      <w:pPr>
        <w:pStyle w:val="SingleTxtG"/>
        <w:rPr>
          <w:iCs/>
          <w:lang w:val="fr-FR"/>
        </w:rPr>
      </w:pPr>
      <w:r w:rsidRPr="00E04C2F">
        <w:rPr>
          <w:i/>
          <w:iCs/>
          <w:lang w:val="fr-FR"/>
        </w:rPr>
        <w:t>Au lieu de</w:t>
      </w:r>
      <w:r w:rsidRPr="00E04C2F">
        <w:rPr>
          <w:iCs/>
          <w:lang w:val="fr-FR"/>
        </w:rPr>
        <w:t> EN 15207:2014</w:t>
      </w:r>
      <w:r w:rsidRPr="00E04C2F">
        <w:rPr>
          <w:b/>
          <w:iCs/>
          <w:vertAlign w:val="superscript"/>
          <w:lang w:val="fr-FR"/>
        </w:rPr>
        <w:t>1</w:t>
      </w:r>
      <w:r w:rsidRPr="00E04C2F">
        <w:rPr>
          <w:iCs/>
          <w:lang w:val="fr-FR"/>
        </w:rPr>
        <w:t xml:space="preserve"> </w:t>
      </w:r>
      <w:r w:rsidRPr="00E04C2F">
        <w:rPr>
          <w:i/>
          <w:iCs/>
          <w:lang w:val="fr-FR"/>
        </w:rPr>
        <w:t>lire</w:t>
      </w:r>
      <w:r w:rsidRPr="00E04C2F">
        <w:rPr>
          <w:iCs/>
          <w:lang w:val="fr-FR"/>
        </w:rPr>
        <w:t xml:space="preserve"> EN 15207:2014</w:t>
      </w:r>
    </w:p>
    <w:p w14:paraId="3EDDE014" w14:textId="77777777" w:rsidR="00DB77BC" w:rsidRPr="006C3DF2" w:rsidRDefault="00DB77BC" w:rsidP="00DB77BC">
      <w:pPr>
        <w:pStyle w:val="SingleTxtG"/>
        <w:rPr>
          <w:i/>
          <w:iCs/>
          <w:lang w:val="fr-FR"/>
        </w:rPr>
      </w:pPr>
      <w:r w:rsidRPr="006C3DF2">
        <w:rPr>
          <w:i/>
          <w:iCs/>
          <w:lang w:val="fr-FR"/>
        </w:rPr>
        <w:t>(Document de référence:</w:t>
      </w:r>
      <w:r w:rsidRPr="006C3DF2">
        <w:rPr>
          <w:i/>
          <w:lang w:val="fr-FR"/>
        </w:rPr>
        <w:t xml:space="preserve"> document informel INF.</w:t>
      </w:r>
      <w:r w:rsidRPr="006C3DF2">
        <w:rPr>
          <w:i/>
          <w:iCs/>
          <w:lang w:val="fr-FR"/>
        </w:rPr>
        <w:t>12)</w:t>
      </w:r>
    </w:p>
    <w:p w14:paraId="62C8898B" w14:textId="77777777" w:rsidR="00DB77BC" w:rsidRPr="00DB77BC" w:rsidRDefault="00DB77BC" w:rsidP="00DB77BC"/>
    <w:p w14:paraId="5221D105" w14:textId="0939F838" w:rsidR="008C7AD9" w:rsidRDefault="008C7AD9">
      <w:pPr>
        <w:suppressAutoHyphens w:val="0"/>
        <w:spacing w:line="240" w:lineRule="auto"/>
      </w:pPr>
      <w:r>
        <w:br w:type="page"/>
      </w:r>
    </w:p>
    <w:p w14:paraId="51B4FB18" w14:textId="079DC40F" w:rsidR="008C7AD9" w:rsidRDefault="008C7AD9" w:rsidP="008C7AD9">
      <w:pPr>
        <w:pStyle w:val="HChG"/>
      </w:pPr>
      <w:r>
        <w:lastRenderedPageBreak/>
        <w:t>Annexe I</w:t>
      </w:r>
      <w:r w:rsidR="00740BC2">
        <w:t>V</w:t>
      </w:r>
    </w:p>
    <w:p w14:paraId="2711974B" w14:textId="00540689" w:rsidR="008C7AD9" w:rsidRDefault="008C7AD9" w:rsidP="008C7AD9">
      <w:pPr>
        <w:pStyle w:val="HChG"/>
      </w:pPr>
      <w:r w:rsidRPr="00553448">
        <w:tab/>
      </w:r>
      <w:r w:rsidRPr="00553448">
        <w:tab/>
      </w:r>
      <w:r>
        <w:t xml:space="preserve">Correction aux </w:t>
      </w:r>
      <w:r w:rsidRPr="000F78E9">
        <w:t>Lignes directrices relatives au certificat d’agrément selon le 9.1.3 de l’ADR</w:t>
      </w:r>
      <w:r>
        <w:t xml:space="preserve"> (ECE/TRANS/WP.15/226, annexe II)</w:t>
      </w:r>
    </w:p>
    <w:p w14:paraId="09A04FE4" w14:textId="7ED1A167" w:rsidR="00606974" w:rsidRDefault="00606974" w:rsidP="00606974">
      <w:pPr>
        <w:pStyle w:val="SingleTxtG"/>
      </w:pPr>
      <w:r>
        <w:t>Dans le premier exemple du paragraphe 8, remplacer «à la note b)» par «aux Notes f) et g)».</w:t>
      </w:r>
    </w:p>
    <w:p w14:paraId="328B6234" w14:textId="3C2EF5F1" w:rsidR="008C7AD9" w:rsidRDefault="008C7AD9" w:rsidP="008C7AD9"/>
    <w:p w14:paraId="709DEA73" w14:textId="420DF57E" w:rsidR="008C7AD9" w:rsidRDefault="008C7AD9">
      <w:pPr>
        <w:suppressAutoHyphens w:val="0"/>
        <w:spacing w:line="240" w:lineRule="auto"/>
      </w:pPr>
      <w:r>
        <w:br w:type="page"/>
      </w:r>
    </w:p>
    <w:p w14:paraId="33BD6B13" w14:textId="6B39B862" w:rsidR="008C7AD9" w:rsidRDefault="00740BC2" w:rsidP="008C7AD9">
      <w:pPr>
        <w:pStyle w:val="HChG"/>
      </w:pPr>
      <w:r>
        <w:lastRenderedPageBreak/>
        <w:t xml:space="preserve">Annexe </w:t>
      </w:r>
      <w:r w:rsidR="008C7AD9">
        <w:t>V</w:t>
      </w:r>
    </w:p>
    <w:p w14:paraId="04C191D2" w14:textId="00768B50" w:rsidR="008C7AD9" w:rsidRDefault="008C7AD9" w:rsidP="008C7AD9">
      <w:pPr>
        <w:pStyle w:val="HChG"/>
        <w:rPr>
          <w:lang w:val="fr-FR"/>
        </w:rPr>
      </w:pPr>
      <w:r w:rsidRPr="00553448">
        <w:tab/>
      </w:r>
      <w:r w:rsidRPr="00553448">
        <w:tab/>
      </w:r>
      <w:r w:rsidR="00270C74" w:rsidRPr="00700413">
        <w:t xml:space="preserve">Produits/activités pour l’exercice biennal </w:t>
      </w:r>
      <w:r w:rsidR="00270C74">
        <w:t>2018</w:t>
      </w:r>
      <w:r w:rsidR="00270C74" w:rsidRPr="00700413">
        <w:t>-</w:t>
      </w:r>
      <w:r w:rsidR="00270C74">
        <w:t>2019</w:t>
      </w:r>
    </w:p>
    <w:p w14:paraId="3A472EBC" w14:textId="77777777" w:rsidR="0064430B" w:rsidRDefault="0064430B" w:rsidP="006443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9</w:t>
      </w:r>
      <w:r>
        <w:rPr>
          <w:lang w:val="fr-CH"/>
        </w:rPr>
        <w:t xml:space="preserve"> </w:t>
      </w:r>
      <w:r w:rsidRPr="00105444">
        <w:rPr>
          <w:lang w:val="fr-CH"/>
        </w:rPr>
        <w:br/>
        <w:t>Transport des marchandises dangereuses (CEE)</w:t>
      </w:r>
    </w:p>
    <w:p w14:paraId="57D8A6EE" w14:textId="77777777" w:rsidR="0064430B" w:rsidRPr="00E74F1D" w:rsidRDefault="0064430B" w:rsidP="0064430B">
      <w:pPr>
        <w:pStyle w:val="SingleTxt"/>
        <w:keepNext/>
        <w:spacing w:after="0" w:line="120" w:lineRule="exact"/>
        <w:rPr>
          <w:b/>
          <w:sz w:val="10"/>
          <w:lang w:val="fr-CH"/>
        </w:rPr>
      </w:pPr>
    </w:p>
    <w:p w14:paraId="2D88E0FD" w14:textId="77777777" w:rsidR="0064430B" w:rsidRPr="00E74F1D" w:rsidRDefault="0064430B" w:rsidP="0064430B">
      <w:pPr>
        <w:pStyle w:val="SingleTxt"/>
        <w:keepNext/>
        <w:spacing w:after="0" w:line="120" w:lineRule="exact"/>
        <w:rPr>
          <w:b/>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64430B" w:rsidRPr="00105444" w14:paraId="1609E6ED" w14:textId="77777777" w:rsidTr="00E0792D">
        <w:trPr>
          <w:tblHeader/>
        </w:trPr>
        <w:tc>
          <w:tcPr>
            <w:tcW w:w="5018" w:type="dxa"/>
            <w:tcBorders>
              <w:top w:val="single" w:sz="4" w:space="0" w:color="auto"/>
              <w:bottom w:val="single" w:sz="12" w:space="0" w:color="auto"/>
            </w:tcBorders>
            <w:shd w:val="clear" w:color="auto" w:fill="auto"/>
            <w:vAlign w:val="bottom"/>
          </w:tcPr>
          <w:p w14:paraId="772C0C4B" w14:textId="77777777" w:rsidR="0064430B" w:rsidRPr="00105444" w:rsidRDefault="0064430B" w:rsidP="00E0792D">
            <w:pPr>
              <w:keepNext/>
              <w:spacing w:before="80" w:after="80" w:line="160" w:lineRule="exact"/>
              <w:ind w:right="115"/>
              <w:rPr>
                <w:i/>
                <w:sz w:val="14"/>
              </w:rPr>
            </w:pPr>
            <w:r w:rsidRPr="00105444">
              <w:rPr>
                <w:i/>
                <w:sz w:val="14"/>
              </w:rPr>
              <w:t>Description du module (facultatif)</w:t>
            </w:r>
          </w:p>
        </w:tc>
        <w:tc>
          <w:tcPr>
            <w:tcW w:w="5019" w:type="dxa"/>
            <w:tcBorders>
              <w:top w:val="single" w:sz="4" w:space="0" w:color="auto"/>
              <w:bottom w:val="single" w:sz="12" w:space="0" w:color="auto"/>
            </w:tcBorders>
            <w:shd w:val="clear" w:color="auto" w:fill="auto"/>
            <w:vAlign w:val="bottom"/>
          </w:tcPr>
          <w:p w14:paraId="6FE096E6" w14:textId="77777777" w:rsidR="0064430B" w:rsidRPr="00105444" w:rsidRDefault="0064430B" w:rsidP="00E0792D">
            <w:pPr>
              <w:keepNext/>
              <w:spacing w:before="80" w:after="80" w:line="160" w:lineRule="exact"/>
              <w:ind w:right="115"/>
              <w:rPr>
                <w:i/>
                <w:sz w:val="14"/>
              </w:rPr>
            </w:pPr>
            <w:r w:rsidRPr="00105444">
              <w:rPr>
                <w:i/>
                <w:sz w:val="14"/>
              </w:rPr>
              <w:t>Réalisations escomptées</w:t>
            </w:r>
          </w:p>
        </w:tc>
      </w:tr>
      <w:tr w:rsidR="0064430B" w:rsidRPr="00105444" w14:paraId="1484FA23" w14:textId="77777777" w:rsidTr="00E0792D">
        <w:trPr>
          <w:trHeight w:hRule="exact" w:val="113"/>
          <w:tblHeader/>
        </w:trPr>
        <w:tc>
          <w:tcPr>
            <w:tcW w:w="5018" w:type="dxa"/>
            <w:tcBorders>
              <w:top w:val="single" w:sz="12" w:space="0" w:color="auto"/>
            </w:tcBorders>
            <w:shd w:val="clear" w:color="auto" w:fill="auto"/>
            <w:vAlign w:val="bottom"/>
          </w:tcPr>
          <w:p w14:paraId="14ECBED5" w14:textId="77777777" w:rsidR="0064430B" w:rsidRPr="00105444" w:rsidRDefault="0064430B" w:rsidP="00E0792D">
            <w:pPr>
              <w:spacing w:before="40" w:after="80"/>
              <w:ind w:right="115"/>
            </w:pPr>
          </w:p>
        </w:tc>
        <w:tc>
          <w:tcPr>
            <w:tcW w:w="5019" w:type="dxa"/>
            <w:tcBorders>
              <w:top w:val="single" w:sz="12" w:space="0" w:color="auto"/>
            </w:tcBorders>
            <w:shd w:val="clear" w:color="auto" w:fill="auto"/>
            <w:vAlign w:val="bottom"/>
          </w:tcPr>
          <w:p w14:paraId="5961B5B6" w14:textId="77777777" w:rsidR="0064430B" w:rsidRPr="00105444" w:rsidRDefault="0064430B" w:rsidP="00E0792D">
            <w:pPr>
              <w:spacing w:before="40" w:after="80"/>
              <w:ind w:right="115"/>
            </w:pPr>
          </w:p>
        </w:tc>
      </w:tr>
      <w:tr w:rsidR="0064430B" w:rsidRPr="00105444" w14:paraId="465532AB" w14:textId="77777777" w:rsidTr="00E0792D">
        <w:tc>
          <w:tcPr>
            <w:tcW w:w="5018" w:type="dxa"/>
            <w:shd w:val="clear" w:color="auto" w:fill="auto"/>
          </w:tcPr>
          <w:p w14:paraId="4C7CBD39" w14:textId="77777777" w:rsidR="0064430B" w:rsidRPr="00105444" w:rsidRDefault="0064430B" w:rsidP="00E0792D">
            <w:pPr>
              <w:tabs>
                <w:tab w:val="left" w:pos="288"/>
                <w:tab w:val="left" w:pos="576"/>
                <w:tab w:val="left" w:pos="864"/>
                <w:tab w:val="left" w:pos="1152"/>
              </w:tabs>
              <w:spacing w:before="40" w:after="80"/>
              <w:ind w:right="115"/>
            </w:pPr>
            <w:r w:rsidRPr="00105444">
              <w:t>Examen des règlements et des questions techniques concernant le transport international des marchandises dangereuses dans la région. Élaboration de nouveaux accords internationaux et harmonisation et modification des accords en vigueur dans ce domaine afin d’améliorer la sûreté et la sécurité tout en contribuant à la protection de l’environnement et en facilitant les échanges, en collaboration avec le Comité d’experts du transport des marchandises dangereuses et du Système général harmonisé de classification et d’étiquetage des produits chimiques du Conseil économique et social.</w:t>
            </w:r>
          </w:p>
          <w:p w14:paraId="6874097F" w14:textId="77777777" w:rsidR="0064430B" w:rsidRPr="00105444" w:rsidRDefault="0064430B" w:rsidP="00E0792D">
            <w:pPr>
              <w:tabs>
                <w:tab w:val="left" w:pos="288"/>
                <w:tab w:val="left" w:pos="576"/>
                <w:tab w:val="left" w:pos="864"/>
                <w:tab w:val="left" w:pos="1152"/>
              </w:tabs>
              <w:spacing w:before="40" w:after="80"/>
              <w:ind w:right="115"/>
            </w:pPr>
            <w:r w:rsidRPr="00105444">
              <w:t>Principales tâches de la Division des transports durables</w:t>
            </w:r>
            <w:r>
              <w:t> :</w:t>
            </w:r>
          </w:p>
          <w:p w14:paraId="469D4C84" w14:textId="77777777" w:rsidR="0064430B" w:rsidRPr="00105444" w:rsidRDefault="0064430B" w:rsidP="00E0792D">
            <w:pPr>
              <w:tabs>
                <w:tab w:val="left" w:pos="288"/>
                <w:tab w:val="left" w:pos="576"/>
                <w:tab w:val="left" w:pos="864"/>
                <w:tab w:val="left" w:pos="1152"/>
              </w:tabs>
              <w:spacing w:before="40" w:after="80"/>
              <w:ind w:left="245" w:right="115" w:hanging="130"/>
            </w:pPr>
            <w:r>
              <w:t>•</w:t>
            </w:r>
            <w:r w:rsidRPr="00105444">
              <w:tab/>
              <w:t>Assurer le secrétariat des organes ci-après</w:t>
            </w:r>
            <w:r>
              <w:t> :</w:t>
            </w:r>
          </w:p>
          <w:p w14:paraId="1B8D35B4" w14:textId="77777777" w:rsidR="0064430B" w:rsidRPr="00105444" w:rsidRDefault="0064430B" w:rsidP="00E0792D">
            <w:pPr>
              <w:tabs>
                <w:tab w:val="left" w:pos="288"/>
                <w:tab w:val="left" w:pos="576"/>
                <w:tab w:val="left" w:pos="864"/>
                <w:tab w:val="left" w:pos="1152"/>
              </w:tabs>
              <w:spacing w:before="40" w:after="80"/>
              <w:ind w:left="576" w:right="115" w:hanging="576"/>
            </w:pPr>
            <w:r>
              <w:tab/>
            </w:r>
            <w:r w:rsidRPr="00105444">
              <w:t>1.</w:t>
            </w:r>
            <w:r w:rsidRPr="00105444">
              <w:tab/>
              <w:t>Le Groupe de travail des transports de marchandises dangereuses (WP.15) du Comité des transports intérieurs de la CEE, qui s’occupe principalement des questions se rapportant à l’Accord européen relatif au transport international des marchandises dangereuses par route (ADR), c’est-à-dire des questions concernant les transports routiers (construction, homologation et utilisation des véhicules, formation des conducteurs, sécurité dans les tunnels routiers, etc.);</w:t>
            </w:r>
          </w:p>
        </w:tc>
        <w:tc>
          <w:tcPr>
            <w:tcW w:w="5019" w:type="dxa"/>
            <w:shd w:val="clear" w:color="auto" w:fill="auto"/>
          </w:tcPr>
          <w:p w14:paraId="1351F463" w14:textId="77777777" w:rsidR="0064430B" w:rsidRPr="00105444" w:rsidRDefault="0064430B" w:rsidP="00E0792D">
            <w:pPr>
              <w:tabs>
                <w:tab w:val="left" w:pos="288"/>
                <w:tab w:val="left" w:pos="576"/>
                <w:tab w:val="left" w:pos="864"/>
                <w:tab w:val="left" w:pos="1152"/>
              </w:tabs>
              <w:spacing w:before="40" w:after="80"/>
              <w:ind w:right="115"/>
            </w:pPr>
            <w:r w:rsidRPr="00105444">
              <w:t>Adoption d’amendements à</w:t>
            </w:r>
            <w:r>
              <w:t xml:space="preserve"> </w:t>
            </w:r>
            <w:r w:rsidRPr="00105444">
              <w:t>l’Accord européen relatif au transport international des marchandises dangereuses par route (ADR) et, à</w:t>
            </w:r>
            <w:r>
              <w:t xml:space="preserve"> </w:t>
            </w:r>
            <w:r w:rsidRPr="00105444">
              <w:t>l’issue d’activités communes respectivement menées avec l’Organisation intergouvernementale des transports internationaux ferroviaires (OTIF) et la Commission centrale pour la navigation du Rhin (CCNR), d’amendements au Règlement international concernant le transport des marchandises dangereuses par chemin de fer (RID) et à l’Accord européen relatif au transport international des marchandises dangereuses par voies de navigation intérieures (ADN), visant à préserver l’harmonie et la cohérence du dispositif réglementaire applicable au transport des marchandises dangereuses tout en le maintenant au niveau nécessaire de sûreté, de</w:t>
            </w:r>
            <w:r>
              <w:t xml:space="preserve"> </w:t>
            </w:r>
            <w:r w:rsidRPr="00105444">
              <w:t>sécurité et de protection de l’environnement, en se fondant sur les Recommandations de l’ONU relatives au transport des marchandises dangereuses; mise en application effective par les législations internationale et nationale.</w:t>
            </w:r>
          </w:p>
          <w:p w14:paraId="4A194412" w14:textId="508E074B" w:rsidR="0064430B" w:rsidRPr="00105444" w:rsidRDefault="0064430B" w:rsidP="00153D80">
            <w:pPr>
              <w:tabs>
                <w:tab w:val="left" w:pos="288"/>
                <w:tab w:val="left" w:pos="576"/>
                <w:tab w:val="left" w:pos="864"/>
                <w:tab w:val="left" w:pos="1152"/>
              </w:tabs>
              <w:spacing w:before="40" w:after="80"/>
              <w:ind w:right="115"/>
            </w:pPr>
            <w:r w:rsidRPr="00105444">
              <w:t xml:space="preserve">Élaboration de recommandations et/ou d’orientations fondées </w:t>
            </w:r>
            <w:r w:rsidR="00153D80">
              <w:t>sur la feuille de route pour l’adhésion et la mise en œuvre de l’ADR adoptée</w:t>
            </w:r>
            <w:r w:rsidRPr="00105444">
              <w:t xml:space="preserve"> à la quatre-vingt-treizième session du Groupe de travail. </w:t>
            </w:r>
          </w:p>
        </w:tc>
      </w:tr>
      <w:tr w:rsidR="0064430B" w:rsidRPr="00105444" w14:paraId="1088F064" w14:textId="77777777" w:rsidTr="00E0792D">
        <w:tc>
          <w:tcPr>
            <w:tcW w:w="5018" w:type="dxa"/>
            <w:shd w:val="clear" w:color="auto" w:fill="auto"/>
          </w:tcPr>
          <w:p w14:paraId="4D859294" w14:textId="77777777" w:rsidR="0064430B" w:rsidRPr="00105444" w:rsidRDefault="0064430B" w:rsidP="00E0792D">
            <w:pPr>
              <w:tabs>
                <w:tab w:val="left" w:pos="288"/>
                <w:tab w:val="left" w:pos="576"/>
                <w:tab w:val="left" w:pos="864"/>
                <w:tab w:val="left" w:pos="1152"/>
              </w:tabs>
              <w:spacing w:before="40" w:after="80"/>
              <w:ind w:left="576" w:right="115" w:hanging="576"/>
            </w:pPr>
            <w:r>
              <w:tab/>
            </w:r>
            <w:r w:rsidRPr="00105444">
              <w:t>2.</w:t>
            </w:r>
            <w:r w:rsidRPr="00105444">
              <w:tab/>
              <w:t>La Réunion commune de la Commission d’experts du Règlement concernant le transport international ferroviaire des marchandises dangereuses (RID) et du Groupe de travail des transports de marchandises dangereuses (Réunion commune RID/ADR/ADN) (WP.15/AC.1), avec la collaboration du secrétariat de l’Organisation intergouvernementale pour les transports internationaux ferroviaires (OTIF), pour toutes les questions communes aux trois modes de transport intérieur, telles que celles relatives à la classification, l’inventaire et l’emballage des marchandises dangereuses ainsi qu’aux citernes et conteneurs destinés à celles-ci;</w:t>
            </w:r>
          </w:p>
        </w:tc>
        <w:tc>
          <w:tcPr>
            <w:tcW w:w="5019" w:type="dxa"/>
            <w:shd w:val="clear" w:color="auto" w:fill="auto"/>
          </w:tcPr>
          <w:p w14:paraId="1855040C" w14:textId="77777777" w:rsidR="0064430B" w:rsidRPr="00105444" w:rsidRDefault="0064430B" w:rsidP="00E0792D">
            <w:pPr>
              <w:tabs>
                <w:tab w:val="left" w:pos="288"/>
                <w:tab w:val="left" w:pos="576"/>
                <w:tab w:val="left" w:pos="864"/>
                <w:tab w:val="left" w:pos="1152"/>
              </w:tabs>
              <w:spacing w:before="40" w:after="80"/>
              <w:ind w:right="115"/>
            </w:pPr>
          </w:p>
        </w:tc>
      </w:tr>
      <w:tr w:rsidR="0064430B" w:rsidRPr="00105444" w14:paraId="1104C588" w14:textId="77777777" w:rsidTr="00E0792D">
        <w:tc>
          <w:tcPr>
            <w:tcW w:w="5018" w:type="dxa"/>
            <w:shd w:val="clear" w:color="auto" w:fill="auto"/>
          </w:tcPr>
          <w:p w14:paraId="707AF05C" w14:textId="77777777" w:rsidR="0064430B" w:rsidRPr="00105444" w:rsidRDefault="0064430B" w:rsidP="00E0792D">
            <w:pPr>
              <w:tabs>
                <w:tab w:val="left" w:pos="288"/>
                <w:tab w:val="left" w:pos="576"/>
                <w:tab w:val="left" w:pos="864"/>
                <w:tab w:val="left" w:pos="1152"/>
              </w:tabs>
              <w:spacing w:before="40" w:after="80"/>
              <w:ind w:left="576" w:right="115" w:hanging="576"/>
            </w:pPr>
            <w:r>
              <w:tab/>
            </w:r>
            <w:r w:rsidRPr="00105444">
              <w:t>3.</w:t>
            </w:r>
            <w:r w:rsidRPr="00105444">
              <w:tab/>
              <w:t xml:space="preserve">La Réunion commune d’experts sur le Règlement annexé à l’Accord européen relatif au transport international des marchandises dangereuses par voies de navigation intérieures (ADN) (Comité de sécurité de l’ADN) (WP.15/AC.2) et le Comité de gestion de </w:t>
            </w:r>
            <w:r w:rsidRPr="00105444">
              <w:lastRenderedPageBreak/>
              <w:t xml:space="preserve">l’ADN </w:t>
            </w:r>
            <w:r>
              <w:t>[</w:t>
            </w:r>
            <w:r w:rsidRPr="00105444">
              <w:t>avec la collaboration de la Commission centrale pour la navigation du Rhin (CCNR)</w:t>
            </w:r>
            <w:r>
              <w:t>]</w:t>
            </w:r>
            <w:r w:rsidRPr="00105444">
              <w:t>, pour toutes les questions concernant la navigation intérieure, telles que la construction, l’homologation et l’exploitation des bateaux, les transports en bateaux-citernes ainsi que la formation des équipages et le contrôle de leurs connaissances.</w:t>
            </w:r>
          </w:p>
        </w:tc>
        <w:tc>
          <w:tcPr>
            <w:tcW w:w="5019" w:type="dxa"/>
            <w:shd w:val="clear" w:color="auto" w:fill="auto"/>
          </w:tcPr>
          <w:p w14:paraId="3763F6ED" w14:textId="77777777" w:rsidR="0064430B" w:rsidRPr="00105444" w:rsidRDefault="0064430B" w:rsidP="00E0792D">
            <w:pPr>
              <w:tabs>
                <w:tab w:val="left" w:pos="288"/>
                <w:tab w:val="left" w:pos="576"/>
                <w:tab w:val="left" w:pos="864"/>
                <w:tab w:val="left" w:pos="1152"/>
              </w:tabs>
              <w:spacing w:before="40" w:after="80"/>
              <w:ind w:right="115"/>
            </w:pPr>
          </w:p>
        </w:tc>
      </w:tr>
      <w:tr w:rsidR="0064430B" w:rsidRPr="00105444" w14:paraId="2B108151" w14:textId="77777777" w:rsidTr="00E0792D">
        <w:tc>
          <w:tcPr>
            <w:tcW w:w="5018" w:type="dxa"/>
            <w:shd w:val="clear" w:color="auto" w:fill="auto"/>
          </w:tcPr>
          <w:p w14:paraId="7F1AA74D" w14:textId="77777777" w:rsidR="0064430B" w:rsidRPr="00105444" w:rsidRDefault="0064430B" w:rsidP="00E0792D">
            <w:pPr>
              <w:tabs>
                <w:tab w:val="left" w:pos="288"/>
                <w:tab w:val="left" w:pos="576"/>
                <w:tab w:val="left" w:pos="864"/>
                <w:tab w:val="left" w:pos="1152"/>
              </w:tabs>
              <w:spacing w:before="40" w:after="80"/>
              <w:ind w:left="245" w:right="115" w:hanging="130"/>
            </w:pPr>
            <w:r>
              <w:lastRenderedPageBreak/>
              <w:t>•</w:t>
            </w:r>
            <w:r w:rsidRPr="00105444">
              <w:tab/>
              <w:t>Administrer l’ADR et l’ADN, ce qui comprend notamment les activités suivantes, menées en collaboration avec la Section des traités de l’ONU</w:t>
            </w:r>
            <w:r>
              <w:t> :</w:t>
            </w:r>
            <w:r w:rsidRPr="00105444">
              <w:t xml:space="preserve"> unification et vérification des textes juridiques, modifications, notifications dépositaires, enregistrement et notification des accords bilatéraux ou multilatéraux conclus par des Parties par dérogation aux dispositions de l’ADR ou de l’ADN, délivrance des autorisations spéciales,</w:t>
            </w:r>
            <w:r>
              <w:t xml:space="preserve"> </w:t>
            </w:r>
            <w:r w:rsidRPr="00105444">
              <w:t>etc.;</w:t>
            </w:r>
          </w:p>
        </w:tc>
        <w:tc>
          <w:tcPr>
            <w:tcW w:w="5019" w:type="dxa"/>
            <w:shd w:val="clear" w:color="auto" w:fill="auto"/>
          </w:tcPr>
          <w:p w14:paraId="3C913E51" w14:textId="77777777" w:rsidR="0064430B" w:rsidRPr="00105444" w:rsidRDefault="0064430B" w:rsidP="00E0792D">
            <w:pPr>
              <w:tabs>
                <w:tab w:val="left" w:pos="288"/>
                <w:tab w:val="left" w:pos="576"/>
                <w:tab w:val="left" w:pos="864"/>
                <w:tab w:val="left" w:pos="1152"/>
              </w:tabs>
              <w:spacing w:before="40" w:after="80"/>
              <w:ind w:right="115"/>
            </w:pPr>
          </w:p>
        </w:tc>
      </w:tr>
      <w:tr w:rsidR="0064430B" w:rsidRPr="00105444" w14:paraId="1F58C6A9" w14:textId="77777777" w:rsidTr="00E0792D">
        <w:tc>
          <w:tcPr>
            <w:tcW w:w="5018" w:type="dxa"/>
            <w:shd w:val="clear" w:color="auto" w:fill="auto"/>
          </w:tcPr>
          <w:p w14:paraId="333DDCBD" w14:textId="77777777" w:rsidR="0064430B" w:rsidRPr="00105444" w:rsidRDefault="0064430B" w:rsidP="00E0792D">
            <w:pPr>
              <w:tabs>
                <w:tab w:val="left" w:pos="288"/>
                <w:tab w:val="left" w:pos="576"/>
                <w:tab w:val="left" w:pos="864"/>
                <w:tab w:val="left" w:pos="1152"/>
              </w:tabs>
              <w:spacing w:before="40" w:after="80"/>
              <w:ind w:left="245" w:right="115" w:hanging="130"/>
            </w:pPr>
            <w:r>
              <w:t>•</w:t>
            </w:r>
            <w:r w:rsidRPr="00105444">
              <w:tab/>
              <w:t>Publier tous les deux ans les versi</w:t>
            </w:r>
            <w:r>
              <w:t xml:space="preserve">ons récapitulatives de l’ADR et </w:t>
            </w:r>
            <w:r w:rsidRPr="00105444">
              <w:t>de l’ADN;</w:t>
            </w:r>
          </w:p>
        </w:tc>
        <w:tc>
          <w:tcPr>
            <w:tcW w:w="5019" w:type="dxa"/>
            <w:shd w:val="clear" w:color="auto" w:fill="auto"/>
          </w:tcPr>
          <w:p w14:paraId="674A101B" w14:textId="77777777" w:rsidR="0064430B" w:rsidRPr="00105444" w:rsidRDefault="0064430B" w:rsidP="00E0792D">
            <w:pPr>
              <w:tabs>
                <w:tab w:val="left" w:pos="288"/>
                <w:tab w:val="left" w:pos="576"/>
                <w:tab w:val="left" w:pos="864"/>
                <w:tab w:val="left" w:pos="1152"/>
              </w:tabs>
              <w:spacing w:before="40" w:after="80"/>
              <w:ind w:right="115"/>
            </w:pPr>
          </w:p>
        </w:tc>
      </w:tr>
      <w:tr w:rsidR="0064430B" w:rsidRPr="00105444" w14:paraId="2D4F95DF" w14:textId="77777777" w:rsidTr="00E0792D">
        <w:tc>
          <w:tcPr>
            <w:tcW w:w="5018" w:type="dxa"/>
            <w:shd w:val="clear" w:color="auto" w:fill="auto"/>
          </w:tcPr>
          <w:p w14:paraId="2BC9F59F" w14:textId="77777777" w:rsidR="0064430B" w:rsidRPr="00105444" w:rsidRDefault="0064430B" w:rsidP="00E0792D">
            <w:pPr>
              <w:tabs>
                <w:tab w:val="left" w:pos="288"/>
                <w:tab w:val="left" w:pos="576"/>
                <w:tab w:val="left" w:pos="864"/>
                <w:tab w:val="left" w:pos="1152"/>
              </w:tabs>
              <w:spacing w:before="40" w:after="80"/>
              <w:ind w:left="245" w:right="115" w:hanging="130"/>
            </w:pPr>
            <w:r>
              <w:t>•</w:t>
            </w:r>
            <w:r w:rsidRPr="00105444">
              <w:tab/>
              <w:t>Coopérer avec des gouvernements et des organisations internationales;</w:t>
            </w:r>
          </w:p>
        </w:tc>
        <w:tc>
          <w:tcPr>
            <w:tcW w:w="5019" w:type="dxa"/>
            <w:shd w:val="clear" w:color="auto" w:fill="auto"/>
          </w:tcPr>
          <w:p w14:paraId="7DE09F63" w14:textId="77777777" w:rsidR="0064430B" w:rsidRPr="00105444" w:rsidRDefault="0064430B" w:rsidP="00E0792D">
            <w:pPr>
              <w:tabs>
                <w:tab w:val="left" w:pos="288"/>
                <w:tab w:val="left" w:pos="576"/>
                <w:tab w:val="left" w:pos="864"/>
                <w:tab w:val="left" w:pos="1152"/>
              </w:tabs>
              <w:spacing w:before="40" w:after="80"/>
              <w:ind w:right="115"/>
            </w:pPr>
          </w:p>
        </w:tc>
      </w:tr>
      <w:tr w:rsidR="0064430B" w:rsidRPr="00105444" w14:paraId="07FE726A" w14:textId="77777777" w:rsidTr="00E0792D">
        <w:tc>
          <w:tcPr>
            <w:tcW w:w="5018" w:type="dxa"/>
            <w:tcBorders>
              <w:bottom w:val="single" w:sz="12" w:space="0" w:color="auto"/>
            </w:tcBorders>
            <w:shd w:val="clear" w:color="auto" w:fill="auto"/>
          </w:tcPr>
          <w:p w14:paraId="61355E0E" w14:textId="77777777" w:rsidR="0064430B" w:rsidRPr="00105444" w:rsidRDefault="0064430B" w:rsidP="00E0792D">
            <w:pPr>
              <w:tabs>
                <w:tab w:val="left" w:pos="288"/>
                <w:tab w:val="left" w:pos="576"/>
                <w:tab w:val="left" w:pos="864"/>
                <w:tab w:val="left" w:pos="1152"/>
              </w:tabs>
              <w:spacing w:before="40" w:after="80"/>
              <w:ind w:left="245" w:right="115" w:hanging="130"/>
            </w:pPr>
            <w:r>
              <w:t>•</w:t>
            </w:r>
            <w:r w:rsidRPr="00105444">
              <w:tab/>
              <w:t>Fournir des conseils et assurer des formations sur le plan technique, ou participer à des conférences, séminaires ou ateliers d’assistance ou d’information technique (à la demande et en fonction des ressources disponibles).</w:t>
            </w:r>
          </w:p>
        </w:tc>
        <w:tc>
          <w:tcPr>
            <w:tcW w:w="5019" w:type="dxa"/>
            <w:tcBorders>
              <w:bottom w:val="single" w:sz="12" w:space="0" w:color="auto"/>
            </w:tcBorders>
            <w:shd w:val="clear" w:color="auto" w:fill="auto"/>
          </w:tcPr>
          <w:p w14:paraId="57663B51" w14:textId="77777777" w:rsidR="0064430B" w:rsidRPr="00105444" w:rsidRDefault="0064430B" w:rsidP="00E0792D">
            <w:pPr>
              <w:tabs>
                <w:tab w:val="left" w:pos="288"/>
                <w:tab w:val="left" w:pos="576"/>
                <w:tab w:val="left" w:pos="864"/>
                <w:tab w:val="left" w:pos="1152"/>
              </w:tabs>
              <w:spacing w:before="40" w:after="80"/>
              <w:ind w:right="115"/>
            </w:pPr>
          </w:p>
        </w:tc>
      </w:tr>
    </w:tbl>
    <w:p w14:paraId="4777F3C5" w14:textId="77777777" w:rsidR="0064430B" w:rsidRPr="00105444" w:rsidRDefault="0064430B" w:rsidP="0064430B">
      <w:pPr>
        <w:pStyle w:val="SingleTxt"/>
        <w:spacing w:after="0" w:line="120" w:lineRule="exact"/>
        <w:rPr>
          <w:sz w:val="10"/>
          <w:lang w:val="fr-CH"/>
        </w:rPr>
      </w:pPr>
    </w:p>
    <w:p w14:paraId="5FCFAD4C" w14:textId="77777777" w:rsidR="0064430B" w:rsidRPr="00105444" w:rsidRDefault="0064430B" w:rsidP="0064430B">
      <w:pPr>
        <w:pStyle w:val="SingleTxt"/>
        <w:spacing w:after="0" w:line="120" w:lineRule="exact"/>
        <w:rPr>
          <w:sz w:val="10"/>
          <w:lang w:val="fr-CH"/>
        </w:rPr>
      </w:pPr>
    </w:p>
    <w:p w14:paraId="3D38298E" w14:textId="77777777" w:rsidR="0064430B" w:rsidRPr="00105444" w:rsidRDefault="0064430B" w:rsidP="0064430B">
      <w:pPr>
        <w:pStyle w:val="SingleTxt"/>
        <w:spacing w:after="0" w:line="120" w:lineRule="exact"/>
        <w:rPr>
          <w:sz w:val="10"/>
          <w:lang w:val="fr-CH"/>
        </w:rPr>
      </w:pPr>
    </w:p>
    <w:p w14:paraId="2E9F0A79" w14:textId="77777777" w:rsidR="0064430B" w:rsidRPr="00105444" w:rsidRDefault="0064430B" w:rsidP="0064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14:paraId="26618E4A" w14:textId="77777777" w:rsidR="0064430B" w:rsidRPr="00E74F1D" w:rsidRDefault="0064430B" w:rsidP="0064430B">
      <w:pPr>
        <w:pStyle w:val="SingleTxt"/>
        <w:spacing w:after="0" w:line="120" w:lineRule="exact"/>
        <w:rPr>
          <w:i/>
          <w:sz w:val="10"/>
          <w:lang w:val="fr-CH"/>
        </w:rPr>
      </w:pPr>
    </w:p>
    <w:p w14:paraId="079C678E" w14:textId="77777777" w:rsidR="0064430B" w:rsidRDefault="0064430B" w:rsidP="006443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14:paraId="163D6EAE" w14:textId="77777777" w:rsidR="0064430B" w:rsidRPr="00E74F1D" w:rsidRDefault="0064430B" w:rsidP="0064430B">
      <w:pPr>
        <w:pStyle w:val="SingleTxt"/>
        <w:spacing w:after="0" w:line="120" w:lineRule="exact"/>
        <w:rPr>
          <w:sz w:val="10"/>
          <w:lang w:val="fr-CH"/>
        </w:rPr>
      </w:pPr>
    </w:p>
    <w:p w14:paraId="4DCBD69D" w14:textId="40FE8A79" w:rsidR="0064430B" w:rsidRPr="00105444" w:rsidRDefault="0064430B" w:rsidP="0064430B">
      <w:pPr>
        <w:pStyle w:val="SingleTxt"/>
        <w:rPr>
          <w:lang w:val="fr-CH"/>
        </w:rPr>
      </w:pPr>
      <w:r w:rsidRPr="00105444">
        <w:rPr>
          <w:lang w:val="fr-CH"/>
        </w:rPr>
        <w:t>9.1</w:t>
      </w:r>
      <w:r w:rsidRPr="00105444">
        <w:rPr>
          <w:lang w:val="fr-CH"/>
        </w:rPr>
        <w:tab/>
        <w:t>Groupe de travail des transports de marchandises dangereuses (</w:t>
      </w:r>
      <w:r>
        <w:rPr>
          <w:lang w:val="fr-CH"/>
        </w:rPr>
        <w:t>104</w:t>
      </w:r>
      <w:r w:rsidRPr="00105444">
        <w:rPr>
          <w:vertAlign w:val="superscript"/>
          <w:lang w:val="fr-CH"/>
        </w:rPr>
        <w:t>e</w:t>
      </w:r>
      <w:r w:rsidRPr="00105444">
        <w:rPr>
          <w:lang w:val="fr-CH"/>
        </w:rPr>
        <w:t xml:space="preserve"> et </w:t>
      </w:r>
      <w:r>
        <w:rPr>
          <w:lang w:val="fr-CH"/>
        </w:rPr>
        <w:t>105</w:t>
      </w:r>
      <w:r w:rsidRPr="00105444">
        <w:rPr>
          <w:vertAlign w:val="superscript"/>
          <w:lang w:val="fr-CH"/>
        </w:rPr>
        <w:t>e</w:t>
      </w:r>
      <w:r w:rsidRPr="00105444">
        <w:rPr>
          <w:lang w:val="fr-CH"/>
        </w:rPr>
        <w:t xml:space="preserve"> sessions en </w:t>
      </w:r>
      <w:r>
        <w:rPr>
          <w:lang w:val="fr-CH"/>
        </w:rPr>
        <w:t>2018</w:t>
      </w:r>
      <w:r w:rsidRPr="00105444">
        <w:rPr>
          <w:lang w:val="fr-CH"/>
        </w:rPr>
        <w:t xml:space="preserve">, </w:t>
      </w:r>
      <w:r>
        <w:rPr>
          <w:lang w:val="fr-CH"/>
        </w:rPr>
        <w:t>106</w:t>
      </w:r>
      <w:r w:rsidRPr="00105444">
        <w:rPr>
          <w:vertAlign w:val="superscript"/>
          <w:lang w:val="fr-CH"/>
        </w:rPr>
        <w:t>e</w:t>
      </w:r>
      <w:r w:rsidRPr="00105444">
        <w:rPr>
          <w:lang w:val="fr-CH"/>
        </w:rPr>
        <w:t xml:space="preserve"> et </w:t>
      </w:r>
      <w:r>
        <w:rPr>
          <w:lang w:val="fr-CH"/>
        </w:rPr>
        <w:t>107</w:t>
      </w:r>
      <w:r w:rsidRPr="00105444">
        <w:rPr>
          <w:vertAlign w:val="superscript"/>
          <w:lang w:val="fr-CH"/>
        </w:rPr>
        <w:t>e</w:t>
      </w:r>
      <w:r w:rsidRPr="00105444">
        <w:rPr>
          <w:lang w:val="fr-CH"/>
        </w:rPr>
        <w:t xml:space="preserve"> sessions en </w:t>
      </w:r>
      <w:r>
        <w:rPr>
          <w:lang w:val="fr-CH"/>
        </w:rPr>
        <w:t>2019</w:t>
      </w:r>
      <w:r w:rsidRPr="00105444">
        <w:rPr>
          <w:lang w:val="fr-CH"/>
        </w:rPr>
        <w:t>) (</w:t>
      </w:r>
      <w:r>
        <w:rPr>
          <w:lang w:val="fr-CH"/>
        </w:rPr>
        <w:t>38</w:t>
      </w:r>
      <w:r w:rsidRPr="00105444">
        <w:rPr>
          <w:lang w:val="fr-CH"/>
        </w:rPr>
        <w:t> séances).</w:t>
      </w:r>
    </w:p>
    <w:p w14:paraId="1FF510DD" w14:textId="00130DEA" w:rsidR="0064430B" w:rsidRPr="00105444" w:rsidRDefault="0064430B" w:rsidP="0064430B">
      <w:pPr>
        <w:pStyle w:val="SingleTxt"/>
        <w:ind w:left="2693" w:hanging="1426"/>
        <w:rPr>
          <w:lang w:val="fr-CH"/>
        </w:rPr>
      </w:pPr>
      <w:r w:rsidRPr="00105444">
        <w:rPr>
          <w:i/>
          <w:lang w:val="fr-CH"/>
        </w:rPr>
        <w:t>Documents</w:t>
      </w:r>
      <w:r>
        <w:rPr>
          <w:i/>
          <w:lang w:val="fr-CH"/>
        </w:rPr>
        <w:t> :</w:t>
      </w:r>
      <w:r>
        <w:rPr>
          <w:i/>
          <w:lang w:val="fr-CH"/>
        </w:rPr>
        <w:tab/>
      </w:r>
      <w:r w:rsidRPr="00105444">
        <w:rPr>
          <w:lang w:val="fr-CH"/>
        </w:rPr>
        <w:t xml:space="preserve">Rapports des sessions (4); deux séries de documents concernant des amendements aux annexes techniques de l’ADR ou la mise en œuvre de l’Accord; liste récapitulative des amendements à l’ADR qui seront adoptés pour </w:t>
      </w:r>
      <w:proofErr w:type="spellStart"/>
      <w:r w:rsidRPr="00105444">
        <w:rPr>
          <w:lang w:val="fr-CH"/>
        </w:rPr>
        <w:t>entrée</w:t>
      </w:r>
      <w:proofErr w:type="spellEnd"/>
      <w:r w:rsidRPr="00105444">
        <w:rPr>
          <w:lang w:val="fr-CH"/>
        </w:rPr>
        <w:t xml:space="preserve"> en vigueur au 1</w:t>
      </w:r>
      <w:r w:rsidRPr="00105444">
        <w:rPr>
          <w:vertAlign w:val="superscript"/>
          <w:lang w:val="fr-CH"/>
        </w:rPr>
        <w:t>er</w:t>
      </w:r>
      <w:r w:rsidRPr="00105444">
        <w:rPr>
          <w:lang w:val="fr-CH"/>
        </w:rPr>
        <w:t xml:space="preserve"> janvier </w:t>
      </w:r>
      <w:r>
        <w:rPr>
          <w:lang w:val="fr-CH"/>
        </w:rPr>
        <w:t>2019</w:t>
      </w:r>
      <w:r w:rsidRPr="00105444">
        <w:rPr>
          <w:lang w:val="fr-CH"/>
        </w:rPr>
        <w:t>.</w:t>
      </w:r>
    </w:p>
    <w:p w14:paraId="1794C13C" w14:textId="66BADD39" w:rsidR="0064430B" w:rsidRPr="00105444" w:rsidRDefault="0064430B" w:rsidP="0064430B">
      <w:pPr>
        <w:pStyle w:val="SingleTxt"/>
        <w:rPr>
          <w:lang w:val="fr-CH"/>
        </w:rPr>
      </w:pPr>
      <w:r w:rsidRPr="00105444">
        <w:rPr>
          <w:lang w:val="fr-CH"/>
        </w:rPr>
        <w:t>9.2</w:t>
      </w:r>
      <w:r w:rsidRPr="00105444">
        <w:rPr>
          <w:lang w:val="fr-CH"/>
        </w:rPr>
        <w:tab/>
        <w:t xml:space="preserve">Réunion commune de la Commission d’experts du RID et du Groupe de travail des transports de marchandises dangereuses (sessions de printemps et d’automne en </w:t>
      </w:r>
      <w:r>
        <w:rPr>
          <w:lang w:val="fr-CH"/>
        </w:rPr>
        <w:t>2018</w:t>
      </w:r>
      <w:r w:rsidRPr="00105444">
        <w:rPr>
          <w:lang w:val="fr-CH"/>
        </w:rPr>
        <w:t xml:space="preserve"> et en </w:t>
      </w:r>
      <w:r>
        <w:rPr>
          <w:lang w:val="fr-CH"/>
        </w:rPr>
        <w:t>2019</w:t>
      </w:r>
      <w:r w:rsidRPr="00105444">
        <w:rPr>
          <w:lang w:val="fr-CH"/>
        </w:rPr>
        <w:t>) (48 séances).</w:t>
      </w:r>
    </w:p>
    <w:p w14:paraId="40C5D132" w14:textId="77777777" w:rsidR="0064430B" w:rsidRPr="00105444" w:rsidRDefault="0064430B" w:rsidP="0064430B">
      <w:pPr>
        <w:pStyle w:val="SingleTxt"/>
        <w:ind w:left="2693" w:hanging="1426"/>
        <w:rPr>
          <w:lang w:val="fr-CH"/>
        </w:rPr>
      </w:pPr>
      <w:r w:rsidRPr="00105444">
        <w:rPr>
          <w:i/>
          <w:lang w:val="fr-CH"/>
        </w:rPr>
        <w:t>Documents</w:t>
      </w:r>
      <w:r>
        <w:rPr>
          <w:i/>
          <w:lang w:val="fr-CH"/>
        </w:rPr>
        <w:t> :</w:t>
      </w:r>
      <w:r>
        <w:rPr>
          <w:i/>
          <w:lang w:val="fr-CH"/>
        </w:rPr>
        <w:tab/>
      </w:r>
      <w:r w:rsidRPr="00105444">
        <w:rPr>
          <w:lang w:val="fr-CH"/>
        </w:rPr>
        <w:t>Rapports des sessions (4); deux séries de documents concernant des amendements à l’ADR, au RID et à l’ADN.</w:t>
      </w:r>
    </w:p>
    <w:p w14:paraId="7FF7400E" w14:textId="3F4C2876" w:rsidR="0064430B" w:rsidRPr="00105444" w:rsidRDefault="0064430B" w:rsidP="0064430B">
      <w:pPr>
        <w:pStyle w:val="SingleTxt"/>
        <w:rPr>
          <w:lang w:val="fr-CH"/>
        </w:rPr>
      </w:pPr>
      <w:r w:rsidRPr="00105444">
        <w:rPr>
          <w:lang w:val="fr-CH"/>
        </w:rPr>
        <w:t>9.3</w:t>
      </w:r>
      <w:r w:rsidRPr="00105444">
        <w:rPr>
          <w:lang w:val="fr-CH"/>
        </w:rPr>
        <w:tab/>
        <w:t>Réunion commune d’experts sur le Règlement annexé à l’Accord européen relatif au transport international des marchandises dangereuses par voies de navigation intérieures (ADN) (</w:t>
      </w:r>
      <w:r>
        <w:rPr>
          <w:lang w:val="fr-CH"/>
        </w:rPr>
        <w:t>trente-deuxième</w:t>
      </w:r>
      <w:r w:rsidRPr="00105444">
        <w:rPr>
          <w:lang w:val="fr-CH"/>
        </w:rPr>
        <w:t xml:space="preserve"> et </w:t>
      </w:r>
      <w:r>
        <w:rPr>
          <w:lang w:val="fr-CH"/>
        </w:rPr>
        <w:t>trente-troisième</w:t>
      </w:r>
      <w:r w:rsidRPr="00105444">
        <w:rPr>
          <w:lang w:val="fr-CH"/>
        </w:rPr>
        <w:t xml:space="preserve"> sessions en </w:t>
      </w:r>
      <w:r>
        <w:rPr>
          <w:lang w:val="fr-CH"/>
        </w:rPr>
        <w:t>2018</w:t>
      </w:r>
      <w:r w:rsidRPr="00105444">
        <w:rPr>
          <w:lang w:val="fr-CH"/>
        </w:rPr>
        <w:t xml:space="preserve">, </w:t>
      </w:r>
      <w:r>
        <w:rPr>
          <w:lang w:val="fr-CH"/>
        </w:rPr>
        <w:t>trente-quatrième</w:t>
      </w:r>
      <w:r w:rsidRPr="00105444">
        <w:rPr>
          <w:lang w:val="fr-CH"/>
        </w:rPr>
        <w:t xml:space="preserve"> et </w:t>
      </w:r>
      <w:r>
        <w:rPr>
          <w:lang w:val="fr-CH"/>
        </w:rPr>
        <w:t>trente-cinquième</w:t>
      </w:r>
      <w:r w:rsidRPr="00105444">
        <w:rPr>
          <w:lang w:val="fr-CH"/>
        </w:rPr>
        <w:t xml:space="preserve"> sessions en </w:t>
      </w:r>
      <w:r>
        <w:rPr>
          <w:lang w:val="fr-CH"/>
        </w:rPr>
        <w:t>2019</w:t>
      </w:r>
      <w:r w:rsidRPr="00105444">
        <w:rPr>
          <w:lang w:val="fr-CH"/>
        </w:rPr>
        <w:t>) (36 séances).</w:t>
      </w:r>
    </w:p>
    <w:p w14:paraId="4B615192" w14:textId="77777777" w:rsidR="0064430B" w:rsidRPr="00105444" w:rsidRDefault="0064430B" w:rsidP="0064430B">
      <w:pPr>
        <w:pStyle w:val="SingleTxt"/>
        <w:ind w:left="2693" w:hanging="1426"/>
        <w:rPr>
          <w:lang w:val="fr-CH"/>
        </w:rPr>
      </w:pPr>
      <w:r w:rsidRPr="00105444">
        <w:rPr>
          <w:i/>
          <w:lang w:val="fr-CH"/>
        </w:rPr>
        <w:lastRenderedPageBreak/>
        <w:t>Documents</w:t>
      </w:r>
      <w:r>
        <w:rPr>
          <w:i/>
          <w:lang w:val="fr-CH"/>
        </w:rPr>
        <w:t> :</w:t>
      </w:r>
      <w:r>
        <w:rPr>
          <w:i/>
          <w:lang w:val="fr-CH"/>
        </w:rPr>
        <w:tab/>
      </w:r>
      <w:r w:rsidRPr="00105444">
        <w:rPr>
          <w:lang w:val="fr-CH"/>
        </w:rPr>
        <w:t xml:space="preserve">Rapports des sessions (4); deux séries de documents concernant des amendements au Règlement annexé à l’ADN ou la mise en œuvre de ce dernier. </w:t>
      </w:r>
    </w:p>
    <w:p w14:paraId="6F832ADF" w14:textId="21A3A47E" w:rsidR="0064430B" w:rsidRPr="00105444" w:rsidRDefault="0064430B" w:rsidP="0064430B">
      <w:pPr>
        <w:pStyle w:val="SingleTxt"/>
        <w:rPr>
          <w:lang w:val="fr-CH"/>
        </w:rPr>
      </w:pPr>
      <w:r w:rsidRPr="00105444">
        <w:rPr>
          <w:lang w:val="fr-CH"/>
        </w:rPr>
        <w:t>9.4</w:t>
      </w:r>
      <w:r w:rsidRPr="00105444">
        <w:rPr>
          <w:lang w:val="fr-CH"/>
        </w:rPr>
        <w:tab/>
        <w:t>Comité de gestion de l’ADN (</w:t>
      </w:r>
      <w:r>
        <w:rPr>
          <w:lang w:val="fr-CH"/>
        </w:rPr>
        <w:t>vingtième</w:t>
      </w:r>
      <w:r w:rsidRPr="00105444">
        <w:rPr>
          <w:lang w:val="fr-CH"/>
        </w:rPr>
        <w:t xml:space="preserve"> et </w:t>
      </w:r>
      <w:r>
        <w:rPr>
          <w:lang w:val="fr-CH"/>
        </w:rPr>
        <w:t>vingt-et-unième</w:t>
      </w:r>
      <w:r w:rsidRPr="00105444">
        <w:rPr>
          <w:lang w:val="fr-CH"/>
        </w:rPr>
        <w:t xml:space="preserve"> sessions en </w:t>
      </w:r>
      <w:r>
        <w:rPr>
          <w:lang w:val="fr-CH"/>
        </w:rPr>
        <w:t>2018</w:t>
      </w:r>
      <w:r w:rsidRPr="00105444">
        <w:rPr>
          <w:lang w:val="fr-CH"/>
        </w:rPr>
        <w:t xml:space="preserve">, </w:t>
      </w:r>
      <w:r>
        <w:rPr>
          <w:lang w:val="fr-CH"/>
        </w:rPr>
        <w:t>vingt-deuxième</w:t>
      </w:r>
      <w:r w:rsidRPr="00105444">
        <w:rPr>
          <w:lang w:val="fr-CH"/>
        </w:rPr>
        <w:t xml:space="preserve"> et </w:t>
      </w:r>
      <w:r>
        <w:rPr>
          <w:lang w:val="fr-CH"/>
        </w:rPr>
        <w:t>vingt-troisième</w:t>
      </w:r>
      <w:r w:rsidRPr="00105444">
        <w:rPr>
          <w:lang w:val="fr-CH"/>
        </w:rPr>
        <w:t xml:space="preserve"> sessions en </w:t>
      </w:r>
      <w:r>
        <w:rPr>
          <w:lang w:val="fr-CH"/>
        </w:rPr>
        <w:t>2019</w:t>
      </w:r>
      <w:r w:rsidRPr="00105444">
        <w:rPr>
          <w:lang w:val="fr-CH"/>
        </w:rPr>
        <w:t>) (4 séances).</w:t>
      </w:r>
    </w:p>
    <w:p w14:paraId="1610AF3D" w14:textId="1DEA298D" w:rsidR="0064430B" w:rsidRPr="00105444" w:rsidRDefault="0064430B" w:rsidP="0064430B">
      <w:pPr>
        <w:pStyle w:val="SingleTxt"/>
        <w:ind w:left="2693" w:hanging="1426"/>
        <w:rPr>
          <w:lang w:val="fr-CH"/>
        </w:rPr>
      </w:pPr>
      <w:r w:rsidRPr="00105444">
        <w:rPr>
          <w:i/>
          <w:lang w:val="fr-CH"/>
        </w:rPr>
        <w:t>Documents</w:t>
      </w:r>
      <w:r>
        <w:rPr>
          <w:i/>
          <w:lang w:val="fr-CH"/>
        </w:rPr>
        <w:t> :</w:t>
      </w:r>
      <w:r>
        <w:rPr>
          <w:i/>
          <w:lang w:val="fr-CH"/>
        </w:rPr>
        <w:tab/>
      </w:r>
      <w:r w:rsidRPr="00105444">
        <w:rPr>
          <w:lang w:val="fr-CH"/>
        </w:rPr>
        <w:t xml:space="preserve">Rapports des sessions (4); deux séries de documents concernant des amendements à l’ADN ou l’administration de celui-ci; liste récapitulative des amendements à l’ADN qui seront adoptés pour </w:t>
      </w:r>
      <w:proofErr w:type="spellStart"/>
      <w:r w:rsidRPr="00105444">
        <w:rPr>
          <w:lang w:val="fr-CH"/>
        </w:rPr>
        <w:t>entrée</w:t>
      </w:r>
      <w:proofErr w:type="spellEnd"/>
      <w:r w:rsidRPr="00105444">
        <w:rPr>
          <w:lang w:val="fr-CH"/>
        </w:rPr>
        <w:t xml:space="preserve"> en vigueur au 1</w:t>
      </w:r>
      <w:r w:rsidRPr="00105444">
        <w:rPr>
          <w:vertAlign w:val="superscript"/>
          <w:lang w:val="fr-CH"/>
        </w:rPr>
        <w:t>er</w:t>
      </w:r>
      <w:r w:rsidRPr="00105444">
        <w:rPr>
          <w:lang w:val="fr-CH"/>
        </w:rPr>
        <w:t xml:space="preserve"> janvier </w:t>
      </w:r>
      <w:r>
        <w:rPr>
          <w:lang w:val="fr-CH"/>
        </w:rPr>
        <w:t>2019</w:t>
      </w:r>
      <w:r w:rsidRPr="00105444">
        <w:rPr>
          <w:lang w:val="fr-CH"/>
        </w:rPr>
        <w:t>.</w:t>
      </w:r>
    </w:p>
    <w:p w14:paraId="191F8550" w14:textId="77777777" w:rsidR="0064430B" w:rsidRPr="00E74F1D" w:rsidRDefault="0064430B" w:rsidP="0064430B">
      <w:pPr>
        <w:pStyle w:val="SingleTxt"/>
        <w:spacing w:after="0" w:line="120" w:lineRule="exact"/>
        <w:rPr>
          <w:i/>
          <w:sz w:val="10"/>
          <w:lang w:val="fr-CH"/>
        </w:rPr>
      </w:pPr>
    </w:p>
    <w:p w14:paraId="694A12D8" w14:textId="77777777" w:rsidR="0064430B" w:rsidRPr="00105444" w:rsidRDefault="0064430B" w:rsidP="006443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sidRPr="00105444">
        <w:rPr>
          <w:lang w:val="fr-CH"/>
        </w:rPr>
        <w:tab/>
        <w:t>b)</w:t>
      </w:r>
      <w:r w:rsidRPr="00105444">
        <w:rPr>
          <w:lang w:val="fr-CH"/>
        </w:rPr>
        <w:tab/>
        <w:t>Publications et autres supports d’information</w:t>
      </w:r>
    </w:p>
    <w:p w14:paraId="59C1DEEE" w14:textId="77777777" w:rsidR="0064430B" w:rsidRPr="00E74F1D" w:rsidRDefault="0064430B" w:rsidP="0064430B">
      <w:pPr>
        <w:pStyle w:val="SingleTxt"/>
        <w:spacing w:after="0" w:line="120" w:lineRule="exact"/>
        <w:rPr>
          <w:sz w:val="10"/>
          <w:lang w:val="fr-CH"/>
        </w:rPr>
      </w:pPr>
    </w:p>
    <w:p w14:paraId="7D9230F7" w14:textId="68EB4AA9" w:rsidR="0064430B" w:rsidRPr="00105444" w:rsidRDefault="0064430B" w:rsidP="0064430B">
      <w:pPr>
        <w:pStyle w:val="SingleTxt"/>
        <w:rPr>
          <w:lang w:val="fr-CH"/>
        </w:rPr>
      </w:pPr>
      <w:r w:rsidRPr="00105444">
        <w:rPr>
          <w:lang w:val="fr-CH"/>
        </w:rPr>
        <w:t>9.5</w:t>
      </w:r>
      <w:r w:rsidRPr="00105444">
        <w:rPr>
          <w:lang w:val="fr-CH"/>
        </w:rPr>
        <w:tab/>
        <w:t xml:space="preserve">Édition récapitulative révisée de l’ADR pour </w:t>
      </w:r>
      <w:r>
        <w:rPr>
          <w:lang w:val="fr-CH"/>
        </w:rPr>
        <w:t>2019</w:t>
      </w:r>
      <w:r w:rsidRPr="00105444">
        <w:rPr>
          <w:lang w:val="fr-CH"/>
        </w:rPr>
        <w:t xml:space="preserve"> (applicable à compter du 1</w:t>
      </w:r>
      <w:r w:rsidRPr="00105444">
        <w:rPr>
          <w:vertAlign w:val="superscript"/>
          <w:lang w:val="fr-CH"/>
        </w:rPr>
        <w:t>er</w:t>
      </w:r>
      <w:r w:rsidRPr="00105444">
        <w:rPr>
          <w:lang w:val="fr-CH"/>
        </w:rPr>
        <w:t xml:space="preserve"> janvier </w:t>
      </w:r>
      <w:r>
        <w:rPr>
          <w:lang w:val="fr-CH"/>
        </w:rPr>
        <w:t>2019</w:t>
      </w:r>
      <w:r w:rsidRPr="00105444">
        <w:rPr>
          <w:lang w:val="fr-CH"/>
        </w:rPr>
        <w:t>) (versions papier</w:t>
      </w:r>
      <w:r>
        <w:rPr>
          <w:lang w:val="fr-CH"/>
        </w:rPr>
        <w:t xml:space="preserve"> et électronique</w:t>
      </w:r>
      <w:r w:rsidRPr="00105444">
        <w:rPr>
          <w:lang w:val="fr-CH"/>
        </w:rPr>
        <w:t xml:space="preserve">). </w:t>
      </w:r>
    </w:p>
    <w:p w14:paraId="6C6D7222" w14:textId="33C8101D" w:rsidR="0064430B" w:rsidRPr="00105444" w:rsidRDefault="0064430B" w:rsidP="0064430B">
      <w:pPr>
        <w:pStyle w:val="SingleTxt"/>
        <w:rPr>
          <w:lang w:val="fr-CH"/>
        </w:rPr>
      </w:pPr>
      <w:r w:rsidRPr="00105444">
        <w:rPr>
          <w:lang w:val="fr-CH"/>
        </w:rPr>
        <w:t>9.6</w:t>
      </w:r>
      <w:r w:rsidRPr="00105444">
        <w:rPr>
          <w:lang w:val="fr-CH"/>
        </w:rPr>
        <w:tab/>
        <w:t xml:space="preserve">Édition récapitulative révisée de l’ADN pour </w:t>
      </w:r>
      <w:r>
        <w:rPr>
          <w:lang w:val="fr-CH"/>
        </w:rPr>
        <w:t>2019</w:t>
      </w:r>
      <w:r w:rsidRPr="00105444">
        <w:rPr>
          <w:lang w:val="fr-CH"/>
        </w:rPr>
        <w:t xml:space="preserve"> (applicable à compter du 1</w:t>
      </w:r>
      <w:r w:rsidRPr="00105444">
        <w:rPr>
          <w:vertAlign w:val="superscript"/>
          <w:lang w:val="fr-CH"/>
        </w:rPr>
        <w:t>er</w:t>
      </w:r>
      <w:r w:rsidRPr="00105444">
        <w:rPr>
          <w:lang w:val="fr-CH"/>
        </w:rPr>
        <w:t xml:space="preserve"> janvier </w:t>
      </w:r>
      <w:r>
        <w:rPr>
          <w:lang w:val="fr-CH"/>
        </w:rPr>
        <w:t>2019</w:t>
      </w:r>
      <w:r w:rsidRPr="00105444">
        <w:rPr>
          <w:lang w:val="fr-CH"/>
        </w:rPr>
        <w:t>) (versions papier</w:t>
      </w:r>
      <w:r>
        <w:rPr>
          <w:lang w:val="fr-CH"/>
        </w:rPr>
        <w:t xml:space="preserve"> et électronique</w:t>
      </w:r>
      <w:r w:rsidRPr="00105444">
        <w:rPr>
          <w:lang w:val="fr-CH"/>
        </w:rPr>
        <w:t xml:space="preserve">). </w:t>
      </w:r>
    </w:p>
    <w:p w14:paraId="3DC06CAD" w14:textId="77777777" w:rsidR="0064430B" w:rsidRPr="00105444" w:rsidRDefault="0064430B" w:rsidP="0064430B">
      <w:pPr>
        <w:pStyle w:val="SingleTxt"/>
        <w:rPr>
          <w:lang w:val="fr-CH"/>
        </w:rPr>
      </w:pPr>
      <w:r w:rsidRPr="00105444">
        <w:rPr>
          <w:lang w:val="fr-CH"/>
        </w:rPr>
        <w:t>9.7</w:t>
      </w:r>
      <w:r w:rsidRPr="00105444">
        <w:rPr>
          <w:lang w:val="fr-CH"/>
        </w:rPr>
        <w:tab/>
        <w:t>Publication sur le site Web</w:t>
      </w:r>
      <w:r w:rsidRPr="00C23B7B">
        <w:rPr>
          <w:rStyle w:val="FootnoteReference"/>
        </w:rPr>
        <w:footnoteReference w:id="2"/>
      </w:r>
      <w:r w:rsidRPr="00105444">
        <w:rPr>
          <w:lang w:val="fr-CH"/>
        </w:rPr>
        <w:t xml:space="preserve"> d’informations juridiques relatives à l’ADR et à l’ADN (état des accords, autorités compétentes, consignes écrites, notifications, accords bilatéraux ou multilatéraux, autorisations spéciales, etc.). </w:t>
      </w:r>
    </w:p>
    <w:p w14:paraId="1A15F919" w14:textId="77777777" w:rsidR="0064430B" w:rsidRPr="00E74F1D" w:rsidRDefault="0064430B" w:rsidP="0064430B">
      <w:pPr>
        <w:pStyle w:val="SingleTxt"/>
        <w:spacing w:after="0" w:line="120" w:lineRule="exact"/>
        <w:rPr>
          <w:i/>
          <w:sz w:val="10"/>
          <w:lang w:val="fr-CH"/>
        </w:rPr>
      </w:pPr>
    </w:p>
    <w:p w14:paraId="5801FC29" w14:textId="77777777" w:rsidR="0064430B" w:rsidRPr="00105444" w:rsidRDefault="0064430B" w:rsidP="006443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 xml:space="preserve">Coopération technique </w:t>
      </w:r>
    </w:p>
    <w:p w14:paraId="5F33A70E" w14:textId="77777777" w:rsidR="0064430B" w:rsidRPr="00E74F1D" w:rsidRDefault="0064430B" w:rsidP="0064430B">
      <w:pPr>
        <w:pStyle w:val="SingleTxt"/>
        <w:spacing w:after="0" w:line="120" w:lineRule="exact"/>
        <w:rPr>
          <w:sz w:val="10"/>
          <w:lang w:val="fr-CH"/>
        </w:rPr>
      </w:pPr>
    </w:p>
    <w:p w14:paraId="5B9CAF15" w14:textId="77777777" w:rsidR="0064430B" w:rsidRPr="00105444" w:rsidRDefault="0064430B" w:rsidP="0064430B">
      <w:pPr>
        <w:pStyle w:val="SingleTxt"/>
        <w:rPr>
          <w:lang w:val="fr-CH"/>
        </w:rPr>
      </w:pPr>
      <w:r w:rsidRPr="00105444">
        <w:rPr>
          <w:lang w:val="fr-CH"/>
        </w:rPr>
        <w:t>9.8</w:t>
      </w:r>
      <w:r w:rsidRPr="00105444">
        <w:rPr>
          <w:lang w:val="fr-CH"/>
        </w:rPr>
        <w:tab/>
        <w:t xml:space="preserve">Assistance juridique et technique aux Parties contractantes à l’ADR et à l’ADN aux fins d’une mise en œuvre efficace des accords, ainsi qu’aux pays membres ou non membres de la CEE intéressés par une adhésion. </w:t>
      </w:r>
    </w:p>
    <w:p w14:paraId="24F5A128" w14:textId="77777777" w:rsidR="0064430B" w:rsidRPr="00105444" w:rsidRDefault="0064430B" w:rsidP="0064430B">
      <w:pPr>
        <w:pStyle w:val="SingleTxt"/>
        <w:rPr>
          <w:lang w:val="fr-CH"/>
        </w:rPr>
      </w:pPr>
      <w:r w:rsidRPr="00105444">
        <w:rPr>
          <w:lang w:val="fr-CH"/>
        </w:rPr>
        <w:t>9.9</w:t>
      </w:r>
      <w:r w:rsidRPr="00105444">
        <w:rPr>
          <w:lang w:val="fr-CH"/>
        </w:rPr>
        <w:tab/>
        <w:t>Coopération avec des gouvernements et des organisations internationales</w:t>
      </w:r>
      <w:r>
        <w:rPr>
          <w:lang w:val="fr-CH"/>
        </w:rPr>
        <w:t> :</w:t>
      </w:r>
      <w:r w:rsidRPr="00105444">
        <w:rPr>
          <w:lang w:val="fr-CH"/>
        </w:rPr>
        <w:t xml:space="preserve"> fourniture de conseils et organisation de formations sur le plan technique, ou participation à des conférences, séminaires ou ateliers d’assistance ou d’information technique (à la demande et en fonction des ressources disponibles). </w:t>
      </w:r>
    </w:p>
    <w:p w14:paraId="03858B9A" w14:textId="6164E958" w:rsidR="008C7AD9" w:rsidRPr="00EA09D6" w:rsidRDefault="00EA09D6" w:rsidP="00EA09D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C7AD9" w:rsidRPr="00EA09D6" w:rsidSect="0076565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1B80C" w14:textId="77777777" w:rsidR="00DD0FEC" w:rsidRDefault="00DD0FEC"/>
  </w:endnote>
  <w:endnote w:type="continuationSeparator" w:id="0">
    <w:p w14:paraId="02B8997D" w14:textId="77777777" w:rsidR="00DD0FEC" w:rsidRDefault="00DD0FEC"/>
  </w:endnote>
  <w:endnote w:type="continuationNotice" w:id="1">
    <w:p w14:paraId="31491EDC" w14:textId="77777777" w:rsidR="00DD0FEC" w:rsidRDefault="00DD0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3DD7" w14:textId="12F1A084" w:rsidR="00DD0FEC" w:rsidRPr="00765650" w:rsidRDefault="00DD0FEC" w:rsidP="00765650">
    <w:pPr>
      <w:pStyle w:val="Footer"/>
      <w:tabs>
        <w:tab w:val="right" w:pos="9638"/>
      </w:tabs>
      <w:rPr>
        <w:sz w:val="18"/>
      </w:rPr>
    </w:pPr>
    <w:r w:rsidRPr="00765650">
      <w:rPr>
        <w:b/>
        <w:sz w:val="18"/>
      </w:rPr>
      <w:fldChar w:fldCharType="begin"/>
    </w:r>
    <w:r w:rsidRPr="00765650">
      <w:rPr>
        <w:b/>
        <w:sz w:val="18"/>
      </w:rPr>
      <w:instrText xml:space="preserve"> PAGE  \* MERGEFORMAT </w:instrText>
    </w:r>
    <w:r w:rsidRPr="00765650">
      <w:rPr>
        <w:b/>
        <w:sz w:val="18"/>
      </w:rPr>
      <w:fldChar w:fldCharType="separate"/>
    </w:r>
    <w:r w:rsidR="00783355">
      <w:rPr>
        <w:b/>
        <w:noProof/>
        <w:sz w:val="18"/>
      </w:rPr>
      <w:t>32</w:t>
    </w:r>
    <w:r w:rsidRPr="0076565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6D14" w14:textId="7A3BCDCF" w:rsidR="00DD0FEC" w:rsidRPr="00765650" w:rsidRDefault="00DD0FEC" w:rsidP="00765650">
    <w:pPr>
      <w:pStyle w:val="Footer"/>
      <w:tabs>
        <w:tab w:val="right" w:pos="9638"/>
      </w:tabs>
      <w:rPr>
        <w:sz w:val="18"/>
      </w:rPr>
    </w:pPr>
    <w:r>
      <w:tab/>
    </w:r>
    <w:r w:rsidRPr="00765650">
      <w:rPr>
        <w:b/>
        <w:sz w:val="18"/>
      </w:rPr>
      <w:fldChar w:fldCharType="begin"/>
    </w:r>
    <w:r w:rsidRPr="00765650">
      <w:rPr>
        <w:b/>
        <w:sz w:val="18"/>
      </w:rPr>
      <w:instrText xml:space="preserve"> PAGE  \* MERGEFORMAT </w:instrText>
    </w:r>
    <w:r w:rsidRPr="00765650">
      <w:rPr>
        <w:b/>
        <w:sz w:val="18"/>
      </w:rPr>
      <w:fldChar w:fldCharType="separate"/>
    </w:r>
    <w:r w:rsidR="00783355">
      <w:rPr>
        <w:b/>
        <w:noProof/>
        <w:sz w:val="18"/>
      </w:rPr>
      <w:t>31</w:t>
    </w:r>
    <w:r w:rsidRPr="0076565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2A84" w14:textId="77777777" w:rsidR="00DD0FEC" w:rsidRPr="00D27D5E" w:rsidRDefault="00DD0FEC" w:rsidP="00D27D5E">
      <w:pPr>
        <w:tabs>
          <w:tab w:val="right" w:pos="2155"/>
        </w:tabs>
        <w:spacing w:after="80"/>
        <w:ind w:left="680"/>
        <w:rPr>
          <w:u w:val="single"/>
        </w:rPr>
      </w:pPr>
      <w:r>
        <w:rPr>
          <w:u w:val="single"/>
        </w:rPr>
        <w:tab/>
      </w:r>
    </w:p>
  </w:footnote>
  <w:footnote w:type="continuationSeparator" w:id="0">
    <w:p w14:paraId="374B87D1" w14:textId="77777777" w:rsidR="00DD0FEC" w:rsidRPr="00A80554" w:rsidRDefault="00DD0FEC" w:rsidP="00A80554">
      <w:pPr>
        <w:tabs>
          <w:tab w:val="left" w:pos="2155"/>
        </w:tabs>
        <w:spacing w:after="80"/>
        <w:ind w:left="680"/>
        <w:rPr>
          <w:u w:val="single"/>
        </w:rPr>
      </w:pPr>
      <w:r w:rsidRPr="00A80554">
        <w:rPr>
          <w:u w:val="single"/>
        </w:rPr>
        <w:tab/>
      </w:r>
    </w:p>
  </w:footnote>
  <w:footnote w:type="continuationNotice" w:id="1">
    <w:p w14:paraId="6F254826" w14:textId="77777777" w:rsidR="00DD0FEC" w:rsidRDefault="00DD0FEC"/>
  </w:footnote>
  <w:footnote w:id="2">
    <w:p w14:paraId="7E343DEA" w14:textId="77777777" w:rsidR="00DD0FEC" w:rsidRPr="00AF110D" w:rsidRDefault="00DD0FEC" w:rsidP="0064430B">
      <w:pPr>
        <w:pStyle w:val="FootnoteText"/>
        <w:tabs>
          <w:tab w:val="right" w:pos="1195"/>
          <w:tab w:val="left" w:pos="1267"/>
          <w:tab w:val="left" w:pos="1742"/>
          <w:tab w:val="left" w:pos="2218"/>
          <w:tab w:val="left" w:pos="2693"/>
        </w:tabs>
        <w:ind w:left="1267" w:right="1260" w:hanging="432"/>
      </w:pPr>
      <w:r w:rsidRPr="00AF110D">
        <w:tab/>
      </w:r>
      <w:r w:rsidRPr="00AF110D">
        <w:rPr>
          <w:rStyle w:val="FootnoteReference"/>
        </w:rPr>
        <w:footnoteRef/>
      </w:r>
      <w:r w:rsidRPr="00AF110D">
        <w:tab/>
        <w:t xml:space="preserve">www.unece.org/trans/danger/danger.html.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338D" w14:textId="77777777" w:rsidR="00DD0FEC" w:rsidRPr="00765650" w:rsidRDefault="00DD0FEC">
    <w:pPr>
      <w:pStyle w:val="Header"/>
    </w:pPr>
    <w:r>
      <w:t>ECE/TRANS/WP.15/237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FA23A" w14:textId="77777777" w:rsidR="00DD0FEC" w:rsidRPr="00765650" w:rsidRDefault="00DD0FEC" w:rsidP="00765650">
    <w:pPr>
      <w:pStyle w:val="Header"/>
      <w:jc w:val="right"/>
    </w:pPr>
    <w:r>
      <w:t>ECE/TRANS/WP.15/237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4D1A26B7"/>
    <w:multiLevelType w:val="hybridMultilevel"/>
    <w:tmpl w:val="2A5A31B6"/>
    <w:lvl w:ilvl="0" w:tplc="67605778">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A4316"/>
    <w:multiLevelType w:val="multilevel"/>
    <w:tmpl w:val="EA44C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8"/>
  </w:num>
  <w:num w:numId="6">
    <w:abstractNumId w:val="10"/>
  </w:num>
  <w:num w:numId="7">
    <w:abstractNumId w:val="0"/>
  </w:num>
  <w:num w:numId="8">
    <w:abstractNumId w:val="6"/>
  </w:num>
  <w:num w:numId="9">
    <w:abstractNumId w:val="1"/>
  </w:num>
  <w:num w:numId="10">
    <w:abstractNumId w:val="4"/>
  </w:num>
  <w:num w:numId="11">
    <w:abstractNumId w:val="7"/>
  </w:num>
  <w:num w:numId="12">
    <w:abstractNumId w:val="9"/>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fr-C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50"/>
    <w:rsid w:val="0000121E"/>
    <w:rsid w:val="00016AC5"/>
    <w:rsid w:val="00030ADE"/>
    <w:rsid w:val="000312C0"/>
    <w:rsid w:val="000964C7"/>
    <w:rsid w:val="000B34CA"/>
    <w:rsid w:val="000F41F2"/>
    <w:rsid w:val="00130074"/>
    <w:rsid w:val="00135C0D"/>
    <w:rsid w:val="00141C47"/>
    <w:rsid w:val="00146279"/>
    <w:rsid w:val="00147929"/>
    <w:rsid w:val="00153D80"/>
    <w:rsid w:val="00154636"/>
    <w:rsid w:val="00160540"/>
    <w:rsid w:val="0017182C"/>
    <w:rsid w:val="00177007"/>
    <w:rsid w:val="00186EE9"/>
    <w:rsid w:val="00192EEB"/>
    <w:rsid w:val="001A20FB"/>
    <w:rsid w:val="001B6F40"/>
    <w:rsid w:val="001C34D2"/>
    <w:rsid w:val="001D7F8A"/>
    <w:rsid w:val="001E3FEB"/>
    <w:rsid w:val="001E4A02"/>
    <w:rsid w:val="00223B89"/>
    <w:rsid w:val="0022452E"/>
    <w:rsid w:val="00225A8C"/>
    <w:rsid w:val="00232C61"/>
    <w:rsid w:val="002659F1"/>
    <w:rsid w:val="00270C74"/>
    <w:rsid w:val="00271C7C"/>
    <w:rsid w:val="00273F3C"/>
    <w:rsid w:val="00287E79"/>
    <w:rsid w:val="002928F9"/>
    <w:rsid w:val="002A5D07"/>
    <w:rsid w:val="003016B7"/>
    <w:rsid w:val="00330F9C"/>
    <w:rsid w:val="00340C35"/>
    <w:rsid w:val="003515AA"/>
    <w:rsid w:val="00367E6A"/>
    <w:rsid w:val="00370E0F"/>
    <w:rsid w:val="00373317"/>
    <w:rsid w:val="00374106"/>
    <w:rsid w:val="003976D5"/>
    <w:rsid w:val="003D13EA"/>
    <w:rsid w:val="003D1DF3"/>
    <w:rsid w:val="003D46A7"/>
    <w:rsid w:val="003D6C68"/>
    <w:rsid w:val="003D76E4"/>
    <w:rsid w:val="00407DDB"/>
    <w:rsid w:val="00414425"/>
    <w:rsid w:val="004159D0"/>
    <w:rsid w:val="004249E7"/>
    <w:rsid w:val="00426DA1"/>
    <w:rsid w:val="00434168"/>
    <w:rsid w:val="00442080"/>
    <w:rsid w:val="00497A70"/>
    <w:rsid w:val="004D53B7"/>
    <w:rsid w:val="004E2A2B"/>
    <w:rsid w:val="00520C42"/>
    <w:rsid w:val="00541759"/>
    <w:rsid w:val="00543D5E"/>
    <w:rsid w:val="00552182"/>
    <w:rsid w:val="00571F41"/>
    <w:rsid w:val="00587B24"/>
    <w:rsid w:val="0059410B"/>
    <w:rsid w:val="00595BE4"/>
    <w:rsid w:val="005B738F"/>
    <w:rsid w:val="005B76A3"/>
    <w:rsid w:val="005E5D1F"/>
    <w:rsid w:val="00603391"/>
    <w:rsid w:val="006049FD"/>
    <w:rsid w:val="00606974"/>
    <w:rsid w:val="00611D43"/>
    <w:rsid w:val="00612D48"/>
    <w:rsid w:val="00616B45"/>
    <w:rsid w:val="00630D9B"/>
    <w:rsid w:val="00631953"/>
    <w:rsid w:val="006439EC"/>
    <w:rsid w:val="0064430B"/>
    <w:rsid w:val="0066732B"/>
    <w:rsid w:val="006A047B"/>
    <w:rsid w:val="006B4590"/>
    <w:rsid w:val="006C340C"/>
    <w:rsid w:val="006D3E0A"/>
    <w:rsid w:val="006D7C2B"/>
    <w:rsid w:val="006E3B57"/>
    <w:rsid w:val="006E5FC7"/>
    <w:rsid w:val="0070347C"/>
    <w:rsid w:val="007176C1"/>
    <w:rsid w:val="00740BC2"/>
    <w:rsid w:val="0076474D"/>
    <w:rsid w:val="00765650"/>
    <w:rsid w:val="00783355"/>
    <w:rsid w:val="00783F37"/>
    <w:rsid w:val="00790F2F"/>
    <w:rsid w:val="007A6076"/>
    <w:rsid w:val="007F55CB"/>
    <w:rsid w:val="00812C1A"/>
    <w:rsid w:val="008317F6"/>
    <w:rsid w:val="00844750"/>
    <w:rsid w:val="0084685D"/>
    <w:rsid w:val="008B44C4"/>
    <w:rsid w:val="008B7879"/>
    <w:rsid w:val="008C2211"/>
    <w:rsid w:val="008C7AD9"/>
    <w:rsid w:val="008D3919"/>
    <w:rsid w:val="008E3FB8"/>
    <w:rsid w:val="008E7FAE"/>
    <w:rsid w:val="008F04A3"/>
    <w:rsid w:val="00911BF7"/>
    <w:rsid w:val="00926E87"/>
    <w:rsid w:val="00952FDB"/>
    <w:rsid w:val="00977EC8"/>
    <w:rsid w:val="009843EC"/>
    <w:rsid w:val="009B18A3"/>
    <w:rsid w:val="009C16F9"/>
    <w:rsid w:val="009D3A8C"/>
    <w:rsid w:val="009E01B8"/>
    <w:rsid w:val="009E7956"/>
    <w:rsid w:val="009F69FE"/>
    <w:rsid w:val="00A1547F"/>
    <w:rsid w:val="00A2492E"/>
    <w:rsid w:val="00A31F07"/>
    <w:rsid w:val="00A41235"/>
    <w:rsid w:val="00A70163"/>
    <w:rsid w:val="00A80554"/>
    <w:rsid w:val="00AA72C3"/>
    <w:rsid w:val="00AC67A1"/>
    <w:rsid w:val="00AC7977"/>
    <w:rsid w:val="00AE352C"/>
    <w:rsid w:val="00B1494A"/>
    <w:rsid w:val="00B32E2D"/>
    <w:rsid w:val="00B4466B"/>
    <w:rsid w:val="00B61990"/>
    <w:rsid w:val="00B6602A"/>
    <w:rsid w:val="00B67CD5"/>
    <w:rsid w:val="00B85D99"/>
    <w:rsid w:val="00B93E72"/>
    <w:rsid w:val="00B94939"/>
    <w:rsid w:val="00BE036D"/>
    <w:rsid w:val="00BF0556"/>
    <w:rsid w:val="00BF06B0"/>
    <w:rsid w:val="00C102B5"/>
    <w:rsid w:val="00C20E32"/>
    <w:rsid w:val="00C24B53"/>
    <w:rsid w:val="00C261F8"/>
    <w:rsid w:val="00C33100"/>
    <w:rsid w:val="00C64452"/>
    <w:rsid w:val="00C74DB7"/>
    <w:rsid w:val="00C76112"/>
    <w:rsid w:val="00C805AC"/>
    <w:rsid w:val="00C940E9"/>
    <w:rsid w:val="00CB6267"/>
    <w:rsid w:val="00CD1A71"/>
    <w:rsid w:val="00CD1FBB"/>
    <w:rsid w:val="00CF7D08"/>
    <w:rsid w:val="00D016B5"/>
    <w:rsid w:val="00D034F1"/>
    <w:rsid w:val="00D11B17"/>
    <w:rsid w:val="00D27D5E"/>
    <w:rsid w:val="00D34402"/>
    <w:rsid w:val="00D60301"/>
    <w:rsid w:val="00DA57D4"/>
    <w:rsid w:val="00DA7D56"/>
    <w:rsid w:val="00DB4793"/>
    <w:rsid w:val="00DB77BC"/>
    <w:rsid w:val="00DD0FEC"/>
    <w:rsid w:val="00DD540B"/>
    <w:rsid w:val="00DE01E3"/>
    <w:rsid w:val="00DE6D90"/>
    <w:rsid w:val="00DF002F"/>
    <w:rsid w:val="00E0244D"/>
    <w:rsid w:val="00E0792D"/>
    <w:rsid w:val="00E16D6E"/>
    <w:rsid w:val="00E55D71"/>
    <w:rsid w:val="00E623CA"/>
    <w:rsid w:val="00E73877"/>
    <w:rsid w:val="00E81E94"/>
    <w:rsid w:val="00E82607"/>
    <w:rsid w:val="00EA09D6"/>
    <w:rsid w:val="00EA31C2"/>
    <w:rsid w:val="00EE2EA3"/>
    <w:rsid w:val="00F01516"/>
    <w:rsid w:val="00F025AD"/>
    <w:rsid w:val="00F106F7"/>
    <w:rsid w:val="00F42B4E"/>
    <w:rsid w:val="00F46508"/>
    <w:rsid w:val="00F57129"/>
    <w:rsid w:val="00F92F7B"/>
    <w:rsid w:val="00FA5A79"/>
    <w:rsid w:val="00FA6422"/>
    <w:rsid w:val="00FB00CB"/>
    <w:rsid w:val="00FB0BFE"/>
    <w:rsid w:val="00FB4C51"/>
    <w:rsid w:val="00FD6B1B"/>
    <w:rsid w:val="00FF1DBD"/>
    <w:rsid w:val="00FF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44D3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link w:val="Heading2Char"/>
    <w:qFormat/>
    <w:rsid w:val="000964C7"/>
    <w:pPr>
      <w:outlineLvl w:val="1"/>
    </w:pPr>
  </w:style>
  <w:style w:type="paragraph" w:styleId="Heading3">
    <w:name w:val="heading 3"/>
    <w:basedOn w:val="Normal"/>
    <w:next w:val="Normal"/>
    <w:link w:val="Heading3Char"/>
    <w:qFormat/>
    <w:rsid w:val="000964C7"/>
    <w:pPr>
      <w:outlineLvl w:val="2"/>
    </w:pPr>
  </w:style>
  <w:style w:type="paragraph" w:styleId="Heading4">
    <w:name w:val="heading 4"/>
    <w:basedOn w:val="Normal"/>
    <w:next w:val="Normal"/>
    <w:link w:val="Heading4Char"/>
    <w:qFormat/>
    <w:rsid w:val="000964C7"/>
    <w:pPr>
      <w:outlineLvl w:val="3"/>
    </w:pPr>
  </w:style>
  <w:style w:type="paragraph" w:styleId="Heading5">
    <w:name w:val="heading 5"/>
    <w:basedOn w:val="Normal"/>
    <w:next w:val="Normal"/>
    <w:link w:val="Heading5Char"/>
    <w:qFormat/>
    <w:rsid w:val="000964C7"/>
    <w:pPr>
      <w:outlineLvl w:val="4"/>
    </w:pPr>
  </w:style>
  <w:style w:type="paragraph" w:styleId="Heading6">
    <w:name w:val="heading 6"/>
    <w:basedOn w:val="Normal"/>
    <w:next w:val="Normal"/>
    <w:link w:val="Heading6Char"/>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link w:val="Heading8Char"/>
    <w:qFormat/>
    <w:rsid w:val="000964C7"/>
    <w:pPr>
      <w:outlineLvl w:val="7"/>
    </w:pPr>
  </w:style>
  <w:style w:type="paragraph" w:styleId="Heading9">
    <w:name w:val="heading 9"/>
    <w:basedOn w:val="Normal"/>
    <w:next w:val="Normal"/>
    <w:link w:val="Heading9Char"/>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qFormat/>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qForma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link w:val="FooterChar"/>
    <w:uiPriority w:val="99"/>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SingleTxtGCar">
    <w:name w:val="_ Single Txt_G Car"/>
    <w:link w:val="SingleTxtG"/>
    <w:rsid w:val="00E16D6E"/>
    <w:rPr>
      <w:lang w:val="fr-CH" w:eastAsia="en-US"/>
    </w:rPr>
  </w:style>
  <w:style w:type="character" w:customStyle="1" w:styleId="H1GChar">
    <w:name w:val="_ H_1_G Char"/>
    <w:link w:val="H1G"/>
    <w:rsid w:val="00E16D6E"/>
    <w:rPr>
      <w:b/>
      <w:sz w:val="24"/>
      <w:lang w:val="fr-CH" w:eastAsia="en-US"/>
    </w:rPr>
  </w:style>
  <w:style w:type="character" w:customStyle="1" w:styleId="apple-converted-space">
    <w:name w:val="apple-converted-space"/>
    <w:rsid w:val="00E16D6E"/>
  </w:style>
  <w:style w:type="character" w:styleId="CommentReference">
    <w:name w:val="annotation reference"/>
    <w:basedOn w:val="DefaultParagraphFont"/>
    <w:unhideWhenUsed/>
    <w:rsid w:val="00407DDB"/>
    <w:rPr>
      <w:sz w:val="16"/>
      <w:szCs w:val="16"/>
    </w:rPr>
  </w:style>
  <w:style w:type="paragraph" w:styleId="CommentText">
    <w:name w:val="annotation text"/>
    <w:basedOn w:val="Normal"/>
    <w:link w:val="CommentTextChar"/>
    <w:unhideWhenUsed/>
    <w:rsid w:val="00407DDB"/>
    <w:pPr>
      <w:spacing w:line="240" w:lineRule="auto"/>
    </w:pPr>
  </w:style>
  <w:style w:type="character" w:customStyle="1" w:styleId="CommentTextChar">
    <w:name w:val="Comment Text Char"/>
    <w:basedOn w:val="DefaultParagraphFont"/>
    <w:link w:val="CommentText"/>
    <w:rsid w:val="00407DDB"/>
    <w:rPr>
      <w:lang w:val="fr-CH" w:eastAsia="en-US"/>
    </w:rPr>
  </w:style>
  <w:style w:type="paragraph" w:styleId="CommentSubject">
    <w:name w:val="annotation subject"/>
    <w:basedOn w:val="CommentText"/>
    <w:next w:val="CommentText"/>
    <w:link w:val="CommentSubjectChar"/>
    <w:semiHidden/>
    <w:unhideWhenUsed/>
    <w:rsid w:val="00407DDB"/>
    <w:rPr>
      <w:b/>
      <w:bCs/>
    </w:rPr>
  </w:style>
  <w:style w:type="character" w:customStyle="1" w:styleId="CommentSubjectChar">
    <w:name w:val="Comment Subject Char"/>
    <w:basedOn w:val="CommentTextChar"/>
    <w:link w:val="CommentSubject"/>
    <w:semiHidden/>
    <w:rsid w:val="00407DDB"/>
    <w:rPr>
      <w:b/>
      <w:bCs/>
      <w:lang w:val="fr-CH" w:eastAsia="en-US"/>
    </w:rPr>
  </w:style>
  <w:style w:type="paragraph" w:styleId="Revision">
    <w:name w:val="Revision"/>
    <w:hidden/>
    <w:uiPriority w:val="99"/>
    <w:semiHidden/>
    <w:rsid w:val="00407DDB"/>
    <w:rPr>
      <w:lang w:val="fr-CH" w:eastAsia="en-US"/>
    </w:rPr>
  </w:style>
  <w:style w:type="paragraph" w:styleId="BalloonText">
    <w:name w:val="Balloon Text"/>
    <w:basedOn w:val="Normal"/>
    <w:link w:val="BalloonTextChar"/>
    <w:uiPriority w:val="99"/>
    <w:semiHidden/>
    <w:unhideWhenUsed/>
    <w:rsid w:val="00407D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DB"/>
    <w:rPr>
      <w:rFonts w:ascii="Segoe UI" w:hAnsi="Segoe UI" w:cs="Segoe UI"/>
      <w:sz w:val="18"/>
      <w:szCs w:val="18"/>
      <w:lang w:val="fr-CH" w:eastAsia="en-US"/>
    </w:rPr>
  </w:style>
  <w:style w:type="character" w:customStyle="1" w:styleId="H23GChar">
    <w:name w:val="_ H_2/3_G Char"/>
    <w:link w:val="H23G"/>
    <w:rsid w:val="00B67CD5"/>
    <w:rPr>
      <w:b/>
      <w:lang w:val="fr-CH" w:eastAsia="en-US"/>
    </w:rPr>
  </w:style>
  <w:style w:type="character" w:customStyle="1" w:styleId="HChGChar">
    <w:name w:val="_ H _Ch_G Char"/>
    <w:link w:val="HChG"/>
    <w:rsid w:val="00D34402"/>
    <w:rPr>
      <w:b/>
      <w:sz w:val="28"/>
      <w:lang w:val="fr-CH" w:eastAsia="en-US"/>
    </w:rPr>
  </w:style>
  <w:style w:type="paragraph" w:customStyle="1" w:styleId="H1">
    <w:name w:val="_ H_1"/>
    <w:basedOn w:val="Normal"/>
    <w:next w:val="SingleTxt"/>
    <w:qFormat/>
    <w:rsid w:val="0064430B"/>
    <w:pPr>
      <w:keepNext/>
      <w:keepLines/>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64430B"/>
    <w:pPr>
      <w:spacing w:line="240" w:lineRule="exact"/>
      <w:outlineLvl w:val="1"/>
    </w:pPr>
    <w:rPr>
      <w:spacing w:val="2"/>
      <w:sz w:val="20"/>
    </w:rPr>
  </w:style>
  <w:style w:type="paragraph" w:customStyle="1" w:styleId="H4">
    <w:name w:val="_ H_4"/>
    <w:basedOn w:val="Normal"/>
    <w:next w:val="SingleTxt"/>
    <w:qFormat/>
    <w:rsid w:val="0064430B"/>
    <w:pPr>
      <w:keepNext/>
      <w:keepLines/>
      <w:tabs>
        <w:tab w:val="right" w:pos="360"/>
      </w:tabs>
      <w:spacing w:line="240" w:lineRule="exact"/>
      <w:outlineLvl w:val="3"/>
    </w:pPr>
    <w:rPr>
      <w:rFonts w:eastAsiaTheme="minorHAnsi"/>
      <w:i/>
      <w:spacing w:val="3"/>
      <w:w w:val="103"/>
      <w:kern w:val="14"/>
      <w:szCs w:val="22"/>
      <w:lang w:val="fr-CA"/>
    </w:rPr>
  </w:style>
  <w:style w:type="paragraph" w:customStyle="1" w:styleId="SingleTxt">
    <w:name w:val="__Single Txt"/>
    <w:basedOn w:val="Normal"/>
    <w:qFormat/>
    <w:rsid w:val="006443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
    <w:name w:val="Footnote Text Char"/>
    <w:aliases w:val="5_G Char"/>
    <w:link w:val="FootnoteText"/>
    <w:rsid w:val="0064430B"/>
    <w:rPr>
      <w:sz w:val="18"/>
      <w:lang w:val="fr-CH" w:eastAsia="en-US"/>
    </w:rPr>
  </w:style>
  <w:style w:type="character" w:customStyle="1" w:styleId="SingleTxtGChar">
    <w:name w:val="_ Single Txt_G Char"/>
    <w:qFormat/>
    <w:rsid w:val="00606974"/>
    <w:rPr>
      <w:lang w:val="fr-CH" w:eastAsia="en-US"/>
    </w:rPr>
  </w:style>
  <w:style w:type="character" w:customStyle="1" w:styleId="Heading1Char">
    <w:name w:val="Heading 1 Char"/>
    <w:aliases w:val="Table_G Char"/>
    <w:basedOn w:val="DefaultParagraphFont"/>
    <w:link w:val="Heading1"/>
    <w:rsid w:val="00E0792D"/>
    <w:rPr>
      <w:lang w:val="fr-CH" w:eastAsia="en-US"/>
    </w:rPr>
  </w:style>
  <w:style w:type="character" w:customStyle="1" w:styleId="Heading2Char">
    <w:name w:val="Heading 2 Char"/>
    <w:basedOn w:val="DefaultParagraphFont"/>
    <w:link w:val="Heading2"/>
    <w:rsid w:val="00E0792D"/>
    <w:rPr>
      <w:lang w:val="fr-CH" w:eastAsia="en-US"/>
    </w:rPr>
  </w:style>
  <w:style w:type="character" w:customStyle="1" w:styleId="Heading3Char">
    <w:name w:val="Heading 3 Char"/>
    <w:basedOn w:val="DefaultParagraphFont"/>
    <w:link w:val="Heading3"/>
    <w:rsid w:val="00E0792D"/>
    <w:rPr>
      <w:lang w:val="fr-CH" w:eastAsia="en-US"/>
    </w:rPr>
  </w:style>
  <w:style w:type="character" w:customStyle="1" w:styleId="Heading4Char">
    <w:name w:val="Heading 4 Char"/>
    <w:basedOn w:val="DefaultParagraphFont"/>
    <w:link w:val="Heading4"/>
    <w:rsid w:val="00E0792D"/>
    <w:rPr>
      <w:lang w:val="fr-CH" w:eastAsia="en-US"/>
    </w:rPr>
  </w:style>
  <w:style w:type="character" w:customStyle="1" w:styleId="Heading5Char">
    <w:name w:val="Heading 5 Char"/>
    <w:basedOn w:val="DefaultParagraphFont"/>
    <w:link w:val="Heading5"/>
    <w:rsid w:val="00E0792D"/>
    <w:rPr>
      <w:lang w:val="fr-CH" w:eastAsia="en-US"/>
    </w:rPr>
  </w:style>
  <w:style w:type="character" w:customStyle="1" w:styleId="Heading6Char">
    <w:name w:val="Heading 6 Char"/>
    <w:basedOn w:val="DefaultParagraphFont"/>
    <w:link w:val="Heading6"/>
    <w:rsid w:val="00E0792D"/>
    <w:rPr>
      <w:lang w:val="fr-CH" w:eastAsia="en-US"/>
    </w:rPr>
  </w:style>
  <w:style w:type="character" w:customStyle="1" w:styleId="Heading7Char">
    <w:name w:val="Heading 7 Char"/>
    <w:basedOn w:val="DefaultParagraphFont"/>
    <w:link w:val="Heading7"/>
    <w:rsid w:val="00E0792D"/>
    <w:rPr>
      <w:lang w:val="fr-CH" w:eastAsia="en-US"/>
    </w:rPr>
  </w:style>
  <w:style w:type="character" w:customStyle="1" w:styleId="Heading8Char">
    <w:name w:val="Heading 8 Char"/>
    <w:basedOn w:val="DefaultParagraphFont"/>
    <w:link w:val="Heading8"/>
    <w:rsid w:val="00E0792D"/>
    <w:rPr>
      <w:lang w:val="fr-CH" w:eastAsia="en-US"/>
    </w:rPr>
  </w:style>
  <w:style w:type="character" w:customStyle="1" w:styleId="Heading9Char">
    <w:name w:val="Heading 9 Char"/>
    <w:basedOn w:val="DefaultParagraphFont"/>
    <w:link w:val="Heading9"/>
    <w:rsid w:val="00E0792D"/>
    <w:rPr>
      <w:lang w:val="fr-CH" w:eastAsia="en-US"/>
    </w:rPr>
  </w:style>
  <w:style w:type="character" w:customStyle="1" w:styleId="EndnoteTextChar">
    <w:name w:val="Endnote Text Char"/>
    <w:aliases w:val="2_G Char"/>
    <w:basedOn w:val="DefaultParagraphFont"/>
    <w:link w:val="EndnoteText"/>
    <w:rsid w:val="00E0792D"/>
    <w:rPr>
      <w:sz w:val="18"/>
      <w:lang w:val="fr-CH" w:eastAsia="en-US"/>
    </w:rPr>
  </w:style>
  <w:style w:type="character" w:customStyle="1" w:styleId="FooterChar">
    <w:name w:val="Footer Char"/>
    <w:aliases w:val="3_G Char"/>
    <w:basedOn w:val="DefaultParagraphFont"/>
    <w:link w:val="Footer"/>
    <w:uiPriority w:val="99"/>
    <w:rsid w:val="00E0792D"/>
    <w:rPr>
      <w:sz w:val="16"/>
      <w:lang w:val="fr-CH" w:eastAsia="en-US"/>
    </w:rPr>
  </w:style>
  <w:style w:type="character" w:customStyle="1" w:styleId="HeaderChar">
    <w:name w:val="Header Char"/>
    <w:aliases w:val="6_G Char"/>
    <w:basedOn w:val="DefaultParagraphFont"/>
    <w:link w:val="Header"/>
    <w:rsid w:val="00E0792D"/>
    <w:rPr>
      <w:b/>
      <w:sz w:val="18"/>
      <w:lang w:val="fr-CH" w:eastAsia="en-US"/>
    </w:rPr>
  </w:style>
  <w:style w:type="paragraph" w:customStyle="1" w:styleId="Default">
    <w:name w:val="Default"/>
    <w:rsid w:val="00E0792D"/>
    <w:pPr>
      <w:autoSpaceDE w:val="0"/>
      <w:autoSpaceDN w:val="0"/>
      <w:adjustRightInd w:val="0"/>
    </w:pPr>
    <w:rPr>
      <w:rFonts w:ascii="Arial" w:eastAsia="MS Mincho" w:hAnsi="Arial" w:cs="Arial"/>
      <w:color w:val="000000"/>
      <w:sz w:val="24"/>
      <w:szCs w:val="24"/>
    </w:rPr>
  </w:style>
  <w:style w:type="paragraph" w:customStyle="1" w:styleId="ParNoG">
    <w:name w:val="_ParNo_G"/>
    <w:basedOn w:val="SingleTxtG"/>
    <w:qFormat/>
    <w:rsid w:val="00E0792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link w:val="Heading2Char"/>
    <w:qFormat/>
    <w:rsid w:val="000964C7"/>
    <w:pPr>
      <w:outlineLvl w:val="1"/>
    </w:pPr>
  </w:style>
  <w:style w:type="paragraph" w:styleId="Heading3">
    <w:name w:val="heading 3"/>
    <w:basedOn w:val="Normal"/>
    <w:next w:val="Normal"/>
    <w:link w:val="Heading3Char"/>
    <w:qFormat/>
    <w:rsid w:val="000964C7"/>
    <w:pPr>
      <w:outlineLvl w:val="2"/>
    </w:pPr>
  </w:style>
  <w:style w:type="paragraph" w:styleId="Heading4">
    <w:name w:val="heading 4"/>
    <w:basedOn w:val="Normal"/>
    <w:next w:val="Normal"/>
    <w:link w:val="Heading4Char"/>
    <w:qFormat/>
    <w:rsid w:val="000964C7"/>
    <w:pPr>
      <w:outlineLvl w:val="3"/>
    </w:pPr>
  </w:style>
  <w:style w:type="paragraph" w:styleId="Heading5">
    <w:name w:val="heading 5"/>
    <w:basedOn w:val="Normal"/>
    <w:next w:val="Normal"/>
    <w:link w:val="Heading5Char"/>
    <w:qFormat/>
    <w:rsid w:val="000964C7"/>
    <w:pPr>
      <w:outlineLvl w:val="4"/>
    </w:pPr>
  </w:style>
  <w:style w:type="paragraph" w:styleId="Heading6">
    <w:name w:val="heading 6"/>
    <w:basedOn w:val="Normal"/>
    <w:next w:val="Normal"/>
    <w:link w:val="Heading6Char"/>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link w:val="Heading8Char"/>
    <w:qFormat/>
    <w:rsid w:val="000964C7"/>
    <w:pPr>
      <w:outlineLvl w:val="7"/>
    </w:pPr>
  </w:style>
  <w:style w:type="paragraph" w:styleId="Heading9">
    <w:name w:val="heading 9"/>
    <w:basedOn w:val="Normal"/>
    <w:next w:val="Normal"/>
    <w:link w:val="Heading9Char"/>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qFormat/>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qForma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link w:val="FooterChar"/>
    <w:uiPriority w:val="99"/>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SingleTxtGCar">
    <w:name w:val="_ Single Txt_G Car"/>
    <w:link w:val="SingleTxtG"/>
    <w:rsid w:val="00E16D6E"/>
    <w:rPr>
      <w:lang w:val="fr-CH" w:eastAsia="en-US"/>
    </w:rPr>
  </w:style>
  <w:style w:type="character" w:customStyle="1" w:styleId="H1GChar">
    <w:name w:val="_ H_1_G Char"/>
    <w:link w:val="H1G"/>
    <w:rsid w:val="00E16D6E"/>
    <w:rPr>
      <w:b/>
      <w:sz w:val="24"/>
      <w:lang w:val="fr-CH" w:eastAsia="en-US"/>
    </w:rPr>
  </w:style>
  <w:style w:type="character" w:customStyle="1" w:styleId="apple-converted-space">
    <w:name w:val="apple-converted-space"/>
    <w:rsid w:val="00E16D6E"/>
  </w:style>
  <w:style w:type="character" w:styleId="CommentReference">
    <w:name w:val="annotation reference"/>
    <w:basedOn w:val="DefaultParagraphFont"/>
    <w:unhideWhenUsed/>
    <w:rsid w:val="00407DDB"/>
    <w:rPr>
      <w:sz w:val="16"/>
      <w:szCs w:val="16"/>
    </w:rPr>
  </w:style>
  <w:style w:type="paragraph" w:styleId="CommentText">
    <w:name w:val="annotation text"/>
    <w:basedOn w:val="Normal"/>
    <w:link w:val="CommentTextChar"/>
    <w:unhideWhenUsed/>
    <w:rsid w:val="00407DDB"/>
    <w:pPr>
      <w:spacing w:line="240" w:lineRule="auto"/>
    </w:pPr>
  </w:style>
  <w:style w:type="character" w:customStyle="1" w:styleId="CommentTextChar">
    <w:name w:val="Comment Text Char"/>
    <w:basedOn w:val="DefaultParagraphFont"/>
    <w:link w:val="CommentText"/>
    <w:rsid w:val="00407DDB"/>
    <w:rPr>
      <w:lang w:val="fr-CH" w:eastAsia="en-US"/>
    </w:rPr>
  </w:style>
  <w:style w:type="paragraph" w:styleId="CommentSubject">
    <w:name w:val="annotation subject"/>
    <w:basedOn w:val="CommentText"/>
    <w:next w:val="CommentText"/>
    <w:link w:val="CommentSubjectChar"/>
    <w:semiHidden/>
    <w:unhideWhenUsed/>
    <w:rsid w:val="00407DDB"/>
    <w:rPr>
      <w:b/>
      <w:bCs/>
    </w:rPr>
  </w:style>
  <w:style w:type="character" w:customStyle="1" w:styleId="CommentSubjectChar">
    <w:name w:val="Comment Subject Char"/>
    <w:basedOn w:val="CommentTextChar"/>
    <w:link w:val="CommentSubject"/>
    <w:semiHidden/>
    <w:rsid w:val="00407DDB"/>
    <w:rPr>
      <w:b/>
      <w:bCs/>
      <w:lang w:val="fr-CH" w:eastAsia="en-US"/>
    </w:rPr>
  </w:style>
  <w:style w:type="paragraph" w:styleId="Revision">
    <w:name w:val="Revision"/>
    <w:hidden/>
    <w:uiPriority w:val="99"/>
    <w:semiHidden/>
    <w:rsid w:val="00407DDB"/>
    <w:rPr>
      <w:lang w:val="fr-CH" w:eastAsia="en-US"/>
    </w:rPr>
  </w:style>
  <w:style w:type="paragraph" w:styleId="BalloonText">
    <w:name w:val="Balloon Text"/>
    <w:basedOn w:val="Normal"/>
    <w:link w:val="BalloonTextChar"/>
    <w:uiPriority w:val="99"/>
    <w:semiHidden/>
    <w:unhideWhenUsed/>
    <w:rsid w:val="00407D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DB"/>
    <w:rPr>
      <w:rFonts w:ascii="Segoe UI" w:hAnsi="Segoe UI" w:cs="Segoe UI"/>
      <w:sz w:val="18"/>
      <w:szCs w:val="18"/>
      <w:lang w:val="fr-CH" w:eastAsia="en-US"/>
    </w:rPr>
  </w:style>
  <w:style w:type="character" w:customStyle="1" w:styleId="H23GChar">
    <w:name w:val="_ H_2/3_G Char"/>
    <w:link w:val="H23G"/>
    <w:rsid w:val="00B67CD5"/>
    <w:rPr>
      <w:b/>
      <w:lang w:val="fr-CH" w:eastAsia="en-US"/>
    </w:rPr>
  </w:style>
  <w:style w:type="character" w:customStyle="1" w:styleId="HChGChar">
    <w:name w:val="_ H _Ch_G Char"/>
    <w:link w:val="HChG"/>
    <w:rsid w:val="00D34402"/>
    <w:rPr>
      <w:b/>
      <w:sz w:val="28"/>
      <w:lang w:val="fr-CH" w:eastAsia="en-US"/>
    </w:rPr>
  </w:style>
  <w:style w:type="paragraph" w:customStyle="1" w:styleId="H1">
    <w:name w:val="_ H_1"/>
    <w:basedOn w:val="Normal"/>
    <w:next w:val="SingleTxt"/>
    <w:qFormat/>
    <w:rsid w:val="0064430B"/>
    <w:pPr>
      <w:keepNext/>
      <w:keepLines/>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64430B"/>
    <w:pPr>
      <w:spacing w:line="240" w:lineRule="exact"/>
      <w:outlineLvl w:val="1"/>
    </w:pPr>
    <w:rPr>
      <w:spacing w:val="2"/>
      <w:sz w:val="20"/>
    </w:rPr>
  </w:style>
  <w:style w:type="paragraph" w:customStyle="1" w:styleId="H4">
    <w:name w:val="_ H_4"/>
    <w:basedOn w:val="Normal"/>
    <w:next w:val="SingleTxt"/>
    <w:qFormat/>
    <w:rsid w:val="0064430B"/>
    <w:pPr>
      <w:keepNext/>
      <w:keepLines/>
      <w:tabs>
        <w:tab w:val="right" w:pos="360"/>
      </w:tabs>
      <w:spacing w:line="240" w:lineRule="exact"/>
      <w:outlineLvl w:val="3"/>
    </w:pPr>
    <w:rPr>
      <w:rFonts w:eastAsiaTheme="minorHAnsi"/>
      <w:i/>
      <w:spacing w:val="3"/>
      <w:w w:val="103"/>
      <w:kern w:val="14"/>
      <w:szCs w:val="22"/>
      <w:lang w:val="fr-CA"/>
    </w:rPr>
  </w:style>
  <w:style w:type="paragraph" w:customStyle="1" w:styleId="SingleTxt">
    <w:name w:val="__Single Txt"/>
    <w:basedOn w:val="Normal"/>
    <w:qFormat/>
    <w:rsid w:val="006443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
    <w:name w:val="Footnote Text Char"/>
    <w:aliases w:val="5_G Char"/>
    <w:link w:val="FootnoteText"/>
    <w:rsid w:val="0064430B"/>
    <w:rPr>
      <w:sz w:val="18"/>
      <w:lang w:val="fr-CH" w:eastAsia="en-US"/>
    </w:rPr>
  </w:style>
  <w:style w:type="character" w:customStyle="1" w:styleId="SingleTxtGChar">
    <w:name w:val="_ Single Txt_G Char"/>
    <w:qFormat/>
    <w:rsid w:val="00606974"/>
    <w:rPr>
      <w:lang w:val="fr-CH" w:eastAsia="en-US"/>
    </w:rPr>
  </w:style>
  <w:style w:type="character" w:customStyle="1" w:styleId="Heading1Char">
    <w:name w:val="Heading 1 Char"/>
    <w:aliases w:val="Table_G Char"/>
    <w:basedOn w:val="DefaultParagraphFont"/>
    <w:link w:val="Heading1"/>
    <w:rsid w:val="00E0792D"/>
    <w:rPr>
      <w:lang w:val="fr-CH" w:eastAsia="en-US"/>
    </w:rPr>
  </w:style>
  <w:style w:type="character" w:customStyle="1" w:styleId="Heading2Char">
    <w:name w:val="Heading 2 Char"/>
    <w:basedOn w:val="DefaultParagraphFont"/>
    <w:link w:val="Heading2"/>
    <w:rsid w:val="00E0792D"/>
    <w:rPr>
      <w:lang w:val="fr-CH" w:eastAsia="en-US"/>
    </w:rPr>
  </w:style>
  <w:style w:type="character" w:customStyle="1" w:styleId="Heading3Char">
    <w:name w:val="Heading 3 Char"/>
    <w:basedOn w:val="DefaultParagraphFont"/>
    <w:link w:val="Heading3"/>
    <w:rsid w:val="00E0792D"/>
    <w:rPr>
      <w:lang w:val="fr-CH" w:eastAsia="en-US"/>
    </w:rPr>
  </w:style>
  <w:style w:type="character" w:customStyle="1" w:styleId="Heading4Char">
    <w:name w:val="Heading 4 Char"/>
    <w:basedOn w:val="DefaultParagraphFont"/>
    <w:link w:val="Heading4"/>
    <w:rsid w:val="00E0792D"/>
    <w:rPr>
      <w:lang w:val="fr-CH" w:eastAsia="en-US"/>
    </w:rPr>
  </w:style>
  <w:style w:type="character" w:customStyle="1" w:styleId="Heading5Char">
    <w:name w:val="Heading 5 Char"/>
    <w:basedOn w:val="DefaultParagraphFont"/>
    <w:link w:val="Heading5"/>
    <w:rsid w:val="00E0792D"/>
    <w:rPr>
      <w:lang w:val="fr-CH" w:eastAsia="en-US"/>
    </w:rPr>
  </w:style>
  <w:style w:type="character" w:customStyle="1" w:styleId="Heading6Char">
    <w:name w:val="Heading 6 Char"/>
    <w:basedOn w:val="DefaultParagraphFont"/>
    <w:link w:val="Heading6"/>
    <w:rsid w:val="00E0792D"/>
    <w:rPr>
      <w:lang w:val="fr-CH" w:eastAsia="en-US"/>
    </w:rPr>
  </w:style>
  <w:style w:type="character" w:customStyle="1" w:styleId="Heading7Char">
    <w:name w:val="Heading 7 Char"/>
    <w:basedOn w:val="DefaultParagraphFont"/>
    <w:link w:val="Heading7"/>
    <w:rsid w:val="00E0792D"/>
    <w:rPr>
      <w:lang w:val="fr-CH" w:eastAsia="en-US"/>
    </w:rPr>
  </w:style>
  <w:style w:type="character" w:customStyle="1" w:styleId="Heading8Char">
    <w:name w:val="Heading 8 Char"/>
    <w:basedOn w:val="DefaultParagraphFont"/>
    <w:link w:val="Heading8"/>
    <w:rsid w:val="00E0792D"/>
    <w:rPr>
      <w:lang w:val="fr-CH" w:eastAsia="en-US"/>
    </w:rPr>
  </w:style>
  <w:style w:type="character" w:customStyle="1" w:styleId="Heading9Char">
    <w:name w:val="Heading 9 Char"/>
    <w:basedOn w:val="DefaultParagraphFont"/>
    <w:link w:val="Heading9"/>
    <w:rsid w:val="00E0792D"/>
    <w:rPr>
      <w:lang w:val="fr-CH" w:eastAsia="en-US"/>
    </w:rPr>
  </w:style>
  <w:style w:type="character" w:customStyle="1" w:styleId="EndnoteTextChar">
    <w:name w:val="Endnote Text Char"/>
    <w:aliases w:val="2_G Char"/>
    <w:basedOn w:val="DefaultParagraphFont"/>
    <w:link w:val="EndnoteText"/>
    <w:rsid w:val="00E0792D"/>
    <w:rPr>
      <w:sz w:val="18"/>
      <w:lang w:val="fr-CH" w:eastAsia="en-US"/>
    </w:rPr>
  </w:style>
  <w:style w:type="character" w:customStyle="1" w:styleId="FooterChar">
    <w:name w:val="Footer Char"/>
    <w:aliases w:val="3_G Char"/>
    <w:basedOn w:val="DefaultParagraphFont"/>
    <w:link w:val="Footer"/>
    <w:uiPriority w:val="99"/>
    <w:rsid w:val="00E0792D"/>
    <w:rPr>
      <w:sz w:val="16"/>
      <w:lang w:val="fr-CH" w:eastAsia="en-US"/>
    </w:rPr>
  </w:style>
  <w:style w:type="character" w:customStyle="1" w:styleId="HeaderChar">
    <w:name w:val="Header Char"/>
    <w:aliases w:val="6_G Char"/>
    <w:basedOn w:val="DefaultParagraphFont"/>
    <w:link w:val="Header"/>
    <w:rsid w:val="00E0792D"/>
    <w:rPr>
      <w:b/>
      <w:sz w:val="18"/>
      <w:lang w:val="fr-CH" w:eastAsia="en-US"/>
    </w:rPr>
  </w:style>
  <w:style w:type="paragraph" w:customStyle="1" w:styleId="Default">
    <w:name w:val="Default"/>
    <w:rsid w:val="00E0792D"/>
    <w:pPr>
      <w:autoSpaceDE w:val="0"/>
      <w:autoSpaceDN w:val="0"/>
      <w:adjustRightInd w:val="0"/>
    </w:pPr>
    <w:rPr>
      <w:rFonts w:ascii="Arial" w:eastAsia="MS Mincho" w:hAnsi="Arial" w:cs="Arial"/>
      <w:color w:val="000000"/>
      <w:sz w:val="24"/>
      <w:szCs w:val="24"/>
    </w:rPr>
  </w:style>
  <w:style w:type="paragraph" w:customStyle="1" w:styleId="ParNoG">
    <w:name w:val="_ParNo_G"/>
    <w:basedOn w:val="SingleTxtG"/>
    <w:qFormat/>
    <w:rsid w:val="00E0792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6602">
      <w:bodyDiv w:val="1"/>
      <w:marLeft w:val="0"/>
      <w:marRight w:val="0"/>
      <w:marTop w:val="0"/>
      <w:marBottom w:val="0"/>
      <w:divBdr>
        <w:top w:val="none" w:sz="0" w:space="0" w:color="auto"/>
        <w:left w:val="none" w:sz="0" w:space="0" w:color="auto"/>
        <w:bottom w:val="none" w:sz="0" w:space="0" w:color="auto"/>
        <w:right w:val="none" w:sz="0" w:space="0" w:color="auto"/>
      </w:divBdr>
    </w:div>
    <w:div w:id="336273925">
      <w:bodyDiv w:val="1"/>
      <w:marLeft w:val="0"/>
      <w:marRight w:val="0"/>
      <w:marTop w:val="0"/>
      <w:marBottom w:val="0"/>
      <w:divBdr>
        <w:top w:val="none" w:sz="0" w:space="0" w:color="auto"/>
        <w:left w:val="none" w:sz="0" w:space="0" w:color="auto"/>
        <w:bottom w:val="none" w:sz="0" w:space="0" w:color="auto"/>
        <w:right w:val="none" w:sz="0" w:space="0" w:color="auto"/>
      </w:divBdr>
    </w:div>
    <w:div w:id="521552416">
      <w:bodyDiv w:val="1"/>
      <w:marLeft w:val="0"/>
      <w:marRight w:val="0"/>
      <w:marTop w:val="0"/>
      <w:marBottom w:val="0"/>
      <w:divBdr>
        <w:top w:val="none" w:sz="0" w:space="0" w:color="auto"/>
        <w:left w:val="none" w:sz="0" w:space="0" w:color="auto"/>
        <w:bottom w:val="none" w:sz="0" w:space="0" w:color="auto"/>
        <w:right w:val="none" w:sz="0" w:space="0" w:color="auto"/>
      </w:divBdr>
    </w:div>
    <w:div w:id="1746799223">
      <w:bodyDiv w:val="1"/>
      <w:marLeft w:val="0"/>
      <w:marRight w:val="0"/>
      <w:marTop w:val="0"/>
      <w:marBottom w:val="0"/>
      <w:divBdr>
        <w:top w:val="none" w:sz="0" w:space="0" w:color="auto"/>
        <w:left w:val="none" w:sz="0" w:space="0" w:color="auto"/>
        <w:bottom w:val="none" w:sz="0" w:space="0" w:color="auto"/>
        <w:right w:val="none" w:sz="0" w:space="0" w:color="auto"/>
      </w:divBdr>
    </w:div>
    <w:div w:id="20118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257</TotalTime>
  <Pages>32</Pages>
  <Words>11020</Words>
  <Characters>62818</Characters>
  <Application>Microsoft Office Word</Application>
  <DocSecurity>0</DocSecurity>
  <Lines>523</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73691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 SM</dc:creator>
  <cp:lastModifiedBy>Laurence Berthet</cp:lastModifiedBy>
  <cp:revision>30</cp:revision>
  <cp:lastPrinted>2017-06-22T07:26:00Z</cp:lastPrinted>
  <dcterms:created xsi:type="dcterms:W3CDTF">2017-05-24T12:11:00Z</dcterms:created>
  <dcterms:modified xsi:type="dcterms:W3CDTF">2017-06-22T07:26:00Z</dcterms:modified>
</cp:coreProperties>
</file>