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970314" w:rsidTr="002212D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D1DF3" w:rsidRPr="00970314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970314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970314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970314" w:rsidRDefault="002212DC" w:rsidP="002212DC">
            <w:pPr>
              <w:jc w:val="right"/>
              <w:rPr>
                <w:lang w:val="fr-FR"/>
              </w:rPr>
            </w:pPr>
            <w:r w:rsidRPr="00970314">
              <w:rPr>
                <w:sz w:val="40"/>
                <w:lang w:val="fr-FR"/>
              </w:rPr>
              <w:t>ECE</w:t>
            </w:r>
            <w:r w:rsidRPr="00970314">
              <w:rPr>
                <w:lang w:val="fr-FR"/>
              </w:rPr>
              <w:t>/TRANS/WP.15/AC.1/147/Add.1</w:t>
            </w:r>
          </w:p>
        </w:tc>
      </w:tr>
      <w:tr w:rsidR="003D1DF3" w:rsidRPr="00970314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970314" w:rsidRDefault="00367E6A" w:rsidP="00F01516">
            <w:pPr>
              <w:spacing w:before="120"/>
              <w:jc w:val="center"/>
              <w:rPr>
                <w:lang w:val="fr-FR"/>
              </w:rPr>
            </w:pPr>
            <w:r w:rsidRPr="00970314">
              <w:rPr>
                <w:noProof/>
                <w:lang w:val="en-GB" w:eastAsia="en-GB"/>
              </w:rPr>
              <w:drawing>
                <wp:inline distT="0" distB="0" distL="0" distR="0" wp14:anchorId="43B7CF93" wp14:editId="7DA30EB1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970314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970314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970314" w:rsidRDefault="002212DC" w:rsidP="002212DC">
            <w:pPr>
              <w:spacing w:before="240" w:line="240" w:lineRule="exact"/>
              <w:rPr>
                <w:lang w:val="fr-FR"/>
              </w:rPr>
            </w:pPr>
            <w:r w:rsidRPr="00970314">
              <w:rPr>
                <w:lang w:val="fr-FR"/>
              </w:rPr>
              <w:t>Distr. Générale</w:t>
            </w:r>
          </w:p>
          <w:p w:rsidR="002212DC" w:rsidRPr="00970314" w:rsidRDefault="002212DC" w:rsidP="002212DC">
            <w:pPr>
              <w:spacing w:line="240" w:lineRule="exact"/>
              <w:rPr>
                <w:lang w:val="fr-FR"/>
              </w:rPr>
            </w:pPr>
            <w:r w:rsidRPr="00970314">
              <w:rPr>
                <w:lang w:val="fr-FR"/>
              </w:rPr>
              <w:t>10 juillet 2017</w:t>
            </w:r>
          </w:p>
          <w:p w:rsidR="002212DC" w:rsidRPr="00970314" w:rsidRDefault="00A82196" w:rsidP="002212DC">
            <w:pPr>
              <w:spacing w:line="240" w:lineRule="exact"/>
              <w:rPr>
                <w:lang w:val="fr-FR"/>
              </w:rPr>
            </w:pPr>
            <w:r w:rsidRPr="00970314">
              <w:rPr>
                <w:lang w:val="fr-FR"/>
              </w:rPr>
              <w:t>Français</w:t>
            </w:r>
          </w:p>
          <w:p w:rsidR="002212DC" w:rsidRPr="00970314" w:rsidRDefault="002212DC" w:rsidP="009F3A24">
            <w:pPr>
              <w:spacing w:line="240" w:lineRule="exact"/>
              <w:rPr>
                <w:lang w:val="fr-FR"/>
              </w:rPr>
            </w:pPr>
            <w:r w:rsidRPr="00970314">
              <w:rPr>
                <w:lang w:val="fr-FR"/>
              </w:rPr>
              <w:t xml:space="preserve">Original: </w:t>
            </w:r>
            <w:r w:rsidR="009F3A24">
              <w:rPr>
                <w:lang w:val="fr-FR"/>
              </w:rPr>
              <w:t>anglais et</w:t>
            </w:r>
            <w:r w:rsidR="00A82196" w:rsidRPr="00970314">
              <w:rPr>
                <w:lang w:val="fr-FR"/>
              </w:rPr>
              <w:t xml:space="preserve"> </w:t>
            </w:r>
            <w:r w:rsidR="009F3A24">
              <w:rPr>
                <w:lang w:val="fr-FR"/>
              </w:rPr>
              <w:t>français</w:t>
            </w:r>
          </w:p>
        </w:tc>
      </w:tr>
    </w:tbl>
    <w:p w:rsidR="002212DC" w:rsidRPr="00970314" w:rsidRDefault="002212DC" w:rsidP="002212DC">
      <w:pPr>
        <w:spacing w:before="120"/>
        <w:rPr>
          <w:b/>
          <w:sz w:val="28"/>
          <w:szCs w:val="28"/>
          <w:lang w:val="fr-FR"/>
        </w:rPr>
      </w:pPr>
      <w:r w:rsidRPr="00970314">
        <w:rPr>
          <w:b/>
          <w:sz w:val="28"/>
          <w:szCs w:val="28"/>
          <w:lang w:val="fr-FR"/>
        </w:rPr>
        <w:t>Commission économique pour l’Europe</w:t>
      </w:r>
    </w:p>
    <w:p w:rsidR="002212DC" w:rsidRPr="00970314" w:rsidRDefault="002212DC" w:rsidP="002212DC">
      <w:pPr>
        <w:spacing w:before="120"/>
        <w:rPr>
          <w:sz w:val="28"/>
          <w:szCs w:val="28"/>
          <w:lang w:val="fr-FR"/>
        </w:rPr>
      </w:pPr>
      <w:r w:rsidRPr="00970314">
        <w:rPr>
          <w:sz w:val="28"/>
          <w:szCs w:val="28"/>
          <w:lang w:val="fr-FR"/>
        </w:rPr>
        <w:t>Comité des transports intérieurs</w:t>
      </w:r>
    </w:p>
    <w:p w:rsidR="002212DC" w:rsidRPr="00970314" w:rsidRDefault="002212DC" w:rsidP="002212DC">
      <w:pPr>
        <w:spacing w:before="120"/>
        <w:rPr>
          <w:b/>
          <w:sz w:val="24"/>
          <w:szCs w:val="24"/>
          <w:lang w:val="fr-FR"/>
        </w:rPr>
      </w:pPr>
      <w:r w:rsidRPr="00970314">
        <w:rPr>
          <w:b/>
          <w:sz w:val="24"/>
          <w:szCs w:val="24"/>
          <w:lang w:val="fr-FR"/>
        </w:rPr>
        <w:t>Groupe de travail des transports</w:t>
      </w:r>
      <w:r w:rsidRPr="00970314">
        <w:rPr>
          <w:b/>
          <w:sz w:val="24"/>
          <w:szCs w:val="24"/>
          <w:lang w:val="fr-FR"/>
        </w:rPr>
        <w:br/>
        <w:t>de marchandises dangereuses</w:t>
      </w:r>
    </w:p>
    <w:p w:rsidR="002212DC" w:rsidRPr="00970314" w:rsidRDefault="002212DC" w:rsidP="002212DC">
      <w:pPr>
        <w:spacing w:before="120"/>
        <w:rPr>
          <w:b/>
          <w:lang w:val="fr-FR"/>
        </w:rPr>
      </w:pPr>
      <w:r w:rsidRPr="00970314">
        <w:rPr>
          <w:b/>
          <w:lang w:val="fr-FR"/>
        </w:rPr>
        <w:t>Réunion commune de la Commission d’experts</w:t>
      </w:r>
      <w:r w:rsidRPr="00970314">
        <w:rPr>
          <w:b/>
          <w:lang w:val="fr-FR"/>
        </w:rPr>
        <w:br/>
        <w:t>du RID et du Groupe de travail des transports</w:t>
      </w:r>
      <w:r w:rsidRPr="00970314">
        <w:rPr>
          <w:b/>
          <w:lang w:val="fr-FR"/>
        </w:rPr>
        <w:br/>
        <w:t>de marchandises dangereuses</w:t>
      </w:r>
    </w:p>
    <w:p w:rsidR="002212DC" w:rsidRPr="00970314" w:rsidRDefault="002212DC" w:rsidP="002212DC">
      <w:pPr>
        <w:rPr>
          <w:lang w:val="fr-FR"/>
        </w:rPr>
      </w:pPr>
      <w:r w:rsidRPr="00970314">
        <w:rPr>
          <w:lang w:val="fr-FR"/>
        </w:rPr>
        <w:t>Genève, 19–29 septembre 2017</w:t>
      </w:r>
    </w:p>
    <w:p w:rsidR="002212DC" w:rsidRPr="00970314" w:rsidRDefault="002212DC" w:rsidP="002212DC">
      <w:pPr>
        <w:rPr>
          <w:lang w:val="fr-FR"/>
        </w:rPr>
      </w:pPr>
      <w:r w:rsidRPr="00970314">
        <w:rPr>
          <w:lang w:val="fr-FR"/>
        </w:rPr>
        <w:t>Point 1 de l'ordre du jour provisoire</w:t>
      </w:r>
    </w:p>
    <w:p w:rsidR="005B76A3" w:rsidRPr="00970314" w:rsidRDefault="002212DC" w:rsidP="00B93E72">
      <w:pPr>
        <w:rPr>
          <w:lang w:val="fr-FR"/>
        </w:rPr>
      </w:pPr>
      <w:r w:rsidRPr="00970314">
        <w:rPr>
          <w:b/>
          <w:lang w:val="fr-FR"/>
        </w:rPr>
        <w:t>Adoption de l'ordre du jour</w:t>
      </w:r>
    </w:p>
    <w:p w:rsidR="002212DC" w:rsidRPr="00970314" w:rsidRDefault="00FD6D8A" w:rsidP="002212DC">
      <w:pPr>
        <w:pStyle w:val="HChG"/>
        <w:rPr>
          <w:lang w:val="fr-FR"/>
        </w:rPr>
      </w:pPr>
      <w:r w:rsidRPr="00970314">
        <w:rPr>
          <w:lang w:val="fr-FR"/>
        </w:rPr>
        <w:tab/>
      </w:r>
      <w:r w:rsidRPr="00970314">
        <w:rPr>
          <w:lang w:val="fr-FR"/>
        </w:rPr>
        <w:tab/>
      </w:r>
      <w:r w:rsidR="002212DC" w:rsidRPr="00970314">
        <w:rPr>
          <w:lang w:val="fr-FR"/>
        </w:rPr>
        <w:t>Ordre du jour provisoire de la session d’automne 2017</w:t>
      </w:r>
    </w:p>
    <w:p w:rsidR="002212DC" w:rsidRPr="00970314" w:rsidRDefault="002212DC" w:rsidP="002212DC">
      <w:pPr>
        <w:pStyle w:val="H23G"/>
        <w:rPr>
          <w:lang w:val="fr-FR"/>
        </w:rPr>
      </w:pPr>
      <w:r w:rsidRPr="00970314">
        <w:rPr>
          <w:lang w:val="fr-FR"/>
        </w:rPr>
        <w:tab/>
      </w:r>
      <w:r w:rsidRPr="00970314">
        <w:rPr>
          <w:lang w:val="fr-FR"/>
        </w:rPr>
        <w:tab/>
        <w:t>Additif</w:t>
      </w:r>
    </w:p>
    <w:p w:rsidR="002212DC" w:rsidRPr="00970314" w:rsidRDefault="002212DC" w:rsidP="002212DC">
      <w:pPr>
        <w:pStyle w:val="H1G"/>
        <w:rPr>
          <w:lang w:val="fr-FR"/>
        </w:rPr>
      </w:pPr>
      <w:r w:rsidRPr="00970314">
        <w:rPr>
          <w:lang w:val="fr-FR"/>
        </w:rPr>
        <w:tab/>
      </w:r>
      <w:r w:rsidRPr="00970314">
        <w:rPr>
          <w:lang w:val="fr-FR"/>
        </w:rPr>
        <w:tab/>
        <w:t>Annotations et liste des documents</w:t>
      </w:r>
    </w:p>
    <w:p w:rsidR="002212DC" w:rsidRPr="00970314" w:rsidRDefault="002212DC" w:rsidP="002212DC">
      <w:pPr>
        <w:pStyle w:val="HChG"/>
        <w:rPr>
          <w:lang w:val="fr-FR"/>
        </w:rPr>
      </w:pPr>
      <w:r w:rsidRPr="00970314">
        <w:rPr>
          <w:lang w:val="fr-FR"/>
        </w:rPr>
        <w:tab/>
        <w:t>1.</w:t>
      </w:r>
      <w:r w:rsidRPr="00970314">
        <w:rPr>
          <w:lang w:val="fr-FR"/>
        </w:rPr>
        <w:tab/>
        <w:t>Adoption de l’ordre du jour</w:t>
      </w:r>
    </w:p>
    <w:p w:rsidR="002212DC" w:rsidRPr="00970314" w:rsidRDefault="002212DC" w:rsidP="002212DC">
      <w:pPr>
        <w:spacing w:after="120"/>
        <w:ind w:left="1134" w:right="1134"/>
        <w:jc w:val="both"/>
        <w:rPr>
          <w:lang w:val="fr-FR"/>
        </w:rPr>
      </w:pPr>
      <w:r w:rsidRPr="00970314">
        <w:rPr>
          <w:lang w:val="fr-FR"/>
        </w:rPr>
        <w:tab/>
        <w:t>Le premier point de l’ordre du jour provisoire concerne son adoption. La Réunion commune disposera également du rapport sur sa session de printemps 2017 tenue à Berne du 13 au 17 mars 2017 (ECE/TRANS/WP.15/AC.1/146 – OTIF/RID/RC/2017-A and Add 1).</w:t>
      </w:r>
    </w:p>
    <w:p w:rsidR="002212DC" w:rsidRPr="00970314" w:rsidRDefault="002212DC" w:rsidP="002212DC">
      <w:pPr>
        <w:spacing w:after="120"/>
        <w:ind w:left="1134" w:right="1134"/>
        <w:jc w:val="both"/>
        <w:rPr>
          <w:lang w:val="fr-FR"/>
        </w:rPr>
      </w:pPr>
      <w:r w:rsidRPr="00970314">
        <w:rPr>
          <w:lang w:val="fr-FR"/>
        </w:rPr>
        <w:tab/>
        <w:t>Il convient de rappeler les points suivants</w:t>
      </w:r>
      <w:r w:rsidR="00FD6D8A" w:rsidRPr="00970314">
        <w:rPr>
          <w:lang w:val="fr-FR"/>
        </w:rPr>
        <w:t> </w:t>
      </w:r>
      <w:r w:rsidRPr="00970314">
        <w:rPr>
          <w:lang w:val="fr-FR"/>
        </w:rPr>
        <w:t>:</w:t>
      </w:r>
    </w:p>
    <w:p w:rsidR="002212DC" w:rsidRPr="00970314" w:rsidRDefault="002212DC" w:rsidP="002212DC">
      <w:pPr>
        <w:spacing w:after="120"/>
        <w:ind w:left="1134" w:right="1134"/>
        <w:jc w:val="both"/>
        <w:rPr>
          <w:lang w:val="fr-FR"/>
        </w:rPr>
      </w:pPr>
      <w:r w:rsidRPr="00970314">
        <w:rPr>
          <w:lang w:val="fr-FR"/>
        </w:rPr>
        <w:tab/>
        <w:t>a)</w:t>
      </w:r>
      <w:r w:rsidRPr="00970314">
        <w:rPr>
          <w:lang w:val="fr-FR"/>
        </w:rPr>
        <w:tab/>
        <w:t>À sa session d'automne 2016, la Réunion commune a élu M. C. Pfauvadel (France) et M. H. Rein (Allemagne) respectivement Président et Vice-Président pour 2017</w:t>
      </w:r>
      <w:r w:rsidR="00FD6D8A" w:rsidRPr="00970314">
        <w:rPr>
          <w:lang w:val="fr-FR"/>
        </w:rPr>
        <w:t> </w:t>
      </w:r>
      <w:r w:rsidRPr="00970314">
        <w:rPr>
          <w:lang w:val="fr-FR"/>
        </w:rPr>
        <w:t>;</w:t>
      </w:r>
    </w:p>
    <w:p w:rsidR="002212DC" w:rsidRPr="00970314" w:rsidRDefault="002212DC" w:rsidP="002212DC">
      <w:pPr>
        <w:spacing w:after="120"/>
        <w:ind w:left="1134" w:right="1134"/>
        <w:jc w:val="both"/>
        <w:rPr>
          <w:lang w:val="fr-FR"/>
        </w:rPr>
      </w:pPr>
      <w:r w:rsidRPr="00970314">
        <w:rPr>
          <w:lang w:val="fr-FR"/>
        </w:rPr>
        <w:tab/>
        <w:t>b)</w:t>
      </w:r>
      <w:r w:rsidRPr="00970314">
        <w:rPr>
          <w:lang w:val="fr-FR"/>
        </w:rPr>
        <w:tab/>
        <w:t>Les documents de la CEE-ONU (autres que les ordres du jour ou les rapports) portant la cote ECE/TRANS/WP.15/AC.1/ sont diffusés par l’Organisation intergouvernementale pour les transports internationaux ferroviaires (OTIF) en langue allemande sous la cote OTIF/RID/RC/ suivis du même numéro de document.  Par souci d’économie, les documents ne seront pas disponibles en salle.  Les délégués sont priés de se rendre à la réunion munis de leur exemplaire des documents</w:t>
      </w:r>
      <w:r w:rsidR="00FD6D8A" w:rsidRPr="00970314">
        <w:rPr>
          <w:lang w:val="fr-FR"/>
        </w:rPr>
        <w:t> </w:t>
      </w:r>
      <w:r w:rsidRPr="00970314">
        <w:rPr>
          <w:lang w:val="fr-FR"/>
        </w:rPr>
        <w:t>;</w:t>
      </w:r>
    </w:p>
    <w:p w:rsidR="002212DC" w:rsidRPr="00970314" w:rsidRDefault="002212DC" w:rsidP="002212DC">
      <w:pPr>
        <w:spacing w:after="120"/>
        <w:ind w:left="1134" w:right="1134"/>
        <w:jc w:val="both"/>
        <w:rPr>
          <w:lang w:val="fr-FR"/>
        </w:rPr>
      </w:pPr>
      <w:r w:rsidRPr="00970314">
        <w:rPr>
          <w:lang w:val="fr-FR"/>
        </w:rPr>
        <w:tab/>
        <w:t>c)</w:t>
      </w:r>
      <w:r w:rsidRPr="00970314">
        <w:rPr>
          <w:lang w:val="fr-FR"/>
        </w:rPr>
        <w:tab/>
        <w:t>La documentation sera disponible sur le site web de la CEE-ONU (</w:t>
      </w:r>
      <w:hyperlink r:id="rId8" w:history="1">
        <w:r w:rsidRPr="00970314">
          <w:rPr>
            <w:lang w:val="fr-FR"/>
          </w:rPr>
          <w:t>www.unece.org/trans/danger/danger.htm</w:t>
        </w:r>
      </w:hyperlink>
      <w:r w:rsidRPr="00970314">
        <w:rPr>
          <w:lang w:val="fr-FR"/>
        </w:rPr>
        <w:t>) en anglais, français et russe</w:t>
      </w:r>
      <w:r w:rsidR="00FD6D8A" w:rsidRPr="00970314">
        <w:rPr>
          <w:lang w:val="fr-FR"/>
        </w:rPr>
        <w:t> </w:t>
      </w:r>
      <w:r w:rsidRPr="00970314">
        <w:rPr>
          <w:lang w:val="fr-FR"/>
        </w:rPr>
        <w:t>;</w:t>
      </w:r>
    </w:p>
    <w:p w:rsidR="002212DC" w:rsidRPr="00970314" w:rsidRDefault="002212DC" w:rsidP="007F2546">
      <w:pPr>
        <w:spacing w:after="120"/>
        <w:ind w:left="1134" w:right="1134"/>
        <w:jc w:val="both"/>
        <w:rPr>
          <w:lang w:val="fr-FR"/>
        </w:rPr>
      </w:pPr>
      <w:r w:rsidRPr="00970314">
        <w:rPr>
          <w:lang w:val="fr-FR"/>
        </w:rPr>
        <w:lastRenderedPageBreak/>
        <w:tab/>
        <w:t>d)</w:t>
      </w:r>
      <w:r w:rsidRPr="00970314">
        <w:rPr>
          <w:lang w:val="fr-FR"/>
        </w:rPr>
        <w:tab/>
        <w:t>La Réunion commune souhaitera éventuellement, si nécessaire, qu’un groupe de travail spécial se réunisse</w:t>
      </w:r>
      <w:r w:rsidR="007F2546" w:rsidRPr="00970314">
        <w:rPr>
          <w:lang w:val="fr-FR"/>
        </w:rPr>
        <w:t xml:space="preserve">, la deuxième semaine de </w:t>
      </w:r>
      <w:r w:rsidR="00FD6D8A" w:rsidRPr="00970314">
        <w:rPr>
          <w:lang w:val="fr-FR"/>
        </w:rPr>
        <w:t>la session</w:t>
      </w:r>
      <w:r w:rsidR="007F2546" w:rsidRPr="00970314">
        <w:rPr>
          <w:lang w:val="fr-FR"/>
        </w:rPr>
        <w:t>,</w:t>
      </w:r>
      <w:r w:rsidRPr="00970314">
        <w:rPr>
          <w:lang w:val="fr-FR"/>
        </w:rPr>
        <w:t xml:space="preserve"> en dehors des heures de session plénière pour examiner les documents relatifs aux normes (point </w:t>
      </w:r>
      <w:r w:rsidR="00FD6D8A" w:rsidRPr="00970314">
        <w:rPr>
          <w:lang w:val="fr-FR"/>
        </w:rPr>
        <w:t>3</w:t>
      </w:r>
      <w:r w:rsidRPr="00970314">
        <w:rPr>
          <w:lang w:val="fr-FR"/>
        </w:rPr>
        <w:t>), conformément au mandat que la Réunion commune décidera</w:t>
      </w:r>
      <w:r w:rsidR="00FD6D8A" w:rsidRPr="00970314">
        <w:rPr>
          <w:lang w:val="fr-FR"/>
        </w:rPr>
        <w:t> </w:t>
      </w:r>
      <w:r w:rsidRPr="00970314">
        <w:rPr>
          <w:lang w:val="fr-FR"/>
        </w:rPr>
        <w:t>;</w:t>
      </w:r>
    </w:p>
    <w:p w:rsidR="002212DC" w:rsidRPr="00970314" w:rsidRDefault="002212DC" w:rsidP="007F2546">
      <w:pPr>
        <w:spacing w:after="120"/>
        <w:ind w:left="1134" w:right="1134"/>
        <w:jc w:val="both"/>
        <w:rPr>
          <w:szCs w:val="24"/>
          <w:lang w:val="fr-FR"/>
        </w:rPr>
      </w:pPr>
      <w:r w:rsidRPr="00970314">
        <w:rPr>
          <w:szCs w:val="24"/>
          <w:lang w:val="fr-FR"/>
        </w:rPr>
        <w:tab/>
        <w:t>e)</w:t>
      </w:r>
      <w:r w:rsidRPr="00970314">
        <w:rPr>
          <w:szCs w:val="24"/>
          <w:lang w:val="fr-FR"/>
        </w:rPr>
        <w:tab/>
      </w:r>
      <w:r w:rsidR="007F2546" w:rsidRPr="00970314">
        <w:rPr>
          <w:szCs w:val="24"/>
          <w:lang w:val="fr-FR"/>
        </w:rPr>
        <w:t xml:space="preserve">Les documents relatifs </w:t>
      </w:r>
      <w:r w:rsidR="00FD6D8A" w:rsidRPr="00970314">
        <w:rPr>
          <w:szCs w:val="24"/>
          <w:lang w:val="fr-FR"/>
        </w:rPr>
        <w:t xml:space="preserve">aux </w:t>
      </w:r>
      <w:r w:rsidR="007F2546" w:rsidRPr="00970314">
        <w:rPr>
          <w:szCs w:val="24"/>
          <w:lang w:val="fr-FR"/>
        </w:rPr>
        <w:t>citernes</w:t>
      </w:r>
      <w:r w:rsidR="00FD6D8A" w:rsidRPr="00970314">
        <w:rPr>
          <w:szCs w:val="24"/>
          <w:lang w:val="fr-FR"/>
        </w:rPr>
        <w:t xml:space="preserve"> (point 2)</w:t>
      </w:r>
      <w:r w:rsidR="007F2546" w:rsidRPr="00970314">
        <w:rPr>
          <w:szCs w:val="24"/>
          <w:lang w:val="fr-FR"/>
        </w:rPr>
        <w:t xml:space="preserve"> seront </w:t>
      </w:r>
      <w:r w:rsidR="00FD6D8A" w:rsidRPr="00970314">
        <w:rPr>
          <w:szCs w:val="24"/>
          <w:lang w:val="fr-FR"/>
        </w:rPr>
        <w:t>examinés par le Groupe de travail sur les citernes</w:t>
      </w:r>
      <w:r w:rsidR="007F2546" w:rsidRPr="00970314">
        <w:rPr>
          <w:szCs w:val="24"/>
          <w:lang w:val="fr-FR"/>
        </w:rPr>
        <w:t xml:space="preserve"> durant la </w:t>
      </w:r>
      <w:r w:rsidR="008603AD">
        <w:rPr>
          <w:szCs w:val="24"/>
          <w:lang w:val="fr-FR"/>
        </w:rPr>
        <w:t>première</w:t>
      </w:r>
      <w:r w:rsidR="007F2546" w:rsidRPr="00970314">
        <w:rPr>
          <w:szCs w:val="24"/>
          <w:lang w:val="fr-FR"/>
        </w:rPr>
        <w:t xml:space="preserve"> semaine de </w:t>
      </w:r>
      <w:r w:rsidR="00FD6D8A" w:rsidRPr="00970314">
        <w:rPr>
          <w:szCs w:val="24"/>
          <w:lang w:val="fr-FR"/>
        </w:rPr>
        <w:t>la session</w:t>
      </w:r>
      <w:r w:rsidR="007F2546" w:rsidRPr="00970314">
        <w:rPr>
          <w:szCs w:val="24"/>
          <w:lang w:val="fr-FR"/>
        </w:rPr>
        <w:t xml:space="preserve">, </w:t>
      </w:r>
      <w:r w:rsidRPr="00970314">
        <w:rPr>
          <w:szCs w:val="24"/>
          <w:lang w:val="fr-FR"/>
        </w:rPr>
        <w:t xml:space="preserve">après examen </w:t>
      </w:r>
      <w:r w:rsidR="00FD6D8A" w:rsidRPr="00970314">
        <w:rPr>
          <w:szCs w:val="24"/>
          <w:lang w:val="fr-FR"/>
        </w:rPr>
        <w:t>de ce point en session plénière ;</w:t>
      </w:r>
      <w:bookmarkStart w:id="0" w:name="_GoBack"/>
      <w:bookmarkEnd w:id="0"/>
    </w:p>
    <w:p w:rsidR="00FD6D8A" w:rsidRPr="00970314" w:rsidRDefault="00FD6D8A" w:rsidP="00FD6D8A">
      <w:pPr>
        <w:spacing w:after="120"/>
        <w:ind w:left="1134" w:right="1134"/>
        <w:rPr>
          <w:szCs w:val="24"/>
          <w:lang w:val="fr-FR"/>
        </w:rPr>
      </w:pPr>
      <w:r w:rsidRPr="00970314">
        <w:rPr>
          <w:szCs w:val="24"/>
          <w:lang w:val="fr-FR"/>
        </w:rPr>
        <w:tab/>
        <w:t>f)</w:t>
      </w:r>
      <w:r w:rsidRPr="00970314">
        <w:rPr>
          <w:szCs w:val="24"/>
          <w:lang w:val="fr-FR"/>
        </w:rPr>
        <w:tab/>
        <w:t>Le lien pour l’inscription en ligne des délégué est :</w:t>
      </w:r>
      <w:r w:rsidRPr="00970314">
        <w:rPr>
          <w:szCs w:val="24"/>
          <w:lang w:val="fr-FR"/>
        </w:rPr>
        <w:br/>
      </w:r>
      <w:r w:rsidRPr="00970314">
        <w:rPr>
          <w:szCs w:val="24"/>
          <w:lang w:val="fr-FR"/>
        </w:rPr>
        <w:tab/>
      </w:r>
      <w:r w:rsidRPr="00970314">
        <w:rPr>
          <w:szCs w:val="24"/>
          <w:lang w:val="fr-FR"/>
        </w:rPr>
        <w:tab/>
      </w:r>
      <w:r w:rsidRPr="00970314">
        <w:rPr>
          <w:lang w:val="fr-FR"/>
        </w:rPr>
        <w:t xml:space="preserve">https://www2.unece.org/uncdb/app/ext/meeting-registration?id=NQyUkw. </w:t>
      </w:r>
    </w:p>
    <w:p w:rsidR="002212DC" w:rsidRPr="00970314" w:rsidRDefault="002212DC" w:rsidP="002212DC">
      <w:pPr>
        <w:pStyle w:val="HChG"/>
        <w:rPr>
          <w:lang w:val="fr-FR"/>
        </w:rPr>
      </w:pPr>
      <w:r w:rsidRPr="00970314">
        <w:rPr>
          <w:lang w:val="fr-FR"/>
        </w:rPr>
        <w:tab/>
        <w:t>2.</w:t>
      </w:r>
      <w:r w:rsidRPr="00970314">
        <w:rPr>
          <w:lang w:val="fr-FR"/>
        </w:rPr>
        <w:tab/>
        <w:t>Citernes</w:t>
      </w:r>
    </w:p>
    <w:tbl>
      <w:tblPr>
        <w:tblW w:w="846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4819"/>
      </w:tblGrid>
      <w:tr w:rsidR="002212DC" w:rsidRPr="00970314" w:rsidTr="00C24C74">
        <w:trPr>
          <w:cantSplit/>
        </w:trPr>
        <w:tc>
          <w:tcPr>
            <w:tcW w:w="3641" w:type="dxa"/>
          </w:tcPr>
          <w:p w:rsidR="002212DC" w:rsidRPr="00970314" w:rsidRDefault="00DC09F5" w:rsidP="00DC09F5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ECE/TRANS/WP.15/AC.1/2017/31</w:t>
            </w:r>
            <w:r w:rsidR="002212DC" w:rsidRPr="00970314">
              <w:rPr>
                <w:lang w:val="fr-FR"/>
              </w:rPr>
              <w:t xml:space="preserve"> (</w:t>
            </w:r>
            <w:r w:rsidRPr="00970314">
              <w:rPr>
                <w:lang w:val="fr-FR"/>
              </w:rPr>
              <w:t>Fédération de Russie</w:t>
            </w:r>
            <w:r w:rsidR="002212DC" w:rsidRPr="00970314">
              <w:rPr>
                <w:lang w:val="fr-FR"/>
              </w:rPr>
              <w:t>)</w:t>
            </w:r>
          </w:p>
        </w:tc>
        <w:tc>
          <w:tcPr>
            <w:tcW w:w="4819" w:type="dxa"/>
          </w:tcPr>
          <w:p w:rsidR="002212DC" w:rsidRPr="00970314" w:rsidRDefault="00970314" w:rsidP="009703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fr-FR" w:eastAsia="fr-FR"/>
              </w:rPr>
            </w:pPr>
            <w:r w:rsidRPr="00970314">
              <w:rPr>
                <w:rFonts w:ascii="inherit" w:hAnsi="inherit" w:cs="Courier New"/>
                <w:color w:val="212121"/>
                <w:lang w:val="fr-FR" w:eastAsia="fr-FR"/>
              </w:rPr>
              <w:t xml:space="preserve">Citernes avec </w:t>
            </w:r>
            <w:r w:rsidRPr="00970314">
              <w:rPr>
                <w:lang w:val="fr-FR" w:eastAsia="en-GB"/>
              </w:rPr>
              <w:t>revêtement protecteur ou doublure protectrice</w:t>
            </w:r>
            <w:r>
              <w:rPr>
                <w:lang w:val="fr-FR" w:eastAsia="en-GB"/>
              </w:rPr>
              <w:t xml:space="preserve"> – affectation de la disposition spéciale TU42 au No ONU 3266</w:t>
            </w:r>
          </w:p>
        </w:tc>
      </w:tr>
      <w:tr w:rsidR="002212DC" w:rsidRPr="00970314" w:rsidTr="00C24C74">
        <w:trPr>
          <w:cantSplit/>
        </w:trPr>
        <w:tc>
          <w:tcPr>
            <w:tcW w:w="3641" w:type="dxa"/>
          </w:tcPr>
          <w:p w:rsidR="002212DC" w:rsidRPr="00970314" w:rsidRDefault="00DC09F5" w:rsidP="00DC09F5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ECE/TRANS/WP.15/AC.1/2017/36</w:t>
            </w:r>
            <w:r w:rsidR="002212DC" w:rsidRPr="00970314">
              <w:rPr>
                <w:lang w:val="fr-FR"/>
              </w:rPr>
              <w:t xml:space="preserve"> (</w:t>
            </w:r>
            <w:r w:rsidRPr="00970314">
              <w:rPr>
                <w:lang w:val="fr-FR"/>
              </w:rPr>
              <w:t>Belgique</w:t>
            </w:r>
            <w:r w:rsidR="002212DC" w:rsidRPr="00970314">
              <w:rPr>
                <w:lang w:val="fr-FR"/>
              </w:rPr>
              <w:t>)</w:t>
            </w:r>
          </w:p>
        </w:tc>
        <w:tc>
          <w:tcPr>
            <w:tcW w:w="4819" w:type="dxa"/>
          </w:tcPr>
          <w:p w:rsidR="002212DC" w:rsidRPr="00970314" w:rsidRDefault="00DC09F5" w:rsidP="00C24C74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Temps de retenue – Information dans le document de transport</w:t>
            </w:r>
          </w:p>
        </w:tc>
      </w:tr>
      <w:tr w:rsidR="002212DC" w:rsidRPr="00970314" w:rsidTr="00C24C74">
        <w:trPr>
          <w:cantSplit/>
        </w:trPr>
        <w:tc>
          <w:tcPr>
            <w:tcW w:w="3641" w:type="dxa"/>
          </w:tcPr>
          <w:p w:rsidR="002212DC" w:rsidRPr="00970314" w:rsidRDefault="00DC09F5" w:rsidP="00DC09F5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ECE/TRANS/WP.15/AC.1/2017/38</w:t>
            </w:r>
            <w:r w:rsidR="002212DC" w:rsidRPr="00970314">
              <w:rPr>
                <w:lang w:val="fr-FR"/>
              </w:rPr>
              <w:t xml:space="preserve"> (</w:t>
            </w:r>
            <w:r w:rsidRPr="00970314">
              <w:rPr>
                <w:lang w:val="fr-FR"/>
              </w:rPr>
              <w:t>Royaume Uni</w:t>
            </w:r>
            <w:r w:rsidR="002212DC" w:rsidRPr="00970314">
              <w:rPr>
                <w:lang w:val="fr-FR"/>
              </w:rPr>
              <w:t>)</w:t>
            </w:r>
          </w:p>
        </w:tc>
        <w:tc>
          <w:tcPr>
            <w:tcW w:w="4819" w:type="dxa"/>
          </w:tcPr>
          <w:p w:rsidR="00970314" w:rsidRPr="00970314" w:rsidRDefault="00970314" w:rsidP="0097031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fr-FR" w:eastAsia="en-GB"/>
              </w:rPr>
            </w:pPr>
            <w:r w:rsidRPr="00970314">
              <w:rPr>
                <w:lang w:val="fr-FR" w:eastAsia="en-GB"/>
              </w:rPr>
              <w:t>Rapport du groupe de travail informel sur</w:t>
            </w:r>
          </w:p>
          <w:p w:rsidR="002212DC" w:rsidRPr="00970314" w:rsidRDefault="00970314" w:rsidP="00970314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970314">
              <w:rPr>
                <w:lang w:val="fr-FR" w:eastAsia="en-GB"/>
              </w:rPr>
              <w:t>le contrôle et l’agrément des citernes</w:t>
            </w:r>
          </w:p>
        </w:tc>
      </w:tr>
      <w:tr w:rsidR="002212DC" w:rsidRPr="00AB24BD" w:rsidTr="00C24C74">
        <w:trPr>
          <w:cantSplit/>
        </w:trPr>
        <w:tc>
          <w:tcPr>
            <w:tcW w:w="3641" w:type="dxa"/>
          </w:tcPr>
          <w:p w:rsidR="002212DC" w:rsidRPr="00AB24BD" w:rsidRDefault="00DC09F5" w:rsidP="00C24C74">
            <w:pPr>
              <w:pStyle w:val="SingleTxtG"/>
              <w:tabs>
                <w:tab w:val="left" w:pos="1118"/>
              </w:tabs>
              <w:ind w:left="0" w:right="176"/>
              <w:jc w:val="left"/>
              <w:rPr>
                <w:lang w:val="fr-FR"/>
              </w:rPr>
            </w:pPr>
            <w:r w:rsidRPr="00AB24BD">
              <w:rPr>
                <w:lang w:val="fr-FR"/>
              </w:rPr>
              <w:t>ECE/TRANS/WP.15/AC.1/2017/40</w:t>
            </w:r>
            <w:r w:rsidR="002212DC" w:rsidRPr="00AB24BD">
              <w:rPr>
                <w:lang w:val="fr-FR"/>
              </w:rPr>
              <w:t xml:space="preserve"> (Pays-Bas)</w:t>
            </w:r>
          </w:p>
        </w:tc>
        <w:tc>
          <w:tcPr>
            <w:tcW w:w="4819" w:type="dxa"/>
          </w:tcPr>
          <w:p w:rsidR="002212DC" w:rsidRPr="00AB24BD" w:rsidRDefault="00AB24BD" w:rsidP="00AB24BD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AB24BD">
              <w:rPr>
                <w:bCs/>
              </w:rPr>
              <w:t xml:space="preserve">Formes des sections des </w:t>
            </w:r>
            <w:r>
              <w:rPr>
                <w:bCs/>
              </w:rPr>
              <w:t>réservoirs des citernes</w:t>
            </w:r>
          </w:p>
        </w:tc>
      </w:tr>
    </w:tbl>
    <w:p w:rsidR="002212DC" w:rsidRPr="00970314" w:rsidRDefault="002212DC" w:rsidP="002212DC">
      <w:pPr>
        <w:pStyle w:val="HChG"/>
        <w:rPr>
          <w:lang w:val="fr-FR"/>
        </w:rPr>
      </w:pPr>
      <w:r w:rsidRPr="00970314">
        <w:rPr>
          <w:lang w:val="fr-FR"/>
        </w:rPr>
        <w:tab/>
        <w:t>3.</w:t>
      </w:r>
      <w:r w:rsidRPr="00970314">
        <w:rPr>
          <w:lang w:val="fr-FR"/>
        </w:rPr>
        <w:tab/>
        <w:t>Normes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2212DC" w:rsidRPr="00970314" w:rsidTr="00C24C74">
        <w:tc>
          <w:tcPr>
            <w:tcW w:w="3655" w:type="dxa"/>
          </w:tcPr>
          <w:p w:rsidR="002212DC" w:rsidRPr="00970314" w:rsidRDefault="00DC09F5" w:rsidP="00C24C74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ECE/TRANS/WP.15/AC.1/2017/32 (CEN)</w:t>
            </w:r>
          </w:p>
        </w:tc>
        <w:tc>
          <w:tcPr>
            <w:tcW w:w="4850" w:type="dxa"/>
          </w:tcPr>
          <w:p w:rsidR="002212DC" w:rsidRPr="00970314" w:rsidRDefault="00B71A6C" w:rsidP="00C24C74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t>Information sur les travaux en cours au CEN</w:t>
            </w:r>
          </w:p>
        </w:tc>
      </w:tr>
    </w:tbl>
    <w:p w:rsidR="002212DC" w:rsidRPr="00970314" w:rsidRDefault="002212DC" w:rsidP="00C7162F">
      <w:pPr>
        <w:pStyle w:val="HChG"/>
        <w:rPr>
          <w:lang w:val="fr-FR"/>
        </w:rPr>
      </w:pPr>
      <w:r w:rsidRPr="00970314">
        <w:rPr>
          <w:lang w:val="fr-FR"/>
        </w:rPr>
        <w:tab/>
        <w:t>4.</w:t>
      </w:r>
      <w:r w:rsidRPr="00970314">
        <w:rPr>
          <w:lang w:val="fr-FR"/>
        </w:rPr>
        <w:tab/>
      </w:r>
      <w:r w:rsidR="00C7162F" w:rsidRPr="00970314">
        <w:rPr>
          <w:lang w:val="fr-FR"/>
        </w:rPr>
        <w:t>Harmonisation avec les Recommandations relatives au transport des marchandises dangereuses de l’Organisation des Nations Unies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C7162F" w:rsidRPr="00970314" w:rsidTr="00C24C74">
        <w:tc>
          <w:tcPr>
            <w:tcW w:w="3652" w:type="dxa"/>
          </w:tcPr>
          <w:p w:rsidR="00C7162F" w:rsidRPr="00970314" w:rsidRDefault="00C7162F" w:rsidP="00C7162F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 xml:space="preserve">ECE/TRANS/WP.15/AC.1/2017/26 et </w:t>
            </w:r>
            <w:r w:rsidRPr="00970314">
              <w:rPr>
                <w:lang w:val="fr-FR"/>
              </w:rPr>
              <w:br/>
              <w:t>-/Add.1 (Secrétariat)</w:t>
            </w:r>
          </w:p>
        </w:tc>
        <w:tc>
          <w:tcPr>
            <w:tcW w:w="4853" w:type="dxa"/>
          </w:tcPr>
          <w:p w:rsidR="00C7162F" w:rsidRPr="00970314" w:rsidRDefault="00B71A6C" w:rsidP="00C24C74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154472">
              <w:rPr>
                <w:lang w:val="fr-FR"/>
              </w:rPr>
              <w:t>Rapport du Groupe de travail spécial de l’harmonisation des Règlements RID/ADR/ADN avec les Recommandations de l’ONU relatives au transport des marchandises dangereuses</w:t>
            </w:r>
          </w:p>
        </w:tc>
      </w:tr>
      <w:tr w:rsidR="00C7162F" w:rsidRPr="00970314" w:rsidTr="00C24C74">
        <w:tc>
          <w:tcPr>
            <w:tcW w:w="3655" w:type="dxa"/>
          </w:tcPr>
          <w:p w:rsidR="00C7162F" w:rsidRPr="00970314" w:rsidRDefault="00C7162F" w:rsidP="00C7162F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ECE/TRANS/WP.15/AC.1/2017/25 (Roumanie)</w:t>
            </w:r>
          </w:p>
        </w:tc>
        <w:tc>
          <w:tcPr>
            <w:tcW w:w="4850" w:type="dxa"/>
          </w:tcPr>
          <w:p w:rsidR="00C7162F" w:rsidRPr="00B71A6C" w:rsidRDefault="00B71A6C" w:rsidP="00B71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-GB" w:eastAsia="en-GB"/>
              </w:rPr>
            </w:pPr>
            <w:r w:rsidRPr="00B71A6C">
              <w:rPr>
                <w:rFonts w:ascii="inherit" w:hAnsi="inherit" w:cs="Courier New"/>
                <w:color w:val="212121"/>
                <w:lang w:val="fr-FR" w:eastAsia="en-GB"/>
              </w:rPr>
              <w:t xml:space="preserve">Affectation des obligations des </w:t>
            </w:r>
            <w:r>
              <w:rPr>
                <w:rFonts w:ascii="inherit" w:hAnsi="inherit" w:cs="Courier New"/>
                <w:color w:val="212121"/>
                <w:lang w:val="fr-FR" w:eastAsia="en-GB"/>
              </w:rPr>
              <w:t>intervenants</w:t>
            </w:r>
          </w:p>
        </w:tc>
      </w:tr>
      <w:tr w:rsidR="00C7162F" w:rsidRPr="00970314" w:rsidTr="00C24C74">
        <w:tc>
          <w:tcPr>
            <w:tcW w:w="3655" w:type="dxa"/>
          </w:tcPr>
          <w:p w:rsidR="00C7162F" w:rsidRPr="00970314" w:rsidRDefault="00C7162F" w:rsidP="00C7162F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ECE/TRANS/WP.15/AC.1/2017/35 (Suède)</w:t>
            </w:r>
          </w:p>
        </w:tc>
        <w:tc>
          <w:tcPr>
            <w:tcW w:w="4850" w:type="dxa"/>
          </w:tcPr>
          <w:p w:rsidR="00C7162F" w:rsidRPr="00970314" w:rsidRDefault="00B71A6C" w:rsidP="00C24C74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>
              <w:rPr>
                <w:lang w:val="fr-FR"/>
              </w:rPr>
              <w:t>Modification de la disposition 2.2.51.2.2 pour les engrais</w:t>
            </w:r>
          </w:p>
        </w:tc>
      </w:tr>
      <w:tr w:rsidR="00C7162F" w:rsidRPr="00970314" w:rsidTr="00C24C74">
        <w:tc>
          <w:tcPr>
            <w:tcW w:w="3655" w:type="dxa"/>
          </w:tcPr>
          <w:p w:rsidR="00C7162F" w:rsidRPr="00970314" w:rsidRDefault="00C7162F" w:rsidP="00C7162F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ECE/TRANS/WP.15/AC.1/2017/39 (Allemagne/Suède)</w:t>
            </w:r>
          </w:p>
        </w:tc>
        <w:tc>
          <w:tcPr>
            <w:tcW w:w="4850" w:type="dxa"/>
          </w:tcPr>
          <w:p w:rsidR="00C7162F" w:rsidRPr="00970314" w:rsidRDefault="00B71A6C" w:rsidP="00C24C74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>
              <w:rPr>
                <w:lang w:val="fr-FR"/>
              </w:rPr>
              <w:t>Objets contenant des piles au lithium métal ou au lithium ionique</w:t>
            </w:r>
          </w:p>
        </w:tc>
      </w:tr>
    </w:tbl>
    <w:p w:rsidR="002212DC" w:rsidRPr="00970314" w:rsidRDefault="002212DC" w:rsidP="00470824">
      <w:pPr>
        <w:pStyle w:val="HChG"/>
        <w:rPr>
          <w:lang w:val="fr-FR"/>
        </w:rPr>
      </w:pPr>
      <w:r w:rsidRPr="00970314">
        <w:rPr>
          <w:lang w:val="fr-FR"/>
        </w:rPr>
        <w:lastRenderedPageBreak/>
        <w:tab/>
        <w:t>5.</w:t>
      </w:r>
      <w:r w:rsidRPr="00970314">
        <w:rPr>
          <w:lang w:val="fr-FR"/>
        </w:rPr>
        <w:tab/>
        <w:t>Propositions d’amendements au RID/ADR/ADN</w:t>
      </w:r>
    </w:p>
    <w:p w:rsidR="002212DC" w:rsidRPr="00970314" w:rsidRDefault="002212DC" w:rsidP="002212D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970314">
        <w:rPr>
          <w:b/>
          <w:sz w:val="24"/>
          <w:lang w:val="fr-FR"/>
        </w:rPr>
        <w:tab/>
        <w:t>a)</w:t>
      </w:r>
      <w:r w:rsidRPr="00970314">
        <w:rPr>
          <w:b/>
          <w:sz w:val="24"/>
          <w:lang w:val="fr-FR"/>
        </w:rPr>
        <w:tab/>
        <w:t>Questions en suspens</w:t>
      </w:r>
    </w:p>
    <w:p w:rsidR="00B71A6C" w:rsidRPr="00970314" w:rsidRDefault="00B71A6C" w:rsidP="00B71A6C">
      <w:pPr>
        <w:spacing w:before="120" w:after="120"/>
        <w:ind w:left="1134" w:right="1134" w:firstLine="567"/>
        <w:jc w:val="both"/>
        <w:rPr>
          <w:lang w:val="fr-FR"/>
        </w:rPr>
      </w:pPr>
      <w:r w:rsidRPr="00970314">
        <w:rPr>
          <w:lang w:val="fr-FR"/>
        </w:rPr>
        <w:t xml:space="preserve">Aucun document n’a été soumis sous </w:t>
      </w:r>
      <w:r>
        <w:rPr>
          <w:lang w:val="fr-FR"/>
        </w:rPr>
        <w:t>ce point de l’</w:t>
      </w:r>
      <w:r w:rsidRPr="00970314">
        <w:rPr>
          <w:lang w:val="fr-FR"/>
        </w:rPr>
        <w:t>ordre du jour.</w:t>
      </w:r>
    </w:p>
    <w:p w:rsidR="002212DC" w:rsidRPr="00970314" w:rsidRDefault="002212DC" w:rsidP="002212D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970314">
        <w:rPr>
          <w:b/>
          <w:sz w:val="24"/>
          <w:lang w:val="fr-FR"/>
        </w:rPr>
        <w:tab/>
        <w:t>b)</w:t>
      </w:r>
      <w:r w:rsidRPr="00970314">
        <w:rPr>
          <w:b/>
          <w:sz w:val="24"/>
          <w:lang w:val="fr-FR"/>
        </w:rPr>
        <w:tab/>
        <w:t>Nouvelles propositions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470824" w:rsidRPr="00970314" w:rsidTr="00C24C74">
        <w:tc>
          <w:tcPr>
            <w:tcW w:w="3655" w:type="dxa"/>
          </w:tcPr>
          <w:p w:rsidR="00470824" w:rsidRPr="00970314" w:rsidRDefault="00470824" w:rsidP="00470824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ECE/TRANS/WP.15/AC.1/2017/27 (Suisse)</w:t>
            </w:r>
          </w:p>
        </w:tc>
        <w:tc>
          <w:tcPr>
            <w:tcW w:w="4850" w:type="dxa"/>
          </w:tcPr>
          <w:p w:rsidR="00470824" w:rsidRPr="00970314" w:rsidRDefault="00BA62BB" w:rsidP="00C24C74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Disposition spéciale 666</w:t>
            </w:r>
          </w:p>
        </w:tc>
      </w:tr>
      <w:tr w:rsidR="00470824" w:rsidRPr="00970314" w:rsidTr="00C24C74">
        <w:tc>
          <w:tcPr>
            <w:tcW w:w="3655" w:type="dxa"/>
          </w:tcPr>
          <w:p w:rsidR="00470824" w:rsidRPr="00970314" w:rsidRDefault="00470824" w:rsidP="00470824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ECE/TRANS/WP.15/AC.1/2017/28 (Suède)</w:t>
            </w:r>
          </w:p>
        </w:tc>
        <w:tc>
          <w:tcPr>
            <w:tcW w:w="4850" w:type="dxa"/>
          </w:tcPr>
          <w:p w:rsidR="00470824" w:rsidRPr="00970314" w:rsidRDefault="00B71A6C" w:rsidP="00C24C74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Langues utilisées pour les marques</w:t>
            </w:r>
          </w:p>
        </w:tc>
      </w:tr>
      <w:tr w:rsidR="00470824" w:rsidRPr="00B71A6C" w:rsidTr="00C24C74">
        <w:tc>
          <w:tcPr>
            <w:tcW w:w="3655" w:type="dxa"/>
          </w:tcPr>
          <w:p w:rsidR="00470824" w:rsidRPr="00B71A6C" w:rsidRDefault="00470824" w:rsidP="00470824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B71A6C">
              <w:rPr>
                <w:lang w:val="fr-FR"/>
              </w:rPr>
              <w:t>ECE/TRANS/WP.15/AC.1/2017/29 (Allemagne)</w:t>
            </w:r>
          </w:p>
        </w:tc>
        <w:tc>
          <w:tcPr>
            <w:tcW w:w="4850" w:type="dxa"/>
          </w:tcPr>
          <w:p w:rsidR="00470824" w:rsidRPr="00B71A6C" w:rsidRDefault="00B71A6C" w:rsidP="00B71A6C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B71A6C">
              <w:rPr>
                <w:lang w:val="fr-FR"/>
              </w:rPr>
              <w:t xml:space="preserve">Tableau 1.10.3.1.2 – </w:t>
            </w:r>
            <w:r w:rsidRPr="00B71A6C">
              <w:rPr>
                <w:rFonts w:ascii="TimesNewRomanPS-BoldMT" w:hAnsi="TimesNewRomanPS-BoldMT" w:cs="TimesNewRomanPS-BoldMT"/>
                <w:bCs/>
                <w:lang w:val="fr-FR" w:eastAsia="en-GB"/>
              </w:rPr>
              <w:t xml:space="preserve">Liste des marchandises dangereuses à haut risque </w:t>
            </w:r>
            <w:r>
              <w:rPr>
                <w:rFonts w:ascii="TimesNewRomanPS-BoldMT" w:hAnsi="TimesNewRomanPS-BoldMT" w:cs="TimesNewRomanPS-BoldMT"/>
                <w:bCs/>
                <w:lang w:val="fr-FR" w:eastAsia="en-GB"/>
              </w:rPr>
              <w:t>(</w:t>
            </w:r>
            <w:r w:rsidR="0019616F">
              <w:rPr>
                <w:rFonts w:ascii="TimesNewRomanPS-BoldMT" w:hAnsi="TimesNewRomanPS-BoldMT" w:cs="TimesNewRomanPS-BoldMT"/>
                <w:bCs/>
                <w:lang w:val="fr-FR" w:eastAsia="en-GB"/>
              </w:rPr>
              <w:t>gaz inflammables et corrosifs de la classe 2</w:t>
            </w:r>
            <w:r>
              <w:rPr>
                <w:rFonts w:ascii="TimesNewRomanPS-BoldMT" w:hAnsi="TimesNewRomanPS-BoldMT" w:cs="TimesNewRomanPS-BoldMT"/>
                <w:bCs/>
                <w:lang w:val="fr-FR" w:eastAsia="en-GB"/>
              </w:rPr>
              <w:t>)</w:t>
            </w:r>
          </w:p>
        </w:tc>
      </w:tr>
      <w:tr w:rsidR="00470824" w:rsidRPr="00970314" w:rsidTr="00C24C74">
        <w:tc>
          <w:tcPr>
            <w:tcW w:w="3655" w:type="dxa"/>
          </w:tcPr>
          <w:p w:rsidR="00470824" w:rsidRPr="00970314" w:rsidRDefault="00470824" w:rsidP="00470824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ECE/TRANS/WP.15/AC.1/2017/30 (Allemagne)</w:t>
            </w:r>
          </w:p>
        </w:tc>
        <w:tc>
          <w:tcPr>
            <w:tcW w:w="4850" w:type="dxa"/>
          </w:tcPr>
          <w:p w:rsidR="00470824" w:rsidRPr="00970314" w:rsidRDefault="0019616F" w:rsidP="001961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Marquage des engins de transport transportant des colis de marchandises des classes 1 à 9 (</w:t>
            </w:r>
            <w:r>
              <w:rPr>
                <w:rFonts w:ascii="TimesNewRomanPSMT" w:hAnsi="TimesNewRomanPSMT" w:cs="TimesNewRomanPSMT"/>
                <w:lang w:val="en-GB" w:eastAsia="en-GB"/>
              </w:rPr>
              <w:t>autres que celles affectées aux Nos ONU 3077 et 3082</w:t>
            </w:r>
            <w:r>
              <w:rPr>
                <w:lang w:val="fr-FR"/>
              </w:rPr>
              <w:t>) considérées également comme dangereuses pour l’environnement, en petites quantités, selon le 5.2.1.8.1</w:t>
            </w:r>
          </w:p>
        </w:tc>
      </w:tr>
      <w:tr w:rsidR="00470824" w:rsidRPr="00970314" w:rsidTr="00C24C74">
        <w:tc>
          <w:tcPr>
            <w:tcW w:w="3655" w:type="dxa"/>
          </w:tcPr>
          <w:p w:rsidR="00470824" w:rsidRPr="00970314" w:rsidRDefault="00470824" w:rsidP="00470824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ECE/TRANS/WP.15/AC.1/2017/37 (Autriche)</w:t>
            </w:r>
          </w:p>
        </w:tc>
        <w:tc>
          <w:tcPr>
            <w:tcW w:w="4850" w:type="dxa"/>
          </w:tcPr>
          <w:p w:rsidR="00470824" w:rsidRPr="00970314" w:rsidRDefault="0019616F" w:rsidP="00C24C74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1.1.3.6.3 – Clarification du terme « masse brute »</w:t>
            </w:r>
          </w:p>
        </w:tc>
      </w:tr>
      <w:tr w:rsidR="0019616F" w:rsidRPr="00970314" w:rsidTr="00C24C74">
        <w:tc>
          <w:tcPr>
            <w:tcW w:w="3655" w:type="dxa"/>
          </w:tcPr>
          <w:p w:rsidR="0019616F" w:rsidRPr="0019616F" w:rsidRDefault="0019616F" w:rsidP="00470824">
            <w:pPr>
              <w:pStyle w:val="SingleTxtG"/>
              <w:spacing w:after="60"/>
              <w:ind w:left="0" w:right="175"/>
              <w:jc w:val="left"/>
              <w:rPr>
                <w:b/>
                <w:lang w:val="fr-FR"/>
              </w:rPr>
            </w:pPr>
            <w:r w:rsidRPr="00B649C8">
              <w:t>ECE/TRANS/WP.15/AC.1/2017/43</w:t>
            </w:r>
            <w:r>
              <w:t xml:space="preserve"> (Fédération de Russie)</w:t>
            </w:r>
          </w:p>
        </w:tc>
        <w:tc>
          <w:tcPr>
            <w:tcW w:w="4850" w:type="dxa"/>
          </w:tcPr>
          <w:p w:rsidR="0019616F" w:rsidRDefault="0019616F" w:rsidP="00C24C74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Propositions diverses d’amendements pour clarification</w:t>
            </w:r>
          </w:p>
        </w:tc>
      </w:tr>
    </w:tbl>
    <w:p w:rsidR="002212DC" w:rsidRPr="00970314" w:rsidRDefault="002212DC" w:rsidP="00EC6FBF">
      <w:pPr>
        <w:pStyle w:val="HChG"/>
        <w:rPr>
          <w:lang w:val="fr-FR"/>
        </w:rPr>
      </w:pPr>
      <w:r w:rsidRPr="00970314">
        <w:rPr>
          <w:lang w:val="fr-FR"/>
        </w:rPr>
        <w:tab/>
        <w:t>6.</w:t>
      </w:r>
      <w:r w:rsidRPr="00970314">
        <w:rPr>
          <w:lang w:val="fr-FR"/>
        </w:rPr>
        <w:tab/>
      </w:r>
      <w:r w:rsidR="00EC6FBF" w:rsidRPr="00970314">
        <w:rPr>
          <w:lang w:val="fr-FR"/>
        </w:rPr>
        <w:t>Interprétation du RID/ADR/ADN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19616F" w:rsidRPr="0019616F" w:rsidTr="00C24C74">
        <w:trPr>
          <w:cantSplit/>
        </w:trPr>
        <w:tc>
          <w:tcPr>
            <w:tcW w:w="3654" w:type="dxa"/>
          </w:tcPr>
          <w:p w:rsidR="00EC6FBF" w:rsidRPr="0019616F" w:rsidRDefault="00EC6FBF" w:rsidP="00EC6FBF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19616F">
              <w:rPr>
                <w:lang w:val="fr-FR"/>
              </w:rPr>
              <w:t>ECE/TRANS/WP.15/AC.1/2017/23 (Allemagne)</w:t>
            </w:r>
          </w:p>
        </w:tc>
        <w:tc>
          <w:tcPr>
            <w:tcW w:w="4851" w:type="dxa"/>
          </w:tcPr>
          <w:p w:rsidR="00EC6FBF" w:rsidRPr="0019616F" w:rsidRDefault="00D61B35" w:rsidP="00C24C74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Interprétation du 7.5.1.2 du RID et de l’ADR et du 7.5.1.1 de l’ADR : équipements utilisés</w:t>
            </w:r>
          </w:p>
        </w:tc>
      </w:tr>
      <w:tr w:rsidR="0019616F" w:rsidRPr="0019616F" w:rsidTr="00C24C74">
        <w:trPr>
          <w:cantSplit/>
        </w:trPr>
        <w:tc>
          <w:tcPr>
            <w:tcW w:w="3654" w:type="dxa"/>
          </w:tcPr>
          <w:p w:rsidR="00EC6FBF" w:rsidRPr="0019616F" w:rsidRDefault="00EC6FBF" w:rsidP="00EC6FBF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19616F">
              <w:rPr>
                <w:lang w:val="fr-FR"/>
              </w:rPr>
              <w:t>ECE/TRANS/WP.15/AC.1/2017/24 (Roumanie)</w:t>
            </w:r>
          </w:p>
        </w:tc>
        <w:tc>
          <w:tcPr>
            <w:tcW w:w="4851" w:type="dxa"/>
          </w:tcPr>
          <w:p w:rsidR="00EC6FBF" w:rsidRPr="0019616F" w:rsidRDefault="00D61B35" w:rsidP="00C24C74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Interprétation de la définition de « transport » au 1.2.1</w:t>
            </w:r>
          </w:p>
        </w:tc>
      </w:tr>
      <w:tr w:rsidR="0019616F" w:rsidRPr="0019616F" w:rsidTr="00C24C74">
        <w:trPr>
          <w:cantSplit/>
        </w:trPr>
        <w:tc>
          <w:tcPr>
            <w:tcW w:w="3654" w:type="dxa"/>
          </w:tcPr>
          <w:p w:rsidR="00EC6FBF" w:rsidRPr="0019616F" w:rsidRDefault="00EC6FBF" w:rsidP="00C24C74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19616F">
              <w:rPr>
                <w:lang w:val="fr-FR"/>
              </w:rPr>
              <w:t>ECE/TRANS/WP.15/AC.1/2017/41 (France)</w:t>
            </w:r>
          </w:p>
        </w:tc>
        <w:tc>
          <w:tcPr>
            <w:tcW w:w="4851" w:type="dxa"/>
          </w:tcPr>
          <w:p w:rsidR="00EC6FBF" w:rsidRPr="0019616F" w:rsidRDefault="00EC6FBF" w:rsidP="00C24C74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19616F">
              <w:rPr>
                <w:lang w:val="fr-FR"/>
              </w:rPr>
              <w:t>Implications du 1.8.1 pour les autorités compétentes</w:t>
            </w:r>
          </w:p>
        </w:tc>
      </w:tr>
    </w:tbl>
    <w:p w:rsidR="002212DC" w:rsidRPr="00970314" w:rsidRDefault="002212DC" w:rsidP="00EC6FBF">
      <w:pPr>
        <w:pStyle w:val="HChG"/>
        <w:rPr>
          <w:lang w:val="fr-FR"/>
        </w:rPr>
      </w:pPr>
      <w:r w:rsidRPr="00970314">
        <w:rPr>
          <w:lang w:val="fr-FR"/>
        </w:rPr>
        <w:tab/>
        <w:t>7.</w:t>
      </w:r>
      <w:r w:rsidRPr="00970314">
        <w:rPr>
          <w:lang w:val="fr-FR"/>
        </w:rPr>
        <w:tab/>
      </w:r>
      <w:r w:rsidR="00EC6FBF" w:rsidRPr="00970314">
        <w:rPr>
          <w:lang w:val="fr-FR"/>
        </w:rPr>
        <w:t>Rapports des groupes de travail informels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EC6FBF" w:rsidRPr="00970314" w:rsidTr="00C24C74">
        <w:trPr>
          <w:cantSplit/>
        </w:trPr>
        <w:tc>
          <w:tcPr>
            <w:tcW w:w="3654" w:type="dxa"/>
          </w:tcPr>
          <w:p w:rsidR="00EC6FBF" w:rsidRPr="00970314" w:rsidRDefault="00EC6FBF" w:rsidP="00C24C74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ECE/TRANS/WP.15/AC.1/2017/33 (AEGPL)</w:t>
            </w:r>
          </w:p>
        </w:tc>
        <w:tc>
          <w:tcPr>
            <w:tcW w:w="4851" w:type="dxa"/>
          </w:tcPr>
          <w:p w:rsidR="00EC6FBF" w:rsidRPr="00970314" w:rsidRDefault="00D61B35" w:rsidP="00D61B3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fr-FR"/>
              </w:rPr>
            </w:pPr>
            <w:r w:rsidRPr="00D61B35">
              <w:rPr>
                <w:lang w:val="fr-FR"/>
              </w:rPr>
              <w:t xml:space="preserve">Rapport du </w:t>
            </w:r>
            <w:r w:rsidRPr="00D61B35">
              <w:rPr>
                <w:lang w:val="fr-FR" w:eastAsia="en-GB"/>
              </w:rPr>
              <w:t>groupe de travail informel sur les méthodes de substitution en matière de contrôle</w:t>
            </w:r>
            <w:r>
              <w:rPr>
                <w:lang w:val="fr-FR" w:eastAsia="en-GB"/>
              </w:rPr>
              <w:t xml:space="preserve"> </w:t>
            </w:r>
            <w:r w:rsidRPr="00D61B35">
              <w:rPr>
                <w:lang w:val="fr-FR" w:eastAsia="en-GB"/>
              </w:rPr>
              <w:t>périodique</w:t>
            </w:r>
            <w:r>
              <w:rPr>
                <w:lang w:val="fr-FR" w:eastAsia="en-GB"/>
              </w:rPr>
              <w:t> : méthodes de substitution pour le contrôle périodique des récipients à pression rechargeables</w:t>
            </w:r>
          </w:p>
        </w:tc>
      </w:tr>
      <w:tr w:rsidR="00EC6FBF" w:rsidRPr="00970314" w:rsidTr="00C24C74">
        <w:trPr>
          <w:cantSplit/>
        </w:trPr>
        <w:tc>
          <w:tcPr>
            <w:tcW w:w="3654" w:type="dxa"/>
          </w:tcPr>
          <w:p w:rsidR="00EC6FBF" w:rsidRPr="00970314" w:rsidRDefault="00EC6FBF" w:rsidP="00C24C74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ECE/TRANS/WP.15/AC.1/2017/42 (France)</w:t>
            </w:r>
          </w:p>
        </w:tc>
        <w:tc>
          <w:tcPr>
            <w:tcW w:w="4851" w:type="dxa"/>
          </w:tcPr>
          <w:p w:rsidR="00EC6FBF" w:rsidRPr="00970314" w:rsidRDefault="00EC6FBF" w:rsidP="00C24C74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Suivi des travaux du groupe de travail informel sur la réduction du risque de BLEVE</w:t>
            </w:r>
          </w:p>
        </w:tc>
      </w:tr>
    </w:tbl>
    <w:p w:rsidR="002212DC" w:rsidRPr="00970314" w:rsidRDefault="002212DC" w:rsidP="00EC6FBF">
      <w:pPr>
        <w:pStyle w:val="HChG"/>
        <w:rPr>
          <w:lang w:val="fr-FR"/>
        </w:rPr>
      </w:pPr>
      <w:r w:rsidRPr="00970314">
        <w:rPr>
          <w:lang w:val="fr-FR"/>
        </w:rPr>
        <w:tab/>
        <w:t>8.</w:t>
      </w:r>
      <w:r w:rsidRPr="00970314">
        <w:rPr>
          <w:lang w:val="fr-FR"/>
        </w:rPr>
        <w:tab/>
      </w:r>
      <w:r w:rsidR="00EC6FBF" w:rsidRPr="00970314">
        <w:rPr>
          <w:lang w:val="fr-FR"/>
        </w:rPr>
        <w:t>Accidents et gestion des risques</w:t>
      </w:r>
    </w:p>
    <w:p w:rsidR="002212DC" w:rsidRPr="00970314" w:rsidRDefault="00EC6FBF" w:rsidP="002212DC">
      <w:pPr>
        <w:spacing w:before="120" w:after="120"/>
        <w:ind w:left="1134" w:right="1134" w:firstLine="567"/>
        <w:jc w:val="both"/>
        <w:rPr>
          <w:lang w:val="fr-FR"/>
        </w:rPr>
      </w:pPr>
      <w:r w:rsidRPr="00970314">
        <w:rPr>
          <w:lang w:val="fr-FR"/>
        </w:rPr>
        <w:t xml:space="preserve">Aucun document n’a été soumis sous </w:t>
      </w:r>
      <w:r w:rsidR="00B71A6C">
        <w:rPr>
          <w:lang w:val="fr-FR"/>
        </w:rPr>
        <w:t>ce point de l’</w:t>
      </w:r>
      <w:r w:rsidRPr="00970314">
        <w:rPr>
          <w:lang w:val="fr-FR"/>
        </w:rPr>
        <w:t>ordre du jour.</w:t>
      </w:r>
    </w:p>
    <w:p w:rsidR="002212DC" w:rsidRPr="00970314" w:rsidRDefault="002212DC" w:rsidP="00BA62BB">
      <w:pPr>
        <w:pStyle w:val="HChG"/>
        <w:rPr>
          <w:lang w:val="fr-FR"/>
        </w:rPr>
      </w:pPr>
      <w:r w:rsidRPr="00970314">
        <w:rPr>
          <w:lang w:val="fr-FR"/>
        </w:rPr>
        <w:lastRenderedPageBreak/>
        <w:tab/>
        <w:t>9.</w:t>
      </w:r>
      <w:r w:rsidRPr="00970314">
        <w:rPr>
          <w:lang w:val="fr-FR"/>
        </w:rPr>
        <w:tab/>
      </w:r>
      <w:r w:rsidR="00EC6FBF" w:rsidRPr="00970314">
        <w:rPr>
          <w:lang w:val="fr-FR"/>
        </w:rPr>
        <w:t xml:space="preserve">Election </w:t>
      </w:r>
      <w:r w:rsidR="00BA62BB" w:rsidRPr="00970314">
        <w:rPr>
          <w:lang w:val="fr-FR"/>
        </w:rPr>
        <w:t>du bureau</w:t>
      </w:r>
      <w:r w:rsidR="00EC6FBF" w:rsidRPr="00970314">
        <w:rPr>
          <w:lang w:val="fr-FR"/>
        </w:rPr>
        <w:t xml:space="preserve"> pour 2018</w:t>
      </w:r>
      <w:r w:rsidRPr="00970314">
        <w:rPr>
          <w:lang w:val="fr-FR"/>
        </w:rPr>
        <w:t xml:space="preserve"> </w:t>
      </w:r>
    </w:p>
    <w:p w:rsidR="00BA62BB" w:rsidRPr="00970314" w:rsidRDefault="00BA62BB" w:rsidP="00BA62BB">
      <w:pPr>
        <w:pStyle w:val="HChG"/>
        <w:rPr>
          <w:lang w:val="fr-FR"/>
        </w:rPr>
      </w:pPr>
      <w:r w:rsidRPr="00970314">
        <w:rPr>
          <w:lang w:val="fr-FR"/>
        </w:rPr>
        <w:tab/>
        <w:t>10.</w:t>
      </w:r>
      <w:r w:rsidRPr="00970314">
        <w:rPr>
          <w:lang w:val="fr-FR"/>
        </w:rPr>
        <w:tab/>
        <w:t>Travaux futurs</w:t>
      </w:r>
    </w:p>
    <w:p w:rsidR="00BA62BB" w:rsidRPr="00970314" w:rsidRDefault="00BA62BB" w:rsidP="00BA62BB">
      <w:pPr>
        <w:spacing w:before="120" w:after="120"/>
        <w:ind w:left="1134" w:right="1134" w:firstLine="567"/>
        <w:jc w:val="both"/>
        <w:rPr>
          <w:lang w:val="fr-FR"/>
        </w:rPr>
      </w:pPr>
      <w:r w:rsidRPr="00970314">
        <w:rPr>
          <w:lang w:val="fr-FR"/>
        </w:rPr>
        <w:t>La Réunion commune souhaitera éventuellement prévoir l’organisation de l’ordre du jour pour la session de printemps 2018 (Berne, 12-16 mars 2018).</w:t>
      </w:r>
    </w:p>
    <w:p w:rsidR="00BA62BB" w:rsidRPr="00970314" w:rsidRDefault="00BA62BB" w:rsidP="00BA62BB">
      <w:pPr>
        <w:pStyle w:val="HChG"/>
        <w:rPr>
          <w:lang w:val="fr-FR"/>
        </w:rPr>
      </w:pPr>
      <w:r w:rsidRPr="00970314">
        <w:rPr>
          <w:lang w:val="fr-FR"/>
        </w:rPr>
        <w:tab/>
        <w:t xml:space="preserve">11. </w:t>
      </w:r>
      <w:r w:rsidRPr="00970314">
        <w:rPr>
          <w:lang w:val="fr-FR"/>
        </w:rPr>
        <w:tab/>
        <w:t>Questions diverses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BA62BB" w:rsidRPr="00970314" w:rsidTr="00C24C74">
        <w:trPr>
          <w:cantSplit/>
        </w:trPr>
        <w:tc>
          <w:tcPr>
            <w:tcW w:w="3654" w:type="dxa"/>
          </w:tcPr>
          <w:p w:rsidR="00BA62BB" w:rsidRPr="00970314" w:rsidRDefault="00BA62BB" w:rsidP="00C24C74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970314">
              <w:rPr>
                <w:lang w:val="fr-FR"/>
              </w:rPr>
              <w:t>ECE/TRANS/WP.15/AC.1/2017/34 (EIGA)</w:t>
            </w:r>
          </w:p>
        </w:tc>
        <w:tc>
          <w:tcPr>
            <w:tcW w:w="4851" w:type="dxa"/>
          </w:tcPr>
          <w:p w:rsidR="00BA62BB" w:rsidRPr="00970314" w:rsidRDefault="00D61B35" w:rsidP="00D61B35">
            <w:pPr>
              <w:pStyle w:val="SingleTxtG"/>
              <w:tabs>
                <w:tab w:val="left" w:pos="1187"/>
              </w:tabs>
              <w:ind w:left="0" w:right="176"/>
              <w:jc w:val="left"/>
              <w:rPr>
                <w:lang w:val="fr-FR"/>
              </w:rPr>
            </w:pPr>
            <w:r>
              <w:t>Transport de récipients à pression agréés par le Département des transports des Etats-Unis d’Amérique</w:t>
            </w:r>
            <w:r w:rsidRPr="00B66DF8">
              <w:t xml:space="preserve"> (DOT)</w:t>
            </w:r>
          </w:p>
        </w:tc>
      </w:tr>
    </w:tbl>
    <w:p w:rsidR="002212DC" w:rsidRPr="00970314" w:rsidRDefault="002212DC" w:rsidP="00EC6FB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970314">
        <w:rPr>
          <w:b/>
          <w:sz w:val="28"/>
          <w:lang w:val="fr-FR"/>
        </w:rPr>
        <w:tab/>
        <w:t>1</w:t>
      </w:r>
      <w:r w:rsidR="00EC6FBF" w:rsidRPr="00970314">
        <w:rPr>
          <w:b/>
          <w:sz w:val="28"/>
          <w:lang w:val="fr-FR"/>
        </w:rPr>
        <w:t>2</w:t>
      </w:r>
      <w:r w:rsidRPr="00970314">
        <w:rPr>
          <w:b/>
          <w:sz w:val="28"/>
          <w:lang w:val="fr-FR"/>
        </w:rPr>
        <w:t>.</w:t>
      </w:r>
      <w:r w:rsidRPr="00970314">
        <w:rPr>
          <w:b/>
          <w:sz w:val="28"/>
          <w:lang w:val="fr-FR"/>
        </w:rPr>
        <w:tab/>
        <w:t>Adoption du rapport</w:t>
      </w:r>
    </w:p>
    <w:p w:rsidR="002212DC" w:rsidRPr="00970314" w:rsidRDefault="002212DC" w:rsidP="002212DC">
      <w:pPr>
        <w:spacing w:after="120"/>
        <w:ind w:left="1134" w:right="1134" w:firstLine="561"/>
        <w:jc w:val="both"/>
        <w:rPr>
          <w:u w:val="single"/>
          <w:lang w:val="fr-FR"/>
        </w:rPr>
      </w:pPr>
      <w:r w:rsidRPr="00970314">
        <w:rPr>
          <w:lang w:val="fr-FR"/>
        </w:rPr>
        <w:t>Conformément à l’usage, la Réunion commune adoptera le rapport de sa session sur la base d’un projet établi par le secrétariat.</w:t>
      </w:r>
    </w:p>
    <w:p w:rsidR="002212DC" w:rsidRPr="00970314" w:rsidRDefault="002212DC" w:rsidP="002212DC">
      <w:pPr>
        <w:spacing w:before="240"/>
        <w:ind w:left="1134" w:right="1134"/>
        <w:jc w:val="center"/>
        <w:rPr>
          <w:u w:val="single"/>
          <w:lang w:val="fr-FR"/>
        </w:rPr>
      </w:pPr>
      <w:r w:rsidRPr="00970314">
        <w:rPr>
          <w:u w:val="single"/>
          <w:lang w:val="fr-FR"/>
        </w:rPr>
        <w:tab/>
      </w:r>
      <w:r w:rsidRPr="00970314">
        <w:rPr>
          <w:u w:val="single"/>
          <w:lang w:val="fr-FR"/>
        </w:rPr>
        <w:tab/>
      </w:r>
      <w:r w:rsidRPr="00970314">
        <w:rPr>
          <w:u w:val="single"/>
          <w:lang w:val="fr-FR"/>
        </w:rPr>
        <w:tab/>
      </w:r>
    </w:p>
    <w:p w:rsidR="002212DC" w:rsidRPr="00970314" w:rsidRDefault="002212DC" w:rsidP="00B93E72">
      <w:pPr>
        <w:rPr>
          <w:lang w:val="fr-FR"/>
        </w:rPr>
      </w:pPr>
    </w:p>
    <w:sectPr w:rsidR="002212DC" w:rsidRPr="00970314" w:rsidSect="002212D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DC" w:rsidRDefault="002212DC"/>
  </w:endnote>
  <w:endnote w:type="continuationSeparator" w:id="0">
    <w:p w:rsidR="002212DC" w:rsidRDefault="002212DC"/>
  </w:endnote>
  <w:endnote w:type="continuationNotice" w:id="1">
    <w:p w:rsidR="002212DC" w:rsidRDefault="00221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DC" w:rsidRPr="002212DC" w:rsidRDefault="002212DC" w:rsidP="002212DC">
    <w:pPr>
      <w:pStyle w:val="Footer"/>
      <w:tabs>
        <w:tab w:val="right" w:pos="9638"/>
      </w:tabs>
      <w:rPr>
        <w:sz w:val="18"/>
      </w:rPr>
    </w:pPr>
    <w:r w:rsidRPr="002212DC">
      <w:rPr>
        <w:b/>
        <w:sz w:val="18"/>
      </w:rPr>
      <w:fldChar w:fldCharType="begin"/>
    </w:r>
    <w:r w:rsidRPr="002212DC">
      <w:rPr>
        <w:b/>
        <w:sz w:val="18"/>
      </w:rPr>
      <w:instrText xml:space="preserve"> PAGE  \* MERGEFORMAT </w:instrText>
    </w:r>
    <w:r w:rsidRPr="002212DC">
      <w:rPr>
        <w:b/>
        <w:sz w:val="18"/>
      </w:rPr>
      <w:fldChar w:fldCharType="separate"/>
    </w:r>
    <w:r w:rsidR="008603AD">
      <w:rPr>
        <w:b/>
        <w:noProof/>
        <w:sz w:val="18"/>
      </w:rPr>
      <w:t>2</w:t>
    </w:r>
    <w:r w:rsidRPr="002212D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3B7" w:rsidRPr="002212DC" w:rsidRDefault="002212DC" w:rsidP="002212DC">
    <w:pPr>
      <w:pStyle w:val="Footer"/>
      <w:tabs>
        <w:tab w:val="right" w:pos="9638"/>
      </w:tabs>
      <w:rPr>
        <w:sz w:val="18"/>
      </w:rPr>
    </w:pPr>
    <w:r>
      <w:tab/>
    </w:r>
    <w:r w:rsidRPr="002212DC">
      <w:rPr>
        <w:b/>
        <w:sz w:val="18"/>
      </w:rPr>
      <w:fldChar w:fldCharType="begin"/>
    </w:r>
    <w:r w:rsidRPr="002212DC">
      <w:rPr>
        <w:b/>
        <w:sz w:val="18"/>
      </w:rPr>
      <w:instrText xml:space="preserve"> PAGE  \* MERGEFORMAT </w:instrText>
    </w:r>
    <w:r w:rsidRPr="002212DC">
      <w:rPr>
        <w:b/>
        <w:sz w:val="18"/>
      </w:rPr>
      <w:fldChar w:fldCharType="separate"/>
    </w:r>
    <w:r w:rsidR="008603AD">
      <w:rPr>
        <w:b/>
        <w:noProof/>
        <w:sz w:val="18"/>
      </w:rPr>
      <w:t>3</w:t>
    </w:r>
    <w:r w:rsidRPr="002212D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DC" w:rsidRPr="00D27D5E" w:rsidRDefault="002212D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12DC" w:rsidRPr="00A80554" w:rsidRDefault="002212DC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2212DC" w:rsidRDefault="00221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DC" w:rsidRPr="002212DC" w:rsidRDefault="002212DC">
    <w:pPr>
      <w:pStyle w:val="Header"/>
    </w:pPr>
    <w:r>
      <w:t>ECE/TRANS/WP.15/AC.1/147/Add.1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DC" w:rsidRPr="002212DC" w:rsidRDefault="002212DC" w:rsidP="002212DC">
    <w:pPr>
      <w:pStyle w:val="Header"/>
      <w:jc w:val="right"/>
    </w:pPr>
    <w:r>
      <w:t>ECE/TRANS/WP.15/AC.1/147/Add.1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DC"/>
    <w:rsid w:val="00016AC5"/>
    <w:rsid w:val="00030ADE"/>
    <w:rsid w:val="000312C0"/>
    <w:rsid w:val="000964C7"/>
    <w:rsid w:val="000B34CA"/>
    <w:rsid w:val="000F41F2"/>
    <w:rsid w:val="00135C0D"/>
    <w:rsid w:val="00154636"/>
    <w:rsid w:val="00160540"/>
    <w:rsid w:val="0017182C"/>
    <w:rsid w:val="00177007"/>
    <w:rsid w:val="00186EE9"/>
    <w:rsid w:val="00192EEB"/>
    <w:rsid w:val="0019616F"/>
    <w:rsid w:val="001A20FB"/>
    <w:rsid w:val="001B22BE"/>
    <w:rsid w:val="001B6F40"/>
    <w:rsid w:val="001D7F8A"/>
    <w:rsid w:val="001E3FEB"/>
    <w:rsid w:val="001E4A02"/>
    <w:rsid w:val="002212DC"/>
    <w:rsid w:val="00223B89"/>
    <w:rsid w:val="00225A8C"/>
    <w:rsid w:val="00232C61"/>
    <w:rsid w:val="002659F1"/>
    <w:rsid w:val="00271C7C"/>
    <w:rsid w:val="00287E79"/>
    <w:rsid w:val="002928F9"/>
    <w:rsid w:val="002A5D07"/>
    <w:rsid w:val="003016B7"/>
    <w:rsid w:val="00330F9C"/>
    <w:rsid w:val="00340C35"/>
    <w:rsid w:val="003515AA"/>
    <w:rsid w:val="00367E6A"/>
    <w:rsid w:val="00370E0F"/>
    <w:rsid w:val="00374106"/>
    <w:rsid w:val="003976D5"/>
    <w:rsid w:val="003D1DF3"/>
    <w:rsid w:val="003D46A7"/>
    <w:rsid w:val="003D6C68"/>
    <w:rsid w:val="003D76E4"/>
    <w:rsid w:val="003D7AF7"/>
    <w:rsid w:val="00414425"/>
    <w:rsid w:val="004159D0"/>
    <w:rsid w:val="004249E7"/>
    <w:rsid w:val="00426DA1"/>
    <w:rsid w:val="00434168"/>
    <w:rsid w:val="00470824"/>
    <w:rsid w:val="00497A70"/>
    <w:rsid w:val="004D53B7"/>
    <w:rsid w:val="00543D5E"/>
    <w:rsid w:val="00571F41"/>
    <w:rsid w:val="0059410B"/>
    <w:rsid w:val="00595BE4"/>
    <w:rsid w:val="005B738F"/>
    <w:rsid w:val="005B76A3"/>
    <w:rsid w:val="005E5D1F"/>
    <w:rsid w:val="00603391"/>
    <w:rsid w:val="006049FD"/>
    <w:rsid w:val="00611D43"/>
    <w:rsid w:val="00612D48"/>
    <w:rsid w:val="00616B45"/>
    <w:rsid w:val="00630D9B"/>
    <w:rsid w:val="00631953"/>
    <w:rsid w:val="006439EC"/>
    <w:rsid w:val="006A047B"/>
    <w:rsid w:val="006B4590"/>
    <w:rsid w:val="006C340C"/>
    <w:rsid w:val="006E5FC7"/>
    <w:rsid w:val="0070347C"/>
    <w:rsid w:val="007176C1"/>
    <w:rsid w:val="00783F37"/>
    <w:rsid w:val="00790F2F"/>
    <w:rsid w:val="007A6076"/>
    <w:rsid w:val="007F2546"/>
    <w:rsid w:val="007F55CB"/>
    <w:rsid w:val="00812C1A"/>
    <w:rsid w:val="008317F6"/>
    <w:rsid w:val="00844750"/>
    <w:rsid w:val="008603AD"/>
    <w:rsid w:val="008B44C4"/>
    <w:rsid w:val="008B7879"/>
    <w:rsid w:val="008C2211"/>
    <w:rsid w:val="008D3919"/>
    <w:rsid w:val="008E7FAE"/>
    <w:rsid w:val="00911BF7"/>
    <w:rsid w:val="00926E87"/>
    <w:rsid w:val="00952FDB"/>
    <w:rsid w:val="00970314"/>
    <w:rsid w:val="00977EC8"/>
    <w:rsid w:val="009B18A3"/>
    <w:rsid w:val="009D3A8C"/>
    <w:rsid w:val="009E01B8"/>
    <w:rsid w:val="009E7956"/>
    <w:rsid w:val="009F3A24"/>
    <w:rsid w:val="00A1547F"/>
    <w:rsid w:val="00A2492E"/>
    <w:rsid w:val="00A31F07"/>
    <w:rsid w:val="00A41235"/>
    <w:rsid w:val="00A70163"/>
    <w:rsid w:val="00A80554"/>
    <w:rsid w:val="00A82196"/>
    <w:rsid w:val="00AA72C3"/>
    <w:rsid w:val="00AB24BD"/>
    <w:rsid w:val="00AC67A1"/>
    <w:rsid w:val="00AC7977"/>
    <w:rsid w:val="00AE352C"/>
    <w:rsid w:val="00B32E2D"/>
    <w:rsid w:val="00B4466B"/>
    <w:rsid w:val="00B61990"/>
    <w:rsid w:val="00B6602A"/>
    <w:rsid w:val="00B71A6C"/>
    <w:rsid w:val="00B85D99"/>
    <w:rsid w:val="00B93E72"/>
    <w:rsid w:val="00B94939"/>
    <w:rsid w:val="00BA62BB"/>
    <w:rsid w:val="00BF0556"/>
    <w:rsid w:val="00BF06B0"/>
    <w:rsid w:val="00C24B53"/>
    <w:rsid w:val="00C261F8"/>
    <w:rsid w:val="00C33100"/>
    <w:rsid w:val="00C7162F"/>
    <w:rsid w:val="00C940E9"/>
    <w:rsid w:val="00CB6267"/>
    <w:rsid w:val="00CD1A71"/>
    <w:rsid w:val="00CD1FBB"/>
    <w:rsid w:val="00D016B5"/>
    <w:rsid w:val="00D034F1"/>
    <w:rsid w:val="00D11B17"/>
    <w:rsid w:val="00D27D5E"/>
    <w:rsid w:val="00D60301"/>
    <w:rsid w:val="00D61B35"/>
    <w:rsid w:val="00DA57D4"/>
    <w:rsid w:val="00DB4793"/>
    <w:rsid w:val="00DC09F5"/>
    <w:rsid w:val="00DE01E3"/>
    <w:rsid w:val="00DE6D90"/>
    <w:rsid w:val="00DF002F"/>
    <w:rsid w:val="00E0244D"/>
    <w:rsid w:val="00E55D71"/>
    <w:rsid w:val="00E81E94"/>
    <w:rsid w:val="00E82607"/>
    <w:rsid w:val="00EA31C2"/>
    <w:rsid w:val="00EC6FBF"/>
    <w:rsid w:val="00EE2EA3"/>
    <w:rsid w:val="00F01516"/>
    <w:rsid w:val="00F57129"/>
    <w:rsid w:val="00FA2052"/>
    <w:rsid w:val="00FA5A79"/>
    <w:rsid w:val="00FA6422"/>
    <w:rsid w:val="00FB00CB"/>
    <w:rsid w:val="00FB0BFE"/>
    <w:rsid w:val="00FB4C51"/>
    <w:rsid w:val="00FD6D8A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C9B19C9"/>
  <w15:docId w15:val="{97C5036F-E237-4C9B-B7CB-4693562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basedOn w:val="DefaultParagraphFont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0964C7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0964C7"/>
    <w:rPr>
      <w:color w:val="auto"/>
      <w:u w:val="none"/>
    </w:rPr>
  </w:style>
  <w:style w:type="character" w:customStyle="1" w:styleId="HChGChar">
    <w:name w:val="_ H _Ch_G Char"/>
    <w:link w:val="HChG"/>
    <w:rsid w:val="002212DC"/>
    <w:rPr>
      <w:b/>
      <w:sz w:val="28"/>
      <w:lang w:val="fr-CH" w:eastAsia="en-US"/>
    </w:rPr>
  </w:style>
  <w:style w:type="character" w:customStyle="1" w:styleId="SingleTxtGCar">
    <w:name w:val="_ Single Txt_G Car"/>
    <w:link w:val="SingleTxtG"/>
    <w:rsid w:val="002212DC"/>
    <w:rPr>
      <w:lang w:val="fr-CH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A6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danger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ri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200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Editorial</dc:creator>
  <cp:lastModifiedBy>UNECE SM</cp:lastModifiedBy>
  <cp:revision>16</cp:revision>
  <cp:lastPrinted>2017-07-10T09:59:00Z</cp:lastPrinted>
  <dcterms:created xsi:type="dcterms:W3CDTF">2017-07-07T12:00:00Z</dcterms:created>
  <dcterms:modified xsi:type="dcterms:W3CDTF">2017-07-12T08:29:00Z</dcterms:modified>
</cp:coreProperties>
</file>