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73" w:rsidRDefault="00B3602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52473" w:rsidRDefault="00B3602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52473" w:rsidRDefault="00B3602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52473" w:rsidRDefault="00B3602D">
      <w:pPr>
        <w:rPr>
          <w:b/>
        </w:rPr>
      </w:pPr>
      <w:r>
        <w:rPr>
          <w:b/>
        </w:rPr>
        <w:t>Joint Meeting of the RID Committee of Experts and the</w:t>
      </w:r>
    </w:p>
    <w:p w:rsidR="00152473" w:rsidRDefault="00B3602D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38B5">
        <w:rPr>
          <w:b/>
        </w:rPr>
        <w:t>2</w:t>
      </w:r>
      <w:r w:rsidR="00DD14BE" w:rsidRPr="00DD14BE">
        <w:rPr>
          <w:b/>
        </w:rPr>
        <w:t>5</w:t>
      </w:r>
      <w:r w:rsidR="002976EF">
        <w:rPr>
          <w:b/>
        </w:rPr>
        <w:t>.</w:t>
      </w:r>
      <w:r w:rsidR="00904BF4" w:rsidRPr="00DD14BE">
        <w:rPr>
          <w:b/>
        </w:rPr>
        <w:t xml:space="preserve"> September</w:t>
      </w:r>
      <w:r w:rsidRPr="00DD14BE">
        <w:rPr>
          <w:b/>
        </w:rPr>
        <w:t xml:space="preserve"> 2017</w:t>
      </w:r>
    </w:p>
    <w:p w:rsidR="00152473" w:rsidRDefault="00B3602D">
      <w:r>
        <w:t>Geneva, 19–29 September 2017</w:t>
      </w:r>
    </w:p>
    <w:p w:rsidR="000A5D9A" w:rsidRDefault="000A5D9A" w:rsidP="000A5D9A">
      <w:r>
        <w:t>Item 4 of the provisional agenda</w:t>
      </w:r>
    </w:p>
    <w:p w:rsidR="000A5D9A" w:rsidRPr="00E610C2" w:rsidRDefault="000A5D9A" w:rsidP="000A5D9A">
      <w:pPr>
        <w:pStyle w:val="SingleTxtG"/>
        <w:spacing w:after="0" w:line="216" w:lineRule="auto"/>
        <w:ind w:left="0"/>
        <w:jc w:val="left"/>
        <w:rPr>
          <w:b/>
        </w:rPr>
      </w:pPr>
      <w:r w:rsidRPr="00E610C2">
        <w:rPr>
          <w:b/>
        </w:rPr>
        <w:t xml:space="preserve">Harmonization with the United Nations </w:t>
      </w:r>
    </w:p>
    <w:p w:rsidR="00152473" w:rsidRPr="00E610C2" w:rsidRDefault="000A5D9A" w:rsidP="000A5D9A">
      <w:pPr>
        <w:rPr>
          <w:b/>
        </w:rPr>
      </w:pPr>
      <w:r>
        <w:rPr>
          <w:b/>
        </w:rPr>
        <w:t>R</w:t>
      </w:r>
      <w:r w:rsidRPr="00E610C2">
        <w:rPr>
          <w:b/>
        </w:rPr>
        <w:t>ecommendations on t</w:t>
      </w:r>
      <w:r>
        <w:rPr>
          <w:b/>
        </w:rPr>
        <w:t>he Transport of Dangerous Goods</w:t>
      </w:r>
    </w:p>
    <w:p w:rsidR="001E44B6" w:rsidRDefault="004A0C00" w:rsidP="000A5D9A">
      <w:pPr>
        <w:pStyle w:val="HChG"/>
        <w:rPr>
          <w:sz w:val="20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  <w:t xml:space="preserve">Disposition </w:t>
      </w:r>
      <w:proofErr w:type="spellStart"/>
      <w:r>
        <w:rPr>
          <w:lang w:val="en-US" w:eastAsia="en-GB"/>
        </w:rPr>
        <w:t>spéciale</w:t>
      </w:r>
      <w:proofErr w:type="spellEnd"/>
      <w:r w:rsidR="000A5D9A">
        <w:rPr>
          <w:lang w:val="en-US" w:eastAsia="en-GB"/>
        </w:rPr>
        <w:t xml:space="preserve"> 671</w:t>
      </w:r>
    </w:p>
    <w:p w:rsidR="00E610C2" w:rsidRDefault="001E44B6" w:rsidP="00DD14BE">
      <w:pPr>
        <w:pStyle w:val="H1G"/>
      </w:pPr>
      <w:r>
        <w:rPr>
          <w:sz w:val="20"/>
        </w:rPr>
        <w:tab/>
      </w:r>
      <w:r>
        <w:rPr>
          <w:sz w:val="20"/>
        </w:rPr>
        <w:tab/>
      </w:r>
      <w:r>
        <w:t>T</w:t>
      </w:r>
      <w:r w:rsidR="00904BF4">
        <w:t xml:space="preserve">ransmitted by the Government of </w:t>
      </w:r>
      <w:r w:rsidR="00286042">
        <w:t>Belgium</w:t>
      </w:r>
      <w:bookmarkStart w:id="0" w:name="_GoBack"/>
      <w:bookmarkEnd w:id="0"/>
    </w:p>
    <w:p w:rsidR="00286042" w:rsidRPr="00154472" w:rsidRDefault="00E610C2" w:rsidP="00286042">
      <w:pPr>
        <w:pStyle w:val="SingleTxtG"/>
        <w:rPr>
          <w:lang w:val="fr-FR"/>
        </w:rPr>
      </w:pPr>
      <w:r w:rsidRPr="00BC2288">
        <w:tab/>
      </w:r>
      <w:r w:rsidR="00286042" w:rsidRPr="00154472">
        <w:rPr>
          <w:lang w:val="fr-FR"/>
        </w:rPr>
        <w:t xml:space="preserve">[Option </w:t>
      </w:r>
      <w:r w:rsidR="00286042">
        <w:rPr>
          <w:lang w:val="fr-FR"/>
        </w:rPr>
        <w:t>3:]</w:t>
      </w:r>
      <w:r w:rsidR="00286042" w:rsidRPr="00154472">
        <w:rPr>
          <w:lang w:val="fr-FR"/>
        </w:rPr>
        <w:t>« 671</w:t>
      </w:r>
      <w:r w:rsidR="00286042" w:rsidRPr="00154472">
        <w:rPr>
          <w:lang w:val="fr-FR"/>
        </w:rPr>
        <w:tab/>
        <w:t>Aux fins de la quantité totale maximale admissible par wagon ou grand conteneur / Aux fins des exemptions liées aux quantités transportées par unité de transport (voir 1.1.3.6</w:t>
      </w:r>
      <w:r w:rsidR="00286042">
        <w:rPr>
          <w:lang w:val="fr-FR"/>
        </w:rPr>
        <w:t>), la catégorie de transport doit être déterminée en fonction du groupe d’emballage (voir  troisième paragraphe de la disposition spéciale 251)</w:t>
      </w:r>
      <w:r w:rsidR="00286042" w:rsidRPr="00154472">
        <w:rPr>
          <w:lang w:val="fr-FR"/>
        </w:rPr>
        <w:t> :</w:t>
      </w:r>
    </w:p>
    <w:p w:rsidR="00286042" w:rsidRPr="00154472" w:rsidRDefault="00286042" w:rsidP="00286042">
      <w:pPr>
        <w:pStyle w:val="SingleTxtG"/>
        <w:rPr>
          <w:lang w:val="fr-FR"/>
        </w:rPr>
      </w:pPr>
      <w:r w:rsidRPr="00154472">
        <w:rPr>
          <w:lang w:val="fr-FR"/>
        </w:rPr>
        <w:t>-</w:t>
      </w:r>
      <w:r w:rsidRPr="00154472">
        <w:rPr>
          <w:lang w:val="fr-FR"/>
        </w:rPr>
        <w:tab/>
      </w:r>
      <w:r>
        <w:rPr>
          <w:lang w:val="fr-FR"/>
        </w:rPr>
        <w:t xml:space="preserve">catégorie de transport </w:t>
      </w:r>
      <w:r w:rsidRPr="00154472">
        <w:rPr>
          <w:lang w:val="fr-FR"/>
        </w:rPr>
        <w:t xml:space="preserve">3 pour les trousses </w:t>
      </w:r>
      <w:r>
        <w:rPr>
          <w:lang w:val="fr-FR"/>
        </w:rPr>
        <w:t>assignées au groupe d’emballage III</w:t>
      </w:r>
      <w:r w:rsidRPr="00154472">
        <w:rPr>
          <w:lang w:val="fr-FR"/>
        </w:rPr>
        <w:t> ;</w:t>
      </w:r>
    </w:p>
    <w:p w:rsidR="00286042" w:rsidRDefault="00286042" w:rsidP="00286042">
      <w:pPr>
        <w:pStyle w:val="SingleTxtG"/>
        <w:rPr>
          <w:lang w:val="fr-FR"/>
        </w:rPr>
      </w:pPr>
      <w:r w:rsidRPr="00154472">
        <w:rPr>
          <w:lang w:val="fr-FR"/>
        </w:rPr>
        <w:t>-</w:t>
      </w:r>
      <w:r w:rsidRPr="00154472">
        <w:rPr>
          <w:lang w:val="fr-FR"/>
        </w:rPr>
        <w:tab/>
      </w:r>
      <w:r>
        <w:rPr>
          <w:lang w:val="fr-FR"/>
        </w:rPr>
        <w:t>catégorie de transport 2</w:t>
      </w:r>
      <w:r w:rsidRPr="00154472">
        <w:rPr>
          <w:lang w:val="fr-FR"/>
        </w:rPr>
        <w:t xml:space="preserve">  pour les trousses </w:t>
      </w:r>
      <w:r>
        <w:rPr>
          <w:lang w:val="fr-FR"/>
        </w:rPr>
        <w:t>assignées au groupe d’emballage II</w:t>
      </w:r>
      <w:r w:rsidRPr="00154472">
        <w:rPr>
          <w:lang w:val="fr-FR"/>
        </w:rPr>
        <w:t> ;</w:t>
      </w:r>
    </w:p>
    <w:p w:rsidR="00286042" w:rsidRDefault="00286042" w:rsidP="00286042">
      <w:pPr>
        <w:pStyle w:val="SingleTxtG"/>
        <w:rPr>
          <w:lang w:val="fr-FR"/>
        </w:rPr>
      </w:pPr>
      <w:r>
        <w:rPr>
          <w:lang w:val="fr-FR"/>
        </w:rPr>
        <w:t>-  catégorie de transport 1</w:t>
      </w:r>
      <w:r w:rsidRPr="00154472">
        <w:rPr>
          <w:lang w:val="fr-FR"/>
        </w:rPr>
        <w:t xml:space="preserve">  pour les trousses </w:t>
      </w:r>
      <w:r>
        <w:rPr>
          <w:lang w:val="fr-FR"/>
        </w:rPr>
        <w:t>assignées au groupe d’emballage I</w:t>
      </w:r>
      <w:r w:rsidRPr="00154472">
        <w:rPr>
          <w:lang w:val="fr-FR"/>
        </w:rPr>
        <w:t> ;</w:t>
      </w:r>
    </w:p>
    <w:p w:rsidR="00286042" w:rsidRDefault="00286042" w:rsidP="00286042">
      <w:pPr>
        <w:pStyle w:val="SingleTxtG"/>
        <w:rPr>
          <w:lang w:val="fr-FR"/>
        </w:rPr>
      </w:pPr>
    </w:p>
    <w:p w:rsidR="00286042" w:rsidRPr="00DD4A38" w:rsidRDefault="00286042" w:rsidP="00286042">
      <w:pPr>
        <w:pStyle w:val="SingleTxtG"/>
        <w:rPr>
          <w:lang w:val="en-US"/>
        </w:rPr>
      </w:pPr>
      <w:r w:rsidRPr="00DD4A38">
        <w:rPr>
          <w:lang w:val="en-US"/>
        </w:rPr>
        <w:t xml:space="preserve">[Option </w:t>
      </w:r>
      <w:r>
        <w:rPr>
          <w:lang w:val="en-US"/>
        </w:rPr>
        <w:t>3</w:t>
      </w:r>
      <w:r w:rsidRPr="00DD4A38">
        <w:rPr>
          <w:lang w:val="en-US"/>
        </w:rPr>
        <w:t>:][“671</w:t>
      </w:r>
      <w:r w:rsidRPr="00DD4A38">
        <w:rPr>
          <w:lang w:val="en-US"/>
        </w:rPr>
        <w:tab/>
        <w:t xml:space="preserve">For the purposes of the total maximum permissible quantity per wagon or large container / exemption related to quantities carried per transport unit (see 1.1.3.6), the transport category </w:t>
      </w:r>
      <w:r>
        <w:rPr>
          <w:lang w:val="en-US"/>
        </w:rPr>
        <w:t>shall be determined  in relation to the packing group (see paragraph 3 of special provision 251)</w:t>
      </w:r>
      <w:r w:rsidRPr="00DD4A38">
        <w:rPr>
          <w:lang w:val="en-US"/>
        </w:rPr>
        <w:t>:</w:t>
      </w:r>
    </w:p>
    <w:p w:rsidR="00286042" w:rsidRPr="00DD4A38" w:rsidRDefault="00286042" w:rsidP="00286042">
      <w:pPr>
        <w:pStyle w:val="SingleTxtG"/>
        <w:rPr>
          <w:lang w:val="en-US"/>
        </w:rPr>
      </w:pPr>
      <w:r w:rsidRPr="00DD4A38">
        <w:rPr>
          <w:lang w:val="en-US"/>
        </w:rPr>
        <w:t xml:space="preserve">- </w:t>
      </w:r>
      <w:r w:rsidRPr="00DD4A38">
        <w:rPr>
          <w:lang w:val="en-US"/>
        </w:rPr>
        <w:tab/>
        <w:t xml:space="preserve">transport category 3 for kits </w:t>
      </w:r>
      <w:r>
        <w:rPr>
          <w:lang w:val="en-US"/>
        </w:rPr>
        <w:t>assigned to packing group III</w:t>
      </w:r>
      <w:r w:rsidRPr="00DD4A38">
        <w:rPr>
          <w:lang w:val="en-US"/>
        </w:rPr>
        <w:t>;</w:t>
      </w:r>
    </w:p>
    <w:p w:rsidR="00286042" w:rsidRDefault="00286042" w:rsidP="00286042">
      <w:pPr>
        <w:pStyle w:val="SingleTxtG"/>
        <w:rPr>
          <w:lang w:val="en-US"/>
        </w:rPr>
      </w:pPr>
      <w:r w:rsidRPr="00DD4A38">
        <w:rPr>
          <w:lang w:val="en-US"/>
        </w:rPr>
        <w:t>-</w:t>
      </w:r>
      <w:r w:rsidRPr="00DD4A38">
        <w:rPr>
          <w:lang w:val="en-US"/>
        </w:rPr>
        <w:tab/>
        <w:t xml:space="preserve">transport category 2 for kits </w:t>
      </w:r>
      <w:r>
        <w:rPr>
          <w:lang w:val="en-US"/>
        </w:rPr>
        <w:t>assigned to packing group II</w:t>
      </w:r>
      <w:r w:rsidRPr="00DD4A38">
        <w:rPr>
          <w:lang w:val="en-US"/>
        </w:rPr>
        <w:t>;</w:t>
      </w:r>
    </w:p>
    <w:p w:rsidR="00286042" w:rsidRDefault="000A5D9A" w:rsidP="00286042">
      <w:pPr>
        <w:pStyle w:val="SingleTxtG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286042" w:rsidRPr="00DD4A38">
        <w:rPr>
          <w:lang w:val="en-US"/>
        </w:rPr>
        <w:t>transport category</w:t>
      </w:r>
      <w:r w:rsidR="00286042">
        <w:rPr>
          <w:lang w:val="en-US"/>
        </w:rPr>
        <w:t xml:space="preserve"> 1</w:t>
      </w:r>
      <w:r w:rsidR="00286042" w:rsidRPr="00DD4A38">
        <w:rPr>
          <w:lang w:val="en-US"/>
        </w:rPr>
        <w:t xml:space="preserve"> for kits </w:t>
      </w:r>
      <w:r w:rsidR="00286042">
        <w:rPr>
          <w:lang w:val="en-US"/>
        </w:rPr>
        <w:t>assigned to packing group I</w:t>
      </w:r>
      <w:r w:rsidR="00286042" w:rsidRPr="00DD4A38">
        <w:rPr>
          <w:lang w:val="en-US"/>
        </w:rPr>
        <w:t>;</w:t>
      </w:r>
    </w:p>
    <w:p w:rsidR="00286042" w:rsidRPr="00286042" w:rsidRDefault="00286042" w:rsidP="00286042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286042" w:rsidRPr="00286042" w:rsidSect="00C34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701" w:right="1134" w:bottom="993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A4" w:rsidRDefault="00593BA4">
      <w:pPr>
        <w:spacing w:line="240" w:lineRule="auto"/>
      </w:pPr>
      <w:r>
        <w:separator/>
      </w:r>
    </w:p>
  </w:endnote>
  <w:endnote w:type="continuationSeparator" w:id="0">
    <w:p w:rsidR="00593BA4" w:rsidRDefault="00593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33226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B1" w:rsidRPr="00E023B1" w:rsidRDefault="00D668B3">
        <w:pPr>
          <w:pStyle w:val="Footer"/>
          <w:rPr>
            <w:sz w:val="18"/>
            <w:szCs w:val="18"/>
          </w:rPr>
        </w:pPr>
        <w:r w:rsidRPr="00BE3581">
          <w:rPr>
            <w:b/>
            <w:sz w:val="18"/>
            <w:szCs w:val="18"/>
          </w:rPr>
          <w:fldChar w:fldCharType="begin"/>
        </w:r>
        <w:r w:rsidR="00E023B1" w:rsidRPr="00BE3581">
          <w:rPr>
            <w:b/>
            <w:sz w:val="18"/>
            <w:szCs w:val="18"/>
          </w:rPr>
          <w:instrText xml:space="preserve"> PAGE   \* MERGEFORMAT </w:instrText>
        </w:r>
        <w:r w:rsidRPr="00BE3581">
          <w:rPr>
            <w:b/>
            <w:sz w:val="18"/>
            <w:szCs w:val="18"/>
          </w:rPr>
          <w:fldChar w:fldCharType="separate"/>
        </w:r>
        <w:r w:rsidR="00286042">
          <w:rPr>
            <w:b/>
            <w:noProof/>
            <w:sz w:val="18"/>
            <w:szCs w:val="18"/>
          </w:rPr>
          <w:t>2</w:t>
        </w:r>
        <w:r w:rsidRPr="00BE358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1164359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B1" w:rsidRPr="00E023B1" w:rsidRDefault="00D668B3">
        <w:pPr>
          <w:pStyle w:val="Footer"/>
          <w:jc w:val="right"/>
          <w:rPr>
            <w:b/>
            <w:sz w:val="18"/>
            <w:szCs w:val="18"/>
          </w:rPr>
        </w:pPr>
        <w:r w:rsidRPr="00E023B1">
          <w:rPr>
            <w:b/>
            <w:sz w:val="18"/>
            <w:szCs w:val="18"/>
          </w:rPr>
          <w:fldChar w:fldCharType="begin"/>
        </w:r>
        <w:r w:rsidR="00E023B1" w:rsidRPr="00E023B1">
          <w:rPr>
            <w:b/>
            <w:sz w:val="18"/>
            <w:szCs w:val="18"/>
          </w:rPr>
          <w:instrText xml:space="preserve"> PAGE   \* MERGEFORMAT </w:instrText>
        </w:r>
        <w:r w:rsidRPr="00E023B1">
          <w:rPr>
            <w:b/>
            <w:sz w:val="18"/>
            <w:szCs w:val="18"/>
          </w:rPr>
          <w:fldChar w:fldCharType="separate"/>
        </w:r>
        <w:r w:rsidR="00437911">
          <w:rPr>
            <w:b/>
            <w:noProof/>
            <w:sz w:val="18"/>
            <w:szCs w:val="18"/>
          </w:rPr>
          <w:t>3</w:t>
        </w:r>
        <w:r w:rsidRPr="00E023B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A4" w:rsidRDefault="00593BA4">
      <w:r>
        <w:separator/>
      </w:r>
    </w:p>
  </w:footnote>
  <w:footnote w:type="continuationSeparator" w:id="0">
    <w:p w:rsidR="00593BA4" w:rsidRDefault="0059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B1" w:rsidRPr="00E023B1" w:rsidRDefault="001E44B6" w:rsidP="00E023B1">
    <w:pPr>
      <w:pStyle w:val="Header"/>
      <w:pBdr>
        <w:bottom w:val="single" w:sz="4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>INF.</w:t>
    </w:r>
    <w:r w:rsidR="00286042">
      <w:rPr>
        <w:b/>
        <w:sz w:val="18"/>
        <w:szCs w:val="18"/>
      </w:rPr>
      <w:t>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B1" w:rsidRPr="00E023B1" w:rsidRDefault="001E44B6" w:rsidP="00E023B1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>
      <w:rPr>
        <w:b/>
        <w:sz w:val="18"/>
        <w:szCs w:val="18"/>
      </w:rPr>
      <w:t>INF.16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B1" w:rsidRPr="00E023B1" w:rsidRDefault="00E023B1" w:rsidP="00E023B1">
    <w:pPr>
      <w:pStyle w:val="Header"/>
      <w:pBdr>
        <w:bottom w:val="single" w:sz="4" w:space="1" w:color="auto"/>
      </w:pBdr>
      <w:jc w:val="right"/>
      <w:rPr>
        <w:b/>
        <w:sz w:val="28"/>
        <w:szCs w:val="28"/>
      </w:rPr>
    </w:pPr>
    <w:r w:rsidRPr="00E023B1">
      <w:rPr>
        <w:b/>
        <w:sz w:val="28"/>
        <w:szCs w:val="28"/>
      </w:rPr>
      <w:t>INF.</w:t>
    </w:r>
    <w:r w:rsidR="00286042">
      <w:rPr>
        <w:b/>
        <w:sz w:val="28"/>
        <w:szCs w:val="28"/>
      </w:rPr>
      <w:t>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</w:lvl>
    <w:lvl w:ilvl="3" w:tplc="100C000F" w:tentative="1">
      <w:start w:val="1"/>
      <w:numFmt w:val="decimal"/>
      <w:lvlText w:val="%4."/>
      <w:lvlJc w:val="left"/>
      <w:pPr>
        <w:ind w:left="3797" w:hanging="360"/>
      </w:p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</w:lvl>
    <w:lvl w:ilvl="6" w:tplc="100C000F" w:tentative="1">
      <w:start w:val="1"/>
      <w:numFmt w:val="decimal"/>
      <w:lvlText w:val="%7."/>
      <w:lvlJc w:val="left"/>
      <w:pPr>
        <w:ind w:left="5957" w:hanging="360"/>
      </w:p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6A022096"/>
    <w:multiLevelType w:val="hybridMultilevel"/>
    <w:tmpl w:val="47A28D8C"/>
    <w:lvl w:ilvl="0" w:tplc="C284F98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3"/>
    <w:rsid w:val="0006230C"/>
    <w:rsid w:val="00065872"/>
    <w:rsid w:val="000671F5"/>
    <w:rsid w:val="000A5D9A"/>
    <w:rsid w:val="00106F25"/>
    <w:rsid w:val="00121296"/>
    <w:rsid w:val="00152473"/>
    <w:rsid w:val="001A1E62"/>
    <w:rsid w:val="001E44B6"/>
    <w:rsid w:val="002034A1"/>
    <w:rsid w:val="0022753C"/>
    <w:rsid w:val="00233A5A"/>
    <w:rsid w:val="00241A54"/>
    <w:rsid w:val="00286042"/>
    <w:rsid w:val="002976EF"/>
    <w:rsid w:val="003050B9"/>
    <w:rsid w:val="00346154"/>
    <w:rsid w:val="00361661"/>
    <w:rsid w:val="003E5DDB"/>
    <w:rsid w:val="00437911"/>
    <w:rsid w:val="00442AD8"/>
    <w:rsid w:val="0046040B"/>
    <w:rsid w:val="00472224"/>
    <w:rsid w:val="004A0C00"/>
    <w:rsid w:val="004C4BF9"/>
    <w:rsid w:val="00520D96"/>
    <w:rsid w:val="0052765A"/>
    <w:rsid w:val="00530899"/>
    <w:rsid w:val="00545911"/>
    <w:rsid w:val="00582C34"/>
    <w:rsid w:val="00593BA4"/>
    <w:rsid w:val="005A249B"/>
    <w:rsid w:val="00622DEB"/>
    <w:rsid w:val="00677416"/>
    <w:rsid w:val="006B020C"/>
    <w:rsid w:val="006C4935"/>
    <w:rsid w:val="00716D12"/>
    <w:rsid w:val="00744093"/>
    <w:rsid w:val="00750BD4"/>
    <w:rsid w:val="007567E0"/>
    <w:rsid w:val="007A45F4"/>
    <w:rsid w:val="007C38B5"/>
    <w:rsid w:val="007C735B"/>
    <w:rsid w:val="00877F4B"/>
    <w:rsid w:val="008A49FA"/>
    <w:rsid w:val="008B1779"/>
    <w:rsid w:val="008C640D"/>
    <w:rsid w:val="00901E27"/>
    <w:rsid w:val="00904BF4"/>
    <w:rsid w:val="00950A91"/>
    <w:rsid w:val="009B17DF"/>
    <w:rsid w:val="009F0BA5"/>
    <w:rsid w:val="009F287F"/>
    <w:rsid w:val="00A0681F"/>
    <w:rsid w:val="00A454CA"/>
    <w:rsid w:val="00AC6409"/>
    <w:rsid w:val="00AE705C"/>
    <w:rsid w:val="00B15561"/>
    <w:rsid w:val="00B179FB"/>
    <w:rsid w:val="00B2774E"/>
    <w:rsid w:val="00B3602D"/>
    <w:rsid w:val="00BC2288"/>
    <w:rsid w:val="00BC4262"/>
    <w:rsid w:val="00BE3581"/>
    <w:rsid w:val="00BF4B32"/>
    <w:rsid w:val="00C340C7"/>
    <w:rsid w:val="00CA68AD"/>
    <w:rsid w:val="00D606C5"/>
    <w:rsid w:val="00D668B3"/>
    <w:rsid w:val="00D76691"/>
    <w:rsid w:val="00D924DC"/>
    <w:rsid w:val="00DC1883"/>
    <w:rsid w:val="00DC5F68"/>
    <w:rsid w:val="00DD14BE"/>
    <w:rsid w:val="00E023B1"/>
    <w:rsid w:val="00E610C2"/>
    <w:rsid w:val="00E64547"/>
    <w:rsid w:val="00E92929"/>
    <w:rsid w:val="00EB22FA"/>
    <w:rsid w:val="00EE3B23"/>
    <w:rsid w:val="00EF4296"/>
    <w:rsid w:val="00F15D20"/>
    <w:rsid w:val="00F255C5"/>
    <w:rsid w:val="00F62AD7"/>
    <w:rsid w:val="00FA3A15"/>
    <w:rsid w:val="00FB6F68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484650"/>
  <w15:docId w15:val="{8EEC8227-C083-4791-B31C-57500731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qFormat/>
    <w:rsid w:val="00ED7A2A"/>
    <w:pPr>
      <w:widowControl w:val="0"/>
      <w:outlineLvl w:val="0"/>
    </w:pPr>
  </w:style>
  <w:style w:type="paragraph" w:customStyle="1" w:styleId="Titre2">
    <w:name w:val="Titre 2"/>
    <w:basedOn w:val="Normal"/>
    <w:next w:val="Normal"/>
    <w:qFormat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qFormat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qFormat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qFormat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qFormat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qFormat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qFormat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qFormat/>
    <w:pPr>
      <w:spacing w:line="240" w:lineRule="auto"/>
      <w:outlineLvl w:val="8"/>
    </w:pPr>
  </w:style>
  <w:style w:type="character" w:styleId="PageNumber">
    <w:name w:val="page number"/>
    <w:qFormat/>
    <w:rsid w:val="008979B1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uiPriority w:val="99"/>
    <w:qFormat/>
    <w:rsid w:val="007B6BA5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semiHidden/>
    <w:qFormat/>
    <w:rPr>
      <w:sz w:val="6"/>
    </w:rPr>
  </w:style>
  <w:style w:type="character" w:styleId="LineNumber">
    <w:name w:val="line number"/>
    <w:semiHidden/>
    <w:qFormat/>
    <w:rPr>
      <w:sz w:val="14"/>
    </w:rPr>
  </w:style>
  <w:style w:type="character" w:customStyle="1" w:styleId="Accentuation">
    <w:name w:val="Accentuation"/>
    <w:qFormat/>
    <w:rsid w:val="008A6C4F"/>
    <w:rPr>
      <w:i/>
      <w:iCs/>
    </w:rPr>
  </w:style>
  <w:style w:type="character" w:styleId="FollowedHyperlink">
    <w:name w:val="FollowedHyperlink"/>
    <w:semiHidden/>
    <w:qFormat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semiHidden/>
    <w:rsid w:val="008A6C4F"/>
    <w:rPr>
      <w:color w:val="0000FF"/>
      <w:u w:val="singl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qFormat/>
    <w:rsid w:val="0024023A"/>
    <w:rPr>
      <w:lang w:val="en-GB" w:eastAsia="en-US" w:bidi="ar-SA"/>
    </w:rPr>
  </w:style>
  <w:style w:type="character" w:customStyle="1" w:styleId="HChGChar">
    <w:name w:val="_ H _Ch_G Char"/>
    <w:link w:val="HChG"/>
    <w:qFormat/>
    <w:rsid w:val="0024023A"/>
    <w:rPr>
      <w:b/>
      <w:sz w:val="28"/>
      <w:lang w:eastAsia="en-US"/>
    </w:rPr>
  </w:style>
  <w:style w:type="character" w:customStyle="1" w:styleId="HeaderChar">
    <w:name w:val="Header Char"/>
    <w:link w:val="En-tte"/>
    <w:uiPriority w:val="99"/>
    <w:qFormat/>
    <w:rsid w:val="0022321E"/>
    <w:rPr>
      <w:b/>
      <w:sz w:val="18"/>
      <w:lang w:eastAsia="en-US"/>
    </w:rPr>
  </w:style>
  <w:style w:type="character" w:customStyle="1" w:styleId="FootnoteTextChar">
    <w:name w:val="Footnote Text Char"/>
    <w:link w:val="FootnoteText"/>
    <w:uiPriority w:val="99"/>
    <w:qFormat/>
    <w:rsid w:val="00A12E50"/>
    <w:rPr>
      <w:sz w:val="18"/>
      <w:lang w:eastAsia="en-US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b w:val="0"/>
      <w:i w:val="0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i w:val="0"/>
      <w:sz w:val="20"/>
      <w:szCs w:val="20"/>
    </w:rPr>
  </w:style>
  <w:style w:type="character" w:customStyle="1" w:styleId="ListLabel20">
    <w:name w:val="ListLabel 20"/>
    <w:qFormat/>
    <w:rPr>
      <w:b w:val="0"/>
      <w:i w:val="0"/>
      <w:sz w:val="24"/>
      <w:szCs w:val="24"/>
    </w:rPr>
  </w:style>
  <w:style w:type="character" w:customStyle="1" w:styleId="ListLabel21">
    <w:name w:val="ListLabel 21"/>
    <w:qFormat/>
    <w:rPr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0"/>
    </w:rPr>
  </w:style>
  <w:style w:type="character" w:customStyle="1" w:styleId="ListLabel23">
    <w:name w:val="ListLabel 23"/>
    <w:qFormat/>
    <w:rPr>
      <w:rFonts w:cs="Times New Roman"/>
      <w:b w:val="0"/>
      <w:i w:val="0"/>
      <w:sz w:val="20"/>
    </w:rPr>
  </w:style>
  <w:style w:type="character" w:customStyle="1" w:styleId="ListLabel24">
    <w:name w:val="ListLabel 24"/>
    <w:qFormat/>
    <w:rPr>
      <w:rFonts w:cs="Times New Roman"/>
      <w:b w:val="0"/>
      <w:i w:val="0"/>
      <w:sz w:val="20"/>
    </w:rPr>
  </w:style>
  <w:style w:type="character" w:customStyle="1" w:styleId="ListLabel25">
    <w:name w:val="ListLabel 25"/>
    <w:qFormat/>
    <w:rPr>
      <w:rFonts w:cs="Times New Roman"/>
      <w:b w:val="0"/>
      <w:i w:val="0"/>
      <w:sz w:val="20"/>
    </w:rPr>
  </w:style>
  <w:style w:type="character" w:customStyle="1" w:styleId="ListLabel26">
    <w:name w:val="ListLabel 26"/>
    <w:qFormat/>
    <w:rPr>
      <w:rFonts w:cs="Times New Roman"/>
      <w:b w:val="0"/>
      <w:i w:val="0"/>
      <w:sz w:val="20"/>
    </w:rPr>
  </w:style>
  <w:style w:type="character" w:customStyle="1" w:styleId="ListLabel27">
    <w:name w:val="ListLabel 27"/>
    <w:qFormat/>
    <w:rPr>
      <w:rFonts w:cs="Times New Roman"/>
      <w:b w:val="0"/>
      <w:i w:val="0"/>
      <w:sz w:val="20"/>
    </w:rPr>
  </w:style>
  <w:style w:type="character" w:customStyle="1" w:styleId="ListLabel28">
    <w:name w:val="ListLabel 28"/>
    <w:qFormat/>
    <w:rPr>
      <w:rFonts w:cs="Times New Roman"/>
      <w:b w:val="0"/>
      <w:i w:val="0"/>
      <w:sz w:val="20"/>
    </w:rPr>
  </w:style>
  <w:style w:type="character" w:customStyle="1" w:styleId="ListLabel29">
    <w:name w:val="ListLabel 29"/>
    <w:qFormat/>
    <w:rPr>
      <w:rFonts w:cs="Times New Roman"/>
      <w:b w:val="0"/>
      <w:i w:val="0"/>
      <w:sz w:val="20"/>
    </w:rPr>
  </w:style>
  <w:style w:type="character" w:customStyle="1" w:styleId="ListLabel30">
    <w:name w:val="ListLabel 30"/>
    <w:qFormat/>
    <w:rPr>
      <w:rFonts w:cs="Times New Roman"/>
      <w:b w:val="0"/>
      <w:i w:val="0"/>
      <w:sz w:val="20"/>
    </w:rPr>
  </w:style>
  <w:style w:type="character" w:customStyle="1" w:styleId="ListLabel31">
    <w:name w:val="ListLabel 31"/>
    <w:qFormat/>
    <w:rPr>
      <w:rFonts w:cs="Times New Roman"/>
      <w:b w:val="0"/>
      <w:i w:val="0"/>
      <w:sz w:val="20"/>
    </w:rPr>
  </w:style>
  <w:style w:type="character" w:customStyle="1" w:styleId="ListLabel32">
    <w:name w:val="ListLabel 32"/>
    <w:qFormat/>
    <w:rPr>
      <w:rFonts w:cs="Times New Roman"/>
      <w:b w:val="0"/>
      <w:i w:val="0"/>
      <w:sz w:val="20"/>
    </w:rPr>
  </w:style>
  <w:style w:type="character" w:customStyle="1" w:styleId="ListLabel33">
    <w:name w:val="ListLabel 33"/>
    <w:qFormat/>
    <w:rPr>
      <w:rFonts w:cs="Times New Roman"/>
      <w:b w:val="0"/>
      <w:i w:val="0"/>
      <w:sz w:val="20"/>
    </w:rPr>
  </w:style>
  <w:style w:type="character" w:customStyle="1" w:styleId="ListLabel34">
    <w:name w:val="ListLabel 34"/>
    <w:qFormat/>
    <w:rPr>
      <w:rFonts w:cs="Times New Roman"/>
      <w:b w:val="0"/>
      <w:i w:val="0"/>
      <w:sz w:val="20"/>
    </w:rPr>
  </w:style>
  <w:style w:type="character" w:customStyle="1" w:styleId="ListLabel35">
    <w:name w:val="ListLabel 35"/>
    <w:qFormat/>
    <w:rPr>
      <w:rFonts w:cs="Times New Roman"/>
      <w:b w:val="0"/>
      <w:i w:val="0"/>
      <w:sz w:val="20"/>
    </w:rPr>
  </w:style>
  <w:style w:type="character" w:customStyle="1" w:styleId="ListLabel36">
    <w:name w:val="ListLabel 36"/>
    <w:qFormat/>
    <w:rPr>
      <w:rFonts w:cs="Times New Roman"/>
      <w:b w:val="0"/>
      <w:i w:val="0"/>
      <w:sz w:val="2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  <w:sz w:val="16"/>
      <w:szCs w:val="16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next w:val="Normal"/>
    <w:semiHidden/>
  </w:style>
  <w:style w:type="paragraph" w:customStyle="1" w:styleId="Liste1">
    <w:name w:val="Liste1"/>
    <w:basedOn w:val="Normal"/>
    <w:semiHidden/>
    <w:rsid w:val="008A6C4F"/>
    <w:pPr>
      <w:ind w:left="283" w:hanging="283"/>
    </w:p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qFormat/>
    <w:pPr>
      <w:widowControl w:val="0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semiHidden/>
    <w:qFormat/>
    <w:rPr>
      <w:rFonts w:cs="Courier New"/>
    </w:rPr>
  </w:style>
  <w:style w:type="paragraph" w:customStyle="1" w:styleId="Retraitdecorpsdetexte">
    <w:name w:val="Retrait de corps de texte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qFormat/>
    <w:pPr>
      <w:ind w:left="1440" w:right="1440"/>
    </w:pPr>
  </w:style>
  <w:style w:type="paragraph" w:customStyle="1" w:styleId="SMG">
    <w:name w:val="__S_M_G"/>
    <w:basedOn w:val="Normal"/>
    <w:next w:val="Normal"/>
    <w:qFormat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32A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7B6BA5"/>
  </w:style>
  <w:style w:type="paragraph" w:styleId="CommentText">
    <w:name w:val="annotation text"/>
    <w:basedOn w:val="Normal"/>
    <w:semiHidden/>
    <w:qFormat/>
  </w:style>
  <w:style w:type="paragraph" w:customStyle="1" w:styleId="Bullet2G">
    <w:name w:val="_Bullet 2_G"/>
    <w:basedOn w:val="Normal"/>
    <w:qFormat/>
    <w:rsid w:val="003C2CC4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Indent">
    <w:name w:val="Body Text Indent"/>
    <w:basedOn w:val="Corpsdetexte"/>
    <w:semiHidden/>
    <w:qFormat/>
    <w:rsid w:val="008A6C4F"/>
    <w:pPr>
      <w:spacing w:after="120"/>
      <w:ind w:firstLine="210"/>
    </w:pPr>
  </w:style>
  <w:style w:type="paragraph" w:styleId="BodyTextFirstIndent2">
    <w:name w:val="Body Text First Indent 2"/>
    <w:basedOn w:val="Retraitdecorpsdetexte"/>
    <w:semiHidden/>
    <w:qFormat/>
    <w:rsid w:val="008A6C4F"/>
    <w:pPr>
      <w:ind w:firstLine="210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Continue">
    <w:name w:val="List Continue"/>
    <w:basedOn w:val="Normal"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8A6C4F"/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">
    <w:name w:val="Sous-titr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rsid w:val="008878DE"/>
    <w:pPr>
      <w:spacing w:line="240" w:lineRule="auto"/>
    </w:pPr>
    <w:rPr>
      <w:sz w:val="16"/>
    </w:rPr>
  </w:style>
  <w:style w:type="paragraph" w:customStyle="1" w:styleId="En-tte">
    <w:name w:val="En-tête"/>
    <w:basedOn w:val="Normal"/>
    <w:link w:val="HeaderChar"/>
    <w:uiPriority w:val="99"/>
    <w:rsid w:val="00050F6B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qFormat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next w:val="Normal"/>
    <w:qFormat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016E63"/>
    <w:rPr>
      <w:color w:val="000000"/>
      <w:sz w:val="24"/>
      <w:szCs w:val="24"/>
    </w:rPr>
  </w:style>
  <w:style w:type="paragraph" w:customStyle="1" w:styleId="Notedebasdepage">
    <w:name w:val="Note de bas de page"/>
    <w:basedOn w:val="Normal"/>
  </w:style>
  <w:style w:type="paragraph" w:customStyle="1" w:styleId="Contenudecadre">
    <w:name w:val="Contenu de cadre"/>
    <w:basedOn w:val="Normal"/>
    <w:qFormat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B177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79"/>
    <w:rPr>
      <w:lang w:eastAsia="en-US"/>
    </w:rPr>
  </w:style>
  <w:style w:type="paragraph" w:styleId="NoSpacing">
    <w:name w:val="No Spacing"/>
    <w:uiPriority w:val="1"/>
    <w:qFormat/>
    <w:rsid w:val="00E610C2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styleId="Hyperlink">
    <w:name w:val="Hyperlink"/>
    <w:uiPriority w:val="99"/>
    <w:semiHidden/>
    <w:rsid w:val="001E44B6"/>
    <w:rPr>
      <w:rFonts w:cs="Times New Roman"/>
      <w:color w:val="auto"/>
      <w:u w:val="none"/>
    </w:rPr>
  </w:style>
  <w:style w:type="character" w:customStyle="1" w:styleId="SingleTxtGZchnZchn">
    <w:name w:val="_ Single Txt_G Zchn Zchn"/>
    <w:rsid w:val="00AC640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19D5-3373-45C9-AA09-9E6C9FCD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2017-09-25T13:21:00Z</cp:lastPrinted>
  <dcterms:created xsi:type="dcterms:W3CDTF">2017-09-25T12:50:00Z</dcterms:created>
  <dcterms:modified xsi:type="dcterms:W3CDTF">2017-09-25T13:26:00Z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