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6664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66645" w:rsidRDefault="00F35BAF" w:rsidP="006A30A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66645" w:rsidRDefault="00F35BAF" w:rsidP="00892A2F">
            <w:pPr>
              <w:spacing w:after="80" w:line="300" w:lineRule="exact"/>
              <w:rPr>
                <w:sz w:val="28"/>
              </w:rPr>
            </w:pPr>
            <w:r w:rsidRPr="00D6664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66645" w:rsidRDefault="006A30A0" w:rsidP="006A30A0">
            <w:pPr>
              <w:jc w:val="right"/>
            </w:pPr>
            <w:r w:rsidRPr="00D66645">
              <w:rPr>
                <w:sz w:val="40"/>
              </w:rPr>
              <w:t>ECE</w:t>
            </w:r>
            <w:r w:rsidRPr="00D66645">
              <w:t>/TRANS/WP.15/AC.2/2017/16</w:t>
            </w:r>
          </w:p>
        </w:tc>
      </w:tr>
      <w:tr w:rsidR="00F35BAF" w:rsidRPr="00D6664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66645" w:rsidRDefault="00F35BAF" w:rsidP="00892A2F">
            <w:pPr>
              <w:spacing w:before="120"/>
              <w:jc w:val="center"/>
            </w:pPr>
            <w:r w:rsidRPr="00D66645">
              <w:rPr>
                <w:noProof/>
                <w:lang w:val="en-GB" w:eastAsia="en-GB"/>
              </w:rPr>
              <w:drawing>
                <wp:inline distT="0" distB="0" distL="0" distR="0" wp14:anchorId="791322A1" wp14:editId="6E2480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D66645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D66645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66645" w:rsidRDefault="006A30A0" w:rsidP="00892A2F">
            <w:pPr>
              <w:spacing w:before="240"/>
            </w:pPr>
            <w:r w:rsidRPr="00D66645">
              <w:t>Distr. générale</w:t>
            </w:r>
          </w:p>
          <w:p w:rsidR="006A30A0" w:rsidRPr="00D66645" w:rsidRDefault="006A30A0" w:rsidP="006A30A0">
            <w:pPr>
              <w:spacing w:line="240" w:lineRule="exact"/>
            </w:pPr>
            <w:r w:rsidRPr="00D66645">
              <w:t>4 novembre 2016</w:t>
            </w:r>
          </w:p>
          <w:p w:rsidR="006A30A0" w:rsidRPr="00D66645" w:rsidRDefault="006A30A0" w:rsidP="006A30A0">
            <w:pPr>
              <w:spacing w:line="240" w:lineRule="exact"/>
            </w:pPr>
            <w:r w:rsidRPr="00D66645">
              <w:t>Français</w:t>
            </w:r>
          </w:p>
          <w:p w:rsidR="006A30A0" w:rsidRPr="00D66645" w:rsidRDefault="006A30A0" w:rsidP="006A30A0">
            <w:pPr>
              <w:spacing w:line="240" w:lineRule="exact"/>
            </w:pPr>
            <w:r w:rsidRPr="00D66645">
              <w:t>Original : anglais</w:t>
            </w:r>
          </w:p>
        </w:tc>
      </w:tr>
    </w:tbl>
    <w:p w:rsidR="007F20FA" w:rsidRPr="00D66645" w:rsidRDefault="007F20FA" w:rsidP="007F20FA">
      <w:pPr>
        <w:spacing w:before="120"/>
        <w:rPr>
          <w:b/>
          <w:sz w:val="28"/>
          <w:szCs w:val="28"/>
        </w:rPr>
      </w:pPr>
      <w:r w:rsidRPr="00D66645">
        <w:rPr>
          <w:b/>
          <w:sz w:val="28"/>
          <w:szCs w:val="28"/>
        </w:rPr>
        <w:t>Commission économique pour l</w:t>
      </w:r>
      <w:r w:rsidR="00D66645" w:rsidRPr="00D66645">
        <w:rPr>
          <w:b/>
          <w:sz w:val="28"/>
          <w:szCs w:val="28"/>
        </w:rPr>
        <w:t>’</w:t>
      </w:r>
      <w:r w:rsidRPr="00D66645">
        <w:rPr>
          <w:b/>
          <w:sz w:val="28"/>
          <w:szCs w:val="28"/>
        </w:rPr>
        <w:t>Europe</w:t>
      </w:r>
    </w:p>
    <w:p w:rsidR="007F20FA" w:rsidRPr="00D66645" w:rsidRDefault="007F20FA" w:rsidP="007F20FA">
      <w:pPr>
        <w:spacing w:before="120"/>
        <w:rPr>
          <w:sz w:val="28"/>
          <w:szCs w:val="28"/>
        </w:rPr>
      </w:pPr>
      <w:r w:rsidRPr="00D66645">
        <w:rPr>
          <w:sz w:val="28"/>
          <w:szCs w:val="28"/>
        </w:rPr>
        <w:t>Comité des transports intérieurs</w:t>
      </w:r>
    </w:p>
    <w:p w:rsidR="006A30A0" w:rsidRPr="00D66645" w:rsidRDefault="006A30A0" w:rsidP="00AF0CB5">
      <w:pPr>
        <w:spacing w:before="120"/>
        <w:rPr>
          <w:b/>
          <w:sz w:val="24"/>
          <w:szCs w:val="24"/>
        </w:rPr>
      </w:pPr>
      <w:r w:rsidRPr="00D66645">
        <w:rPr>
          <w:b/>
          <w:sz w:val="24"/>
          <w:szCs w:val="24"/>
        </w:rPr>
        <w:t>Groupe de travail des transports de marchandises dangereuses</w:t>
      </w:r>
    </w:p>
    <w:p w:rsidR="006A30A0" w:rsidRPr="00D66645" w:rsidRDefault="006A30A0" w:rsidP="00AF0CB5">
      <w:pPr>
        <w:spacing w:before="120"/>
        <w:rPr>
          <w:b/>
        </w:rPr>
      </w:pPr>
      <w:r w:rsidRPr="00D66645">
        <w:rPr>
          <w:b/>
        </w:rPr>
        <w:t>Réunion commune d</w:t>
      </w:r>
      <w:r w:rsidR="00D66645" w:rsidRPr="00D66645">
        <w:rPr>
          <w:b/>
        </w:rPr>
        <w:t>’</w:t>
      </w:r>
      <w:r w:rsidRPr="00D66645">
        <w:rPr>
          <w:b/>
        </w:rPr>
        <w:t>experts sur le Règlement annexé</w:t>
      </w:r>
      <w:r w:rsidRPr="00D66645">
        <w:rPr>
          <w:b/>
        </w:rPr>
        <w:br/>
        <w:t>à l</w:t>
      </w:r>
      <w:r w:rsidR="00D66645" w:rsidRPr="00D66645">
        <w:rPr>
          <w:b/>
        </w:rPr>
        <w:t>’</w:t>
      </w:r>
      <w:r w:rsidRPr="00D66645">
        <w:rPr>
          <w:b/>
        </w:rPr>
        <w:t>Accord européen relatif au transport international</w:t>
      </w:r>
      <w:r w:rsidRPr="00D66645">
        <w:rPr>
          <w:b/>
        </w:rPr>
        <w:br/>
        <w:t xml:space="preserve">des marchandises </w:t>
      </w:r>
      <w:r w:rsidRPr="00D66645">
        <w:rPr>
          <w:b/>
          <w:bCs/>
          <w:iCs/>
        </w:rPr>
        <w:t>dangereuses par voies de navigation</w:t>
      </w:r>
      <w:r w:rsidRPr="00D66645">
        <w:rPr>
          <w:b/>
          <w:bCs/>
          <w:iCs/>
        </w:rPr>
        <w:br/>
        <w:t xml:space="preserve">intérieures (ADN) </w:t>
      </w:r>
      <w:r w:rsidRPr="00D66645">
        <w:rPr>
          <w:b/>
          <w:bCs/>
        </w:rPr>
        <w:t>(Comité de sécurité de l</w:t>
      </w:r>
      <w:r w:rsidR="00D66645" w:rsidRPr="00D66645">
        <w:rPr>
          <w:b/>
          <w:bCs/>
        </w:rPr>
        <w:t>’</w:t>
      </w:r>
      <w:r w:rsidRPr="00D66645">
        <w:rPr>
          <w:b/>
          <w:bCs/>
        </w:rPr>
        <w:t>ADN)</w:t>
      </w:r>
    </w:p>
    <w:p w:rsidR="006A30A0" w:rsidRPr="00D66645" w:rsidRDefault="006A30A0" w:rsidP="00AF0CB5">
      <w:pPr>
        <w:spacing w:before="120"/>
        <w:rPr>
          <w:b/>
        </w:rPr>
      </w:pPr>
      <w:r w:rsidRPr="00D66645">
        <w:rPr>
          <w:b/>
        </w:rPr>
        <w:t>Trentième session</w:t>
      </w:r>
    </w:p>
    <w:p w:rsidR="006A30A0" w:rsidRPr="00D66645" w:rsidRDefault="006A30A0" w:rsidP="00AF0CB5">
      <w:r w:rsidRPr="00D66645">
        <w:t>Genève, 23-27 janvier 2017</w:t>
      </w:r>
    </w:p>
    <w:p w:rsidR="006A30A0" w:rsidRPr="00D66645" w:rsidRDefault="006A30A0" w:rsidP="00AF0CB5">
      <w:r w:rsidRPr="00D66645">
        <w:t>Point 5 b) de l</w:t>
      </w:r>
      <w:r w:rsidR="00D66645" w:rsidRPr="00D66645">
        <w:t>’</w:t>
      </w:r>
      <w:r w:rsidRPr="00D66645">
        <w:t>ordre du jour provisoire</w:t>
      </w:r>
    </w:p>
    <w:p w:rsidR="006A30A0" w:rsidRPr="00D66645" w:rsidRDefault="006A30A0" w:rsidP="006A30A0">
      <w:pPr>
        <w:rPr>
          <w:b/>
          <w:bCs/>
        </w:rPr>
      </w:pPr>
      <w:r w:rsidRPr="00D66645">
        <w:rPr>
          <w:b/>
        </w:rPr>
        <w:t>Propositions d</w:t>
      </w:r>
      <w:r w:rsidR="00D66645" w:rsidRPr="00D66645">
        <w:rPr>
          <w:b/>
        </w:rPr>
        <w:t>’</w:t>
      </w:r>
      <w:r w:rsidRPr="00D66645">
        <w:rPr>
          <w:b/>
        </w:rPr>
        <w:t>amendements au Règlement annexé à l</w:t>
      </w:r>
      <w:r w:rsidR="00D66645" w:rsidRPr="00D66645">
        <w:rPr>
          <w:b/>
        </w:rPr>
        <w:t>’</w:t>
      </w:r>
      <w:r w:rsidRPr="00D66645">
        <w:rPr>
          <w:b/>
        </w:rPr>
        <w:t>ADN :</w:t>
      </w:r>
      <w:r w:rsidRPr="00D66645">
        <w:rPr>
          <w:b/>
        </w:rPr>
        <w:br/>
        <w:t>Autres propositions</w:t>
      </w:r>
    </w:p>
    <w:p w:rsidR="006A30A0" w:rsidRPr="00D66645" w:rsidRDefault="006A30A0" w:rsidP="006A30A0">
      <w:pPr>
        <w:pStyle w:val="HChG"/>
      </w:pPr>
      <w:r w:rsidRPr="00D66645">
        <w:tab/>
      </w:r>
      <w:r w:rsidRPr="00D66645">
        <w:tab/>
        <w:t>Agents extincteurs</w:t>
      </w:r>
    </w:p>
    <w:p w:rsidR="00F9573C" w:rsidRPr="00D66645" w:rsidRDefault="006A30A0" w:rsidP="006A30A0">
      <w:pPr>
        <w:pStyle w:val="H1G"/>
        <w:rPr>
          <w:b w:val="0"/>
          <w:sz w:val="20"/>
        </w:rPr>
      </w:pPr>
      <w:r w:rsidRPr="00D66645">
        <w:tab/>
      </w:r>
      <w:r w:rsidRPr="00D66645">
        <w:tab/>
        <w:t xml:space="preserve">Communication des </w:t>
      </w:r>
      <w:r w:rsidR="00E0286F">
        <w:t>G</w:t>
      </w:r>
      <w:r w:rsidRPr="00D66645">
        <w:t>ouvernements de la Belgique et des Pays-Bas</w:t>
      </w:r>
      <w:r w:rsidRPr="00D6664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D66645">
        <w:rPr>
          <w:b w:val="0"/>
          <w:position w:val="6"/>
          <w:sz w:val="20"/>
        </w:rPr>
        <w:t>,</w:t>
      </w:r>
      <w:r w:rsidRPr="00D66645">
        <w:rPr>
          <w:b w:val="0"/>
          <w:sz w:val="20"/>
        </w:rPr>
        <w:t xml:space="preserve"> </w:t>
      </w:r>
      <w:r w:rsidRPr="00D66645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6A30A0" w:rsidRPr="00D6664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A30A0" w:rsidRPr="00D66645" w:rsidRDefault="006A30A0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D66645">
              <w:rPr>
                <w:i/>
                <w:sz w:val="24"/>
              </w:rPr>
              <w:t>Résumé</w:t>
            </w:r>
          </w:p>
        </w:tc>
      </w:tr>
      <w:tr w:rsidR="006A30A0" w:rsidRPr="00D6664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A30A0" w:rsidRPr="00D66645" w:rsidRDefault="006A30A0" w:rsidP="006A30A0">
            <w:pPr>
              <w:pStyle w:val="SingleTxtG"/>
              <w:ind w:left="2552" w:hanging="2268"/>
              <w:jc w:val="left"/>
            </w:pPr>
            <w:r w:rsidRPr="00D66645">
              <w:rPr>
                <w:b/>
              </w:rPr>
              <w:t>Résumé analytique :</w:t>
            </w:r>
            <w:r w:rsidRPr="00D66645">
              <w:rPr>
                <w:b/>
              </w:rPr>
              <w:tab/>
            </w:r>
            <w:r w:rsidRPr="00D66645">
              <w:rPr>
                <w:bCs/>
                <w:szCs w:val="24"/>
              </w:rPr>
              <w:t xml:space="preserve">Autoriser les agents extincteurs en aérosol sec </w:t>
            </w:r>
            <w:r w:rsidRPr="00D66645">
              <w:t xml:space="preserve">à titre permanent </w:t>
            </w:r>
            <w:r w:rsidR="00D66645">
              <w:br/>
            </w:r>
            <w:r w:rsidRPr="00D66645">
              <w:rPr>
                <w:bCs/>
                <w:szCs w:val="24"/>
              </w:rPr>
              <w:t>dans le Règlement annexé à l</w:t>
            </w:r>
            <w:r w:rsidR="00D66645" w:rsidRPr="00D66645">
              <w:rPr>
                <w:bCs/>
                <w:szCs w:val="24"/>
              </w:rPr>
              <w:t>’</w:t>
            </w:r>
            <w:r w:rsidRPr="00D66645">
              <w:rPr>
                <w:bCs/>
                <w:szCs w:val="24"/>
              </w:rPr>
              <w:t>ADN.</w:t>
            </w:r>
          </w:p>
        </w:tc>
      </w:tr>
      <w:tr w:rsidR="006A30A0" w:rsidRPr="00D6664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A30A0" w:rsidRPr="00D66645" w:rsidRDefault="006A30A0" w:rsidP="006A30A0">
            <w:pPr>
              <w:pStyle w:val="SingleTxtG"/>
              <w:ind w:left="2552" w:hanging="2268"/>
              <w:jc w:val="left"/>
            </w:pPr>
            <w:r w:rsidRPr="00D66645">
              <w:rPr>
                <w:b/>
              </w:rPr>
              <w:t>Mesures à prendre :</w:t>
            </w:r>
            <w:r w:rsidRPr="00D66645">
              <w:rPr>
                <w:b/>
              </w:rPr>
              <w:tab/>
            </w:r>
            <w:r w:rsidRPr="00D66645">
              <w:t>Amender 9.1.0.40.2.1 et 9.3.X.40.2.1</w:t>
            </w:r>
            <w:r w:rsidR="00D66645">
              <w:t>.</w:t>
            </w:r>
          </w:p>
        </w:tc>
      </w:tr>
      <w:tr w:rsidR="006A30A0" w:rsidRPr="00D6664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A30A0" w:rsidRPr="00D66645" w:rsidRDefault="006A30A0" w:rsidP="00E0286F">
            <w:pPr>
              <w:pStyle w:val="SingleTxtG"/>
              <w:ind w:left="2552" w:hanging="2268"/>
              <w:jc w:val="left"/>
            </w:pPr>
            <w:r w:rsidRPr="00D66645">
              <w:rPr>
                <w:b/>
              </w:rPr>
              <w:t>Documents de référence :</w:t>
            </w:r>
            <w:r w:rsidRPr="00D66645">
              <w:rPr>
                <w:b/>
              </w:rPr>
              <w:tab/>
            </w:r>
            <w:r w:rsidRPr="00D66645">
              <w:t>document informel INF.3 (</w:t>
            </w:r>
            <w:r w:rsidRPr="00D66645">
              <w:rPr>
                <w:szCs w:val="24"/>
              </w:rPr>
              <w:t>vingt-huitième session</w:t>
            </w:r>
            <w:r w:rsidRPr="00D66645">
              <w:t>)</w:t>
            </w:r>
            <w:r w:rsidRPr="00D66645">
              <w:br/>
              <w:t>ECE/TRANS/WP.15/AC.2/2016/48 et document informel INF.30 (vingt</w:t>
            </w:r>
            <w:r w:rsidR="00D66645">
              <w:noBreakHyphen/>
            </w:r>
            <w:r w:rsidRPr="00D66645">
              <w:t>neuvième session)</w:t>
            </w:r>
            <w:r w:rsidRPr="00D66645">
              <w:br/>
              <w:t xml:space="preserve">ECE/TRANS/WP.15/AC.2/60, paragraphes 8 </w:t>
            </w:r>
            <w:r w:rsidR="00E0286F">
              <w:t>et</w:t>
            </w:r>
            <w:r w:rsidRPr="00D66645">
              <w:t xml:space="preserve"> 9</w:t>
            </w:r>
            <w:r w:rsidR="00D66645">
              <w:t>.</w:t>
            </w:r>
          </w:p>
        </w:tc>
      </w:tr>
      <w:tr w:rsidR="006A30A0" w:rsidRPr="00D6664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A30A0" w:rsidRPr="00D66645" w:rsidRDefault="006A30A0" w:rsidP="00216E0F"/>
        </w:tc>
      </w:tr>
    </w:tbl>
    <w:p w:rsidR="006A30A0" w:rsidRPr="00D66645" w:rsidRDefault="006A30A0" w:rsidP="006A30A0"/>
    <w:p w:rsidR="006A30A0" w:rsidRPr="00D66645" w:rsidRDefault="006A30A0" w:rsidP="006A30A0">
      <w:pPr>
        <w:pStyle w:val="HChG"/>
      </w:pPr>
      <w:r w:rsidRPr="00D66645">
        <w:br w:type="page"/>
      </w:r>
      <w:r w:rsidRPr="00D66645">
        <w:lastRenderedPageBreak/>
        <w:tab/>
      </w:r>
      <w:r w:rsidRPr="00D66645">
        <w:tab/>
        <w:t>Introduction</w:t>
      </w:r>
    </w:p>
    <w:p w:rsidR="006A30A0" w:rsidRPr="00D66645" w:rsidRDefault="006A30A0" w:rsidP="006A30A0">
      <w:pPr>
        <w:pStyle w:val="SingleTxtG"/>
        <w:numPr>
          <w:ilvl w:val="0"/>
          <w:numId w:val="15"/>
        </w:numPr>
        <w:ind w:left="1134" w:firstLine="0"/>
      </w:pPr>
      <w:r w:rsidRPr="00D66645">
        <w:t>À la demande des délégations des Pays-Bas et de la Belgique, le Comité administratif de l</w:t>
      </w:r>
      <w:r w:rsidR="00D66645" w:rsidRPr="00D66645">
        <w:t>’</w:t>
      </w:r>
      <w:r w:rsidRPr="00D66645">
        <w:t>ADN a accordé une dérogation pour l</w:t>
      </w:r>
      <w:r w:rsidR="00D66645" w:rsidRPr="00D66645">
        <w:t>’</w:t>
      </w:r>
      <w:r w:rsidRPr="00D66645">
        <w:t>utilisation d</w:t>
      </w:r>
      <w:r w:rsidR="00D66645" w:rsidRPr="00D66645">
        <w:t>’</w:t>
      </w:r>
      <w:r w:rsidRPr="00D66645">
        <w:t>un agent extincteur en aérosol sec pour les bateau</w:t>
      </w:r>
      <w:r w:rsidR="00E0286F">
        <w:t>x</w:t>
      </w:r>
      <w:r w:rsidRPr="00D66645">
        <w:t xml:space="preserve"> de navigation intérieure Chemgas 851 (Sirocco) et Donau (document informel INF.3 de la vingt-huitième session et document ECE/TRANS/WP.15/</w:t>
      </w:r>
      <w:r w:rsidR="00D66645">
        <w:br/>
      </w:r>
      <w:r w:rsidRPr="00D66645">
        <w:t>AC.2/2016/48). Ces demandes étaient accompagnées d</w:t>
      </w:r>
      <w:r w:rsidR="00D66645" w:rsidRPr="00D66645">
        <w:t>’</w:t>
      </w:r>
      <w:r w:rsidRPr="00D66645">
        <w:t>informations techniques pertinentes et de certificats garantissant la qualité (de production) de ce type d</w:t>
      </w:r>
      <w:r w:rsidR="00D66645" w:rsidRPr="00D66645">
        <w:t>’</w:t>
      </w:r>
      <w:r w:rsidRPr="00D66645">
        <w:t>agent extincteur (document informel INF.3 de la vingt-huitième session et document .informel INF.30 de la vingt-neuvième session).</w:t>
      </w:r>
    </w:p>
    <w:p w:rsidR="006A30A0" w:rsidRPr="00D66645" w:rsidRDefault="006A30A0" w:rsidP="006A30A0">
      <w:pPr>
        <w:pStyle w:val="SingleTxtG"/>
        <w:numPr>
          <w:ilvl w:val="0"/>
          <w:numId w:val="15"/>
        </w:numPr>
        <w:ind w:left="1134" w:firstLine="0"/>
      </w:pPr>
      <w:r w:rsidRPr="00D66645">
        <w:t>Après la deuxième dérogation, le Comité de sécurité de l</w:t>
      </w:r>
      <w:r w:rsidR="00D66645" w:rsidRPr="00D66645">
        <w:t>’</w:t>
      </w:r>
      <w:r w:rsidRPr="00D66645">
        <w:t>ADN a demandé aux délégations belge et néerlandaise de proposer des modifications à l</w:t>
      </w:r>
      <w:r w:rsidR="00D66645" w:rsidRPr="00D66645">
        <w:t>’</w:t>
      </w:r>
      <w:r w:rsidRPr="00D66645">
        <w:t>ADN pour autoriser les agents extincteurs en aérosol sec à titre permanent dans le règlement annexé à l</w:t>
      </w:r>
      <w:r w:rsidR="00D66645" w:rsidRPr="00D66645">
        <w:t>’</w:t>
      </w:r>
      <w:r w:rsidRPr="00D66645">
        <w:t>ADN (ECE/TRANS/WP.15/AC.2/60, par</w:t>
      </w:r>
      <w:r w:rsidR="00D66645">
        <w:t>. </w:t>
      </w:r>
      <w:r w:rsidRPr="00D66645">
        <w:t xml:space="preserve">8 </w:t>
      </w:r>
      <w:r w:rsidR="00E0286F">
        <w:t>et</w:t>
      </w:r>
      <w:r w:rsidRPr="00D66645">
        <w:t xml:space="preserve"> 9).</w:t>
      </w:r>
    </w:p>
    <w:p w:rsidR="006A30A0" w:rsidRPr="00D66645" w:rsidRDefault="006A30A0" w:rsidP="006A30A0">
      <w:pPr>
        <w:pStyle w:val="HChG"/>
      </w:pPr>
      <w:r w:rsidRPr="00D66645">
        <w:tab/>
      </w:r>
      <w:r w:rsidRPr="00D66645">
        <w:tab/>
        <w:t xml:space="preserve">Amendement proposé </w:t>
      </w:r>
    </w:p>
    <w:p w:rsidR="006A30A0" w:rsidRPr="00D66645" w:rsidRDefault="006A30A0" w:rsidP="006A30A0">
      <w:pPr>
        <w:pStyle w:val="SingleTxtG"/>
        <w:numPr>
          <w:ilvl w:val="0"/>
          <w:numId w:val="15"/>
        </w:numPr>
        <w:ind w:left="1134" w:firstLine="0"/>
      </w:pPr>
      <w:r w:rsidRPr="00D66645">
        <w:t>Étant donné que l</w:t>
      </w:r>
      <w:r w:rsidR="00D66645" w:rsidRPr="00D66645">
        <w:t>’</w:t>
      </w:r>
      <w:r w:rsidRPr="00D66645">
        <w:t>agent extincteur en aérosol sec peut être utilisé pour de nombreuses catégories d</w:t>
      </w:r>
      <w:r w:rsidR="00D66645" w:rsidRPr="00D66645">
        <w:t>’</w:t>
      </w:r>
      <w:r w:rsidRPr="00D66645">
        <w:t>incendies, les délégations belge et néerlandaise souhaiteraient proposer des amendements aux numéros 9.1.0.40.2.1 et 9.3.X.40.2.1 du Règlement annexé à l</w:t>
      </w:r>
      <w:r w:rsidR="00D66645" w:rsidRPr="00D66645">
        <w:t>’</w:t>
      </w:r>
      <w:r w:rsidRPr="00D66645">
        <w:t>ADN, pour autoriser ces type d</w:t>
      </w:r>
      <w:r w:rsidR="00D66645" w:rsidRPr="00D66645">
        <w:t>’</w:t>
      </w:r>
      <w:r w:rsidRPr="00D66645">
        <w:t>agents extincteurs à titre permanent à bord des bateaux de navigation intérieure transportant des marchandises dangereuses</w:t>
      </w:r>
      <w:r w:rsidR="00D66645" w:rsidRPr="00D66645">
        <w:t> </w:t>
      </w:r>
      <w:r w:rsidRPr="00D66645">
        <w:t>:</w:t>
      </w:r>
    </w:p>
    <w:p w:rsidR="006A30A0" w:rsidRPr="00D66645" w:rsidRDefault="006A30A0" w:rsidP="006A30A0">
      <w:pPr>
        <w:pStyle w:val="SingleTxtG"/>
      </w:pPr>
      <w:r w:rsidRPr="00D66645">
        <w:t>« 9.1.0.40.2.1, après d), ajouter : e) Aérosol sec (système conforme à la Directive 2014/90/UE relative aux équipements marins</w:t>
      </w:r>
      <w:r w:rsidRPr="00D66645">
        <w:rPr>
          <w:rStyle w:val="FootnoteReference"/>
          <w:sz w:val="20"/>
          <w:vertAlign w:val="baseline"/>
        </w:rPr>
        <w:footnoteReference w:customMarkFollows="1" w:id="4"/>
        <w:t>*</w:t>
      </w:r>
      <w:r w:rsidRPr="00D66645">
        <w:t>)</w:t>
      </w:r>
      <w:r w:rsidR="00D66645">
        <w:t> »</w:t>
      </w:r>
    </w:p>
    <w:p w:rsidR="006A30A0" w:rsidRPr="00D66645" w:rsidRDefault="006A30A0" w:rsidP="006A30A0">
      <w:pPr>
        <w:pStyle w:val="SingleTxtG"/>
      </w:pPr>
      <w:r w:rsidRPr="00D66645">
        <w:t>et</w:t>
      </w:r>
    </w:p>
    <w:p w:rsidR="006A30A0" w:rsidRPr="00D66645" w:rsidRDefault="006A30A0" w:rsidP="006A30A0">
      <w:pPr>
        <w:pStyle w:val="SingleTxtG"/>
      </w:pPr>
      <w:r w:rsidRPr="00D66645">
        <w:t>« 9.3.X.40.2.1, après d), ajouter : e) Aérosol sec (système conforme à la Directive 2014/90/UE relative aux équipements marins*)</w:t>
      </w:r>
      <w:r w:rsidR="00D66645">
        <w:t> ».</w:t>
      </w:r>
    </w:p>
    <w:p w:rsidR="006A30A0" w:rsidRPr="00D66645" w:rsidRDefault="006A30A0" w:rsidP="006A30A0">
      <w:pPr>
        <w:pStyle w:val="HChG"/>
      </w:pPr>
      <w:r w:rsidRPr="00D66645">
        <w:tab/>
      </w:r>
      <w:r w:rsidRPr="00D66645">
        <w:tab/>
        <w:t>Conclusion</w:t>
      </w:r>
    </w:p>
    <w:p w:rsidR="006A30A0" w:rsidRPr="00D66645" w:rsidRDefault="006A30A0" w:rsidP="006A30A0">
      <w:pPr>
        <w:pStyle w:val="SingleTxtG"/>
        <w:numPr>
          <w:ilvl w:val="0"/>
          <w:numId w:val="15"/>
        </w:numPr>
        <w:ind w:left="1134" w:firstLine="0"/>
        <w:rPr>
          <w:rStyle w:val="alt-edited"/>
        </w:rPr>
      </w:pPr>
      <w:r w:rsidRPr="00D66645">
        <w:rPr>
          <w:rStyle w:val="alt-edited"/>
        </w:rPr>
        <w:t>Le Comité de sécurité est invité à examiner les propositions figurant au paragraphe 3 ci-dessus et à prendre les mesures appropriées.</w:t>
      </w:r>
    </w:p>
    <w:p w:rsidR="006A30A0" w:rsidRPr="00D66645" w:rsidRDefault="006A30A0" w:rsidP="006A30A0">
      <w:pPr>
        <w:pStyle w:val="SingleTxtG"/>
        <w:spacing w:before="240" w:after="0"/>
        <w:jc w:val="center"/>
      </w:pPr>
      <w:r w:rsidRPr="00D66645">
        <w:rPr>
          <w:u w:val="single"/>
        </w:rPr>
        <w:tab/>
      </w:r>
      <w:r w:rsidRPr="00D66645">
        <w:rPr>
          <w:u w:val="single"/>
        </w:rPr>
        <w:tab/>
      </w:r>
      <w:r w:rsidRPr="00D66645">
        <w:rPr>
          <w:u w:val="single"/>
        </w:rPr>
        <w:tab/>
      </w:r>
    </w:p>
    <w:sectPr w:rsidR="006A30A0" w:rsidRPr="00D66645" w:rsidSect="006A30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7C" w:rsidRDefault="0087277C" w:rsidP="00F95C08">
      <w:pPr>
        <w:spacing w:line="240" w:lineRule="auto"/>
      </w:pPr>
    </w:p>
  </w:endnote>
  <w:endnote w:type="continuationSeparator" w:id="0">
    <w:p w:rsidR="0087277C" w:rsidRPr="00AC3823" w:rsidRDefault="0087277C" w:rsidP="00AC3823">
      <w:pPr>
        <w:pStyle w:val="Footer"/>
      </w:pPr>
    </w:p>
  </w:endnote>
  <w:endnote w:type="continuationNotice" w:id="1">
    <w:p w:rsidR="0087277C" w:rsidRDefault="008727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A0" w:rsidRPr="006A30A0" w:rsidRDefault="006A30A0" w:rsidP="006A30A0">
    <w:pPr>
      <w:pStyle w:val="Footer"/>
      <w:tabs>
        <w:tab w:val="right" w:pos="9638"/>
      </w:tabs>
    </w:pPr>
    <w:r w:rsidRPr="006A30A0">
      <w:rPr>
        <w:b/>
        <w:sz w:val="18"/>
      </w:rPr>
      <w:fldChar w:fldCharType="begin"/>
    </w:r>
    <w:r w:rsidRPr="006A30A0">
      <w:rPr>
        <w:b/>
        <w:sz w:val="18"/>
      </w:rPr>
      <w:instrText xml:space="preserve"> PAGE  \* MERGEFORMAT </w:instrText>
    </w:r>
    <w:r w:rsidRPr="006A30A0">
      <w:rPr>
        <w:b/>
        <w:sz w:val="18"/>
      </w:rPr>
      <w:fldChar w:fldCharType="separate"/>
    </w:r>
    <w:r w:rsidR="0051694E">
      <w:rPr>
        <w:b/>
        <w:noProof/>
        <w:sz w:val="18"/>
      </w:rPr>
      <w:t>2</w:t>
    </w:r>
    <w:r w:rsidRPr="006A30A0">
      <w:rPr>
        <w:b/>
        <w:sz w:val="18"/>
      </w:rPr>
      <w:fldChar w:fldCharType="end"/>
    </w:r>
    <w:r>
      <w:rPr>
        <w:b/>
        <w:sz w:val="18"/>
      </w:rPr>
      <w:tab/>
    </w:r>
    <w:r>
      <w:t>GE.16-19273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A0" w:rsidRPr="006A30A0" w:rsidRDefault="006A30A0" w:rsidP="006A30A0">
    <w:pPr>
      <w:pStyle w:val="Footer"/>
      <w:tabs>
        <w:tab w:val="right" w:pos="9638"/>
      </w:tabs>
      <w:rPr>
        <w:b/>
        <w:sz w:val="18"/>
      </w:rPr>
    </w:pPr>
    <w:r>
      <w:t>GE.16-19273</w:t>
    </w:r>
    <w:r>
      <w:tab/>
    </w:r>
    <w:r w:rsidRPr="006A30A0">
      <w:rPr>
        <w:b/>
        <w:sz w:val="18"/>
      </w:rPr>
      <w:fldChar w:fldCharType="begin"/>
    </w:r>
    <w:r w:rsidRPr="006A30A0">
      <w:rPr>
        <w:b/>
        <w:sz w:val="18"/>
      </w:rPr>
      <w:instrText xml:space="preserve"> PAGE  \* MERGEFORMAT </w:instrText>
    </w:r>
    <w:r w:rsidRPr="006A30A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A30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A30A0" w:rsidRDefault="006A30A0" w:rsidP="006A30A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C1719B2" wp14:editId="0D4199C8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16-19273  (F)    181116    221116</w:t>
    </w:r>
    <w:r>
      <w:rPr>
        <w:sz w:val="20"/>
      </w:rPr>
      <w:br/>
    </w:r>
    <w:r w:rsidRPr="006A30A0">
      <w:rPr>
        <w:rFonts w:ascii="C39T30Lfz" w:hAnsi="C39T30Lfz"/>
        <w:sz w:val="56"/>
      </w:rPr>
      <w:t></w:t>
    </w:r>
    <w:r w:rsidRPr="006A30A0">
      <w:rPr>
        <w:rFonts w:ascii="C39T30Lfz" w:hAnsi="C39T30Lfz"/>
        <w:sz w:val="56"/>
      </w:rPr>
      <w:t></w:t>
    </w:r>
    <w:r w:rsidRPr="006A30A0">
      <w:rPr>
        <w:rFonts w:ascii="C39T30Lfz" w:hAnsi="C39T30Lfz"/>
        <w:sz w:val="56"/>
      </w:rPr>
      <w:t></w:t>
    </w:r>
    <w:r w:rsidRPr="006A30A0">
      <w:rPr>
        <w:rFonts w:ascii="C39T30Lfz" w:hAnsi="C39T30Lfz"/>
        <w:sz w:val="56"/>
      </w:rPr>
      <w:t></w:t>
    </w:r>
    <w:r w:rsidRPr="006A30A0">
      <w:rPr>
        <w:rFonts w:ascii="C39T30Lfz" w:hAnsi="C39T30Lfz"/>
        <w:sz w:val="56"/>
      </w:rPr>
      <w:t></w:t>
    </w:r>
    <w:r w:rsidRPr="006A30A0">
      <w:rPr>
        <w:rFonts w:ascii="C39T30Lfz" w:hAnsi="C39T30Lfz"/>
        <w:sz w:val="56"/>
      </w:rPr>
      <w:t></w:t>
    </w:r>
    <w:r w:rsidRPr="006A30A0">
      <w:rPr>
        <w:rFonts w:ascii="C39T30Lfz" w:hAnsi="C39T30Lfz"/>
        <w:sz w:val="56"/>
      </w:rPr>
      <w:t></w:t>
    </w:r>
    <w:r w:rsidRPr="006A30A0">
      <w:rPr>
        <w:rFonts w:ascii="C39T30Lfz" w:hAnsi="C39T30Lfz"/>
        <w:sz w:val="56"/>
      </w:rPr>
      <w:t></w:t>
    </w:r>
    <w:r w:rsidRPr="006A30A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2/2017/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7/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7C" w:rsidRPr="00AC3823" w:rsidRDefault="0087277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277C" w:rsidRPr="00AC3823" w:rsidRDefault="0087277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7277C" w:rsidRPr="00AC3823" w:rsidRDefault="0087277C">
      <w:pPr>
        <w:spacing w:line="240" w:lineRule="auto"/>
        <w:rPr>
          <w:sz w:val="2"/>
          <w:szCs w:val="2"/>
        </w:rPr>
      </w:pPr>
    </w:p>
  </w:footnote>
  <w:footnote w:id="2">
    <w:p w:rsidR="006A30A0" w:rsidRPr="006A30A0" w:rsidRDefault="006A30A0">
      <w:pPr>
        <w:pStyle w:val="FootnoteText"/>
      </w:pPr>
      <w:r>
        <w:rPr>
          <w:rStyle w:val="FootnoteReference"/>
        </w:rPr>
        <w:tab/>
      </w:r>
      <w:r w:rsidRPr="006A30A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545EC">
        <w:t xml:space="preserve">Diffusé en langue allemande par la Commission </w:t>
      </w:r>
      <w:r w:rsidR="00E0286F">
        <w:t>c</w:t>
      </w:r>
      <w:r w:rsidRPr="00B545EC">
        <w:t xml:space="preserve">entrale pour la </w:t>
      </w:r>
      <w:r w:rsidR="00E0286F">
        <w:t>n</w:t>
      </w:r>
      <w:r w:rsidRPr="00B545EC">
        <w:t xml:space="preserve">avigation du Rhin sous la cote </w:t>
      </w:r>
      <w:r w:rsidRPr="0051694E">
        <w:t>CCNR-ZKR/ADN/WP.15/AC.2/2017/9.</w:t>
      </w:r>
    </w:p>
  </w:footnote>
  <w:footnote w:id="3">
    <w:p w:rsidR="006A30A0" w:rsidRPr="006A30A0" w:rsidRDefault="006A30A0">
      <w:pPr>
        <w:pStyle w:val="FootnoteText"/>
      </w:pPr>
      <w:r>
        <w:rPr>
          <w:rStyle w:val="FootnoteReference"/>
        </w:rPr>
        <w:tab/>
      </w:r>
      <w:r w:rsidRPr="006A30A0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</w:t>
      </w:r>
      <w:r w:rsidR="00D66645">
        <w:noBreakHyphen/>
      </w:r>
      <w:r>
        <w:t>2017 (ECE/TRANS/2016/28/Add.1 (9.3)).</w:t>
      </w:r>
    </w:p>
  </w:footnote>
  <w:footnote w:id="4">
    <w:p w:rsidR="006A30A0" w:rsidRPr="007D0C15" w:rsidRDefault="006A30A0" w:rsidP="006A30A0">
      <w:pPr>
        <w:pStyle w:val="FootnoteText"/>
        <w:rPr>
          <w:i/>
          <w:szCs w:val="18"/>
        </w:rPr>
      </w:pPr>
      <w:r>
        <w:tab/>
      </w:r>
      <w:r w:rsidRPr="00D66645">
        <w:rPr>
          <w:rStyle w:val="FootnoteReference"/>
          <w:sz w:val="20"/>
          <w:vertAlign w:val="baseline"/>
        </w:rPr>
        <w:t>*</w:t>
      </w:r>
      <w:r w:rsidRPr="00374746">
        <w:rPr>
          <w:rStyle w:val="FootnoteReference"/>
          <w:sz w:val="20"/>
        </w:rPr>
        <w:tab/>
      </w:r>
      <w:r w:rsidRPr="007D0C15">
        <w:rPr>
          <w:i/>
          <w:szCs w:val="18"/>
        </w:rPr>
        <w:t>Directive</w:t>
      </w:r>
      <w:r w:rsidRPr="007D0C15">
        <w:rPr>
          <w:i/>
          <w:szCs w:val="18"/>
          <w:lang w:val="fr-FR"/>
        </w:rPr>
        <w:t xml:space="preserve"> 2014/90/UE du Parlement européen et du Conseil du 23</w:t>
      </w:r>
      <w:r w:rsidR="007D0C15">
        <w:rPr>
          <w:i/>
          <w:szCs w:val="18"/>
          <w:lang w:val="fr-FR"/>
        </w:rPr>
        <w:t> </w:t>
      </w:r>
      <w:r w:rsidRPr="007D0C15">
        <w:rPr>
          <w:i/>
          <w:szCs w:val="18"/>
          <w:lang w:val="fr-FR"/>
        </w:rPr>
        <w:t xml:space="preserve">juillet 2014 </w:t>
      </w:r>
      <w:r w:rsidRPr="007D0C15">
        <w:rPr>
          <w:i/>
          <w:szCs w:val="18"/>
        </w:rPr>
        <w:t xml:space="preserve">relative aux équipements marins et abrogeant la directive 96/98/CE du Conseil </w:t>
      </w:r>
      <w:r w:rsidRPr="007D0C15">
        <w:rPr>
          <w:rStyle w:val="FootnoteReference"/>
          <w:i/>
          <w:szCs w:val="18"/>
          <w:vertAlign w:val="baseline"/>
        </w:rPr>
        <w:t>(Journal Offici</w:t>
      </w:r>
      <w:r w:rsidRPr="007D0C15">
        <w:rPr>
          <w:i/>
          <w:szCs w:val="18"/>
        </w:rPr>
        <w:t>e</w:t>
      </w:r>
      <w:r w:rsidRPr="007D0C15">
        <w:rPr>
          <w:rStyle w:val="FootnoteReference"/>
          <w:i/>
          <w:szCs w:val="18"/>
          <w:vertAlign w:val="baseline"/>
        </w:rPr>
        <w:t>l d</w:t>
      </w:r>
      <w:r w:rsidRPr="007D0C15">
        <w:rPr>
          <w:i/>
          <w:szCs w:val="18"/>
        </w:rPr>
        <w:t>e l’</w:t>
      </w:r>
      <w:r w:rsidRPr="007D0C15">
        <w:rPr>
          <w:rStyle w:val="FootnoteReference"/>
          <w:i/>
          <w:szCs w:val="18"/>
          <w:vertAlign w:val="baseline"/>
        </w:rPr>
        <w:t>Union Europ</w:t>
      </w:r>
      <w:r w:rsidRPr="007D0C15">
        <w:rPr>
          <w:i/>
          <w:szCs w:val="18"/>
        </w:rPr>
        <w:t>ée</w:t>
      </w:r>
      <w:r w:rsidRPr="007D0C15">
        <w:rPr>
          <w:rStyle w:val="FootnoteReference"/>
          <w:i/>
          <w:szCs w:val="18"/>
          <w:vertAlign w:val="baseline"/>
        </w:rPr>
        <w:t>n</w:t>
      </w:r>
      <w:r w:rsidRPr="007D0C15">
        <w:rPr>
          <w:i/>
          <w:szCs w:val="18"/>
        </w:rPr>
        <w:t>ne</w:t>
      </w:r>
      <w:r w:rsidRPr="007D0C15">
        <w:rPr>
          <w:rStyle w:val="FootnoteReference"/>
          <w:i/>
          <w:szCs w:val="18"/>
          <w:vertAlign w:val="baseline"/>
        </w:rPr>
        <w:t xml:space="preserve"> </w:t>
      </w:r>
      <w:r w:rsidR="007D0C15" w:rsidRPr="007D0C15">
        <w:rPr>
          <w:rFonts w:eastAsia="MS Mincho"/>
          <w:i/>
          <w:szCs w:val="22"/>
        </w:rPr>
        <w:t>n</w:t>
      </w:r>
      <w:r w:rsidR="007D0C15" w:rsidRPr="007D0C15">
        <w:rPr>
          <w:rFonts w:eastAsia="MS Mincho"/>
          <w:i/>
          <w:szCs w:val="22"/>
          <w:vertAlign w:val="superscript"/>
        </w:rPr>
        <w:t>o</w:t>
      </w:r>
      <w:r w:rsidR="007D0C15">
        <w:rPr>
          <w:i/>
          <w:szCs w:val="18"/>
        </w:rPr>
        <w:t> </w:t>
      </w:r>
      <w:r w:rsidRPr="007D0C15">
        <w:rPr>
          <w:rStyle w:val="FootnoteReference"/>
          <w:i/>
          <w:szCs w:val="18"/>
          <w:vertAlign w:val="baseline"/>
        </w:rPr>
        <w:t xml:space="preserve"> L</w:t>
      </w:r>
      <w:r w:rsidR="007D0C15">
        <w:rPr>
          <w:rStyle w:val="FootnoteReference"/>
          <w:i/>
          <w:szCs w:val="18"/>
          <w:vertAlign w:val="baseline"/>
        </w:rPr>
        <w:t> </w:t>
      </w:r>
      <w:r w:rsidRPr="007D0C15">
        <w:rPr>
          <w:rStyle w:val="FootnoteReference"/>
          <w:i/>
          <w:szCs w:val="18"/>
          <w:vertAlign w:val="baseline"/>
        </w:rPr>
        <w:t>257</w:t>
      </w:r>
      <w:r w:rsidRPr="007D0C15">
        <w:rPr>
          <w:i/>
          <w:szCs w:val="18"/>
        </w:rPr>
        <w:t xml:space="preserve"> du 28</w:t>
      </w:r>
      <w:r w:rsidR="007D0C15" w:rsidRPr="007D0C15">
        <w:rPr>
          <w:i/>
          <w:szCs w:val="18"/>
        </w:rPr>
        <w:t> </w:t>
      </w:r>
      <w:r w:rsidRPr="007D0C15">
        <w:rPr>
          <w:i/>
          <w:szCs w:val="18"/>
        </w:rPr>
        <w:t>août 2014, p.</w:t>
      </w:r>
      <w:r w:rsidR="007D0C15">
        <w:rPr>
          <w:i/>
          <w:szCs w:val="18"/>
        </w:rPr>
        <w:t> </w:t>
      </w:r>
      <w:r w:rsidRPr="007D0C15">
        <w:rPr>
          <w:rStyle w:val="FootnoteReference"/>
          <w:i/>
          <w:szCs w:val="18"/>
          <w:vertAlign w:val="baseline"/>
        </w:rPr>
        <w:t>146</w:t>
      </w:r>
      <w:r w:rsidR="007D0C15">
        <w:rPr>
          <w:i/>
          <w:szCs w:val="18"/>
        </w:rPr>
        <w:t xml:space="preserve"> à </w:t>
      </w:r>
      <w:r w:rsidRPr="007D0C15">
        <w:rPr>
          <w:i/>
          <w:szCs w:val="18"/>
        </w:rPr>
        <w:t>185).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A0" w:rsidRPr="006A30A0" w:rsidRDefault="006A30A0">
    <w:pPr>
      <w:pStyle w:val="Header"/>
    </w:pPr>
    <w:r>
      <w:t>ECE/TRANS/WP.15/AC.2/2017/16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A0" w:rsidRPr="006A30A0" w:rsidRDefault="006A30A0" w:rsidP="006A30A0">
    <w:pPr>
      <w:pStyle w:val="Header"/>
      <w:jc w:val="right"/>
    </w:pPr>
    <w:r>
      <w:t>ECE/TRANS/WP.15/AC.2/2017/16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0BD5446"/>
    <w:multiLevelType w:val="hybridMultilevel"/>
    <w:tmpl w:val="32E023D8"/>
    <w:lvl w:ilvl="0" w:tplc="C84A64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3217A55"/>
    <w:multiLevelType w:val="hybridMultilevel"/>
    <w:tmpl w:val="C680CD80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7C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85CD8"/>
    <w:rsid w:val="004E468C"/>
    <w:rsid w:val="0051694E"/>
    <w:rsid w:val="005505B7"/>
    <w:rsid w:val="00573BE5"/>
    <w:rsid w:val="00586ED3"/>
    <w:rsid w:val="00596AA9"/>
    <w:rsid w:val="006A30A0"/>
    <w:rsid w:val="0071601D"/>
    <w:rsid w:val="007A62E6"/>
    <w:rsid w:val="007D0C15"/>
    <w:rsid w:val="007F20FA"/>
    <w:rsid w:val="0080684C"/>
    <w:rsid w:val="00862D94"/>
    <w:rsid w:val="00871C75"/>
    <w:rsid w:val="0087277C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66645"/>
    <w:rsid w:val="00DB1831"/>
    <w:rsid w:val="00DD3BFD"/>
    <w:rsid w:val="00DF6678"/>
    <w:rsid w:val="00E0286F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B2F5118-669F-4695-BFB7-75B3CB55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A30A0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lt-edited">
    <w:name w:val="alt-edited"/>
    <w:basedOn w:val="DefaultParagraphFont"/>
    <w:rsid w:val="006A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ECE/TRANS/WP.15/AC.2/2017/16</vt:lpstr>
      <vt:lpstr>ECE/TRANS/WP.15/AC.2/2017/16</vt:lpstr>
    </vt:vector>
  </TitlesOfParts>
  <Company>DCM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ECE/TRANS/WP.15/AC.2/2017/16</dc:title>
  <dc:subject>Final</dc:subject>
  <dc:creator>Fabienne Crelier</dc:creator>
  <cp:lastModifiedBy>Lucille</cp:lastModifiedBy>
  <cp:revision>2</cp:revision>
  <cp:lastPrinted>2016-11-22T07:43:00Z</cp:lastPrinted>
  <dcterms:created xsi:type="dcterms:W3CDTF">2016-11-24T10:00:00Z</dcterms:created>
  <dcterms:modified xsi:type="dcterms:W3CDTF">2016-11-24T10:00:00Z</dcterms:modified>
</cp:coreProperties>
</file>