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73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7349" w:rsidP="001E7349">
            <w:pPr>
              <w:jc w:val="right"/>
            </w:pPr>
            <w:r w:rsidRPr="001E7349">
              <w:rPr>
                <w:sz w:val="40"/>
              </w:rPr>
              <w:t>ECE</w:t>
            </w:r>
            <w:r>
              <w:t>/TRANS/WP.15/AC.2/2017/33</w:t>
            </w:r>
          </w:p>
        </w:tc>
      </w:tr>
      <w:tr w:rsidR="002D5AAC" w:rsidRPr="00DD592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73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7349" w:rsidRDefault="001E7349" w:rsidP="001E7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2017</w:t>
            </w:r>
          </w:p>
          <w:p w:rsidR="001E7349" w:rsidRDefault="001E7349" w:rsidP="001E7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7349" w:rsidRPr="008D53B6" w:rsidRDefault="001E7349" w:rsidP="001E7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7349" w:rsidRPr="00E8550F" w:rsidRDefault="001E7349" w:rsidP="001E7349">
      <w:pPr>
        <w:spacing w:before="120"/>
        <w:rPr>
          <w:sz w:val="28"/>
          <w:szCs w:val="28"/>
        </w:rPr>
      </w:pPr>
      <w:r w:rsidRPr="00E8550F">
        <w:rPr>
          <w:sz w:val="28"/>
          <w:szCs w:val="28"/>
        </w:rPr>
        <w:t>Комитет по внутреннему транспорту</w:t>
      </w:r>
    </w:p>
    <w:p w:rsidR="001E7349" w:rsidRPr="00E8550F" w:rsidRDefault="001E7349" w:rsidP="001E7349">
      <w:pPr>
        <w:spacing w:before="120"/>
        <w:rPr>
          <w:b/>
          <w:sz w:val="24"/>
          <w:szCs w:val="24"/>
        </w:rPr>
      </w:pPr>
      <w:r w:rsidRPr="00E8550F">
        <w:rPr>
          <w:b/>
          <w:sz w:val="24"/>
          <w:szCs w:val="24"/>
        </w:rPr>
        <w:t>Рабочая группа по перевозкам опасных грузов</w:t>
      </w:r>
    </w:p>
    <w:p w:rsidR="001E7349" w:rsidRPr="00524CCD" w:rsidRDefault="001E7349" w:rsidP="001E7349">
      <w:pPr>
        <w:spacing w:before="120"/>
        <w:rPr>
          <w:b/>
        </w:rPr>
      </w:pPr>
      <w:r w:rsidRPr="00524CCD">
        <w:rPr>
          <w:b/>
        </w:rPr>
        <w:t>Совместное совещание экспертов по Правилам,</w:t>
      </w:r>
      <w:r w:rsidRPr="00524CCD">
        <w:rPr>
          <w:b/>
        </w:rPr>
        <w:br/>
        <w:t xml:space="preserve">прилагаемым к Европейскому соглашению </w:t>
      </w:r>
      <w:r w:rsidRPr="00524CCD">
        <w:rPr>
          <w:b/>
        </w:rPr>
        <w:br/>
        <w:t xml:space="preserve">о международной перевозке опасных грузов </w:t>
      </w:r>
      <w:r w:rsidRPr="00524CCD">
        <w:rPr>
          <w:b/>
        </w:rPr>
        <w:br/>
        <w:t>по внутренним водным путям (ВОПОГ)</w:t>
      </w:r>
    </w:p>
    <w:p w:rsidR="001E7349" w:rsidRPr="00524CCD" w:rsidRDefault="001E7349" w:rsidP="001E7349">
      <w:pPr>
        <w:rPr>
          <w:b/>
        </w:rPr>
      </w:pPr>
      <w:r w:rsidRPr="00524CCD">
        <w:rPr>
          <w:b/>
        </w:rPr>
        <w:t>(Комитет по вопросам безопасности ВОПОГ)</w:t>
      </w:r>
    </w:p>
    <w:p w:rsidR="001E7349" w:rsidRPr="00524CCD" w:rsidRDefault="001E7349" w:rsidP="001E7349">
      <w:pPr>
        <w:spacing w:before="120"/>
        <w:rPr>
          <w:b/>
        </w:rPr>
      </w:pPr>
      <w:r w:rsidRPr="00524CCD">
        <w:rPr>
          <w:b/>
        </w:rPr>
        <w:t>Тридцать первая сессия</w:t>
      </w:r>
    </w:p>
    <w:p w:rsidR="001E7349" w:rsidRPr="00E8550F" w:rsidRDefault="001E7349" w:rsidP="001E7349">
      <w:r w:rsidRPr="00E8550F">
        <w:t>Женева, 28–31 августа 2017 года</w:t>
      </w:r>
    </w:p>
    <w:p w:rsidR="001E7349" w:rsidRPr="00E8550F" w:rsidRDefault="001E7349" w:rsidP="001E7349">
      <w:r w:rsidRPr="00E8550F">
        <w:t>Пункт 4 b) предварительной повестки дня</w:t>
      </w:r>
    </w:p>
    <w:p w:rsidR="00E12C5F" w:rsidRPr="001E7349" w:rsidRDefault="001E7349" w:rsidP="001E7349">
      <w:r w:rsidRPr="00524CCD">
        <w:rPr>
          <w:b/>
        </w:rPr>
        <w:t xml:space="preserve">Предложения о внесении поправок в Правила, </w:t>
      </w:r>
      <w:r w:rsidRPr="00524CCD">
        <w:rPr>
          <w:b/>
        </w:rPr>
        <w:br/>
        <w:t>прилагаемые к ВОПОГ: другие предложения</w:t>
      </w:r>
    </w:p>
    <w:p w:rsidR="001E7349" w:rsidRPr="00A878C4" w:rsidRDefault="001E7349" w:rsidP="001E7349">
      <w:pPr>
        <w:pStyle w:val="HChGR"/>
        <w:rPr>
          <w:szCs w:val="28"/>
        </w:rPr>
      </w:pPr>
      <w:r w:rsidRPr="00E8550F">
        <w:tab/>
      </w:r>
      <w:r w:rsidR="00A354AA" w:rsidRPr="00DD592D">
        <w:tab/>
      </w:r>
      <w:r w:rsidRPr="00A878C4">
        <w:rPr>
          <w:szCs w:val="28"/>
        </w:rPr>
        <w:t>Противопожарн</w:t>
      </w:r>
      <w:r>
        <w:rPr>
          <w:szCs w:val="28"/>
        </w:rPr>
        <w:t>ая</w:t>
      </w:r>
      <w:r w:rsidRPr="00A878C4">
        <w:rPr>
          <w:szCs w:val="28"/>
        </w:rPr>
        <w:t xml:space="preserve"> </w:t>
      </w:r>
      <w:r>
        <w:rPr>
          <w:szCs w:val="28"/>
        </w:rPr>
        <w:t>защита</w:t>
      </w:r>
      <w:r w:rsidRPr="00A878C4">
        <w:rPr>
          <w:szCs w:val="28"/>
        </w:rPr>
        <w:t xml:space="preserve"> </w:t>
      </w:r>
      <w:r>
        <w:rPr>
          <w:szCs w:val="28"/>
        </w:rPr>
        <w:t>класса «</w:t>
      </w:r>
      <w:r w:rsidRPr="00A878C4">
        <w:rPr>
          <w:szCs w:val="28"/>
        </w:rPr>
        <w:t>A</w:t>
      </w:r>
      <w:r w:rsidR="00A354AA">
        <w:rPr>
          <w:szCs w:val="28"/>
        </w:rPr>
        <w:t>-</w:t>
      </w:r>
      <w:r w:rsidRPr="00A878C4">
        <w:rPr>
          <w:szCs w:val="28"/>
        </w:rPr>
        <w:t>60</w:t>
      </w:r>
      <w:r>
        <w:rPr>
          <w:szCs w:val="28"/>
        </w:rPr>
        <w:t>»</w:t>
      </w:r>
    </w:p>
    <w:p w:rsidR="001E7349" w:rsidRPr="008F599E" w:rsidRDefault="001E7349" w:rsidP="001E7349">
      <w:pPr>
        <w:pStyle w:val="H1GR"/>
        <w:rPr>
          <w:b w:val="0"/>
          <w:sz w:val="20"/>
        </w:rPr>
      </w:pPr>
      <w:r w:rsidRPr="00E8550F">
        <w:tab/>
      </w:r>
      <w:r w:rsidRPr="00E8550F">
        <w:tab/>
        <w:t xml:space="preserve">Передано </w:t>
      </w:r>
      <w:r w:rsidRPr="000854E1">
        <w:t>Рекомендованны</w:t>
      </w:r>
      <w:r>
        <w:t>ми</w:t>
      </w:r>
      <w:r w:rsidRPr="000854E1">
        <w:t xml:space="preserve"> классификационны</w:t>
      </w:r>
      <w:r>
        <w:t>ми</w:t>
      </w:r>
      <w:r w:rsidRPr="000854E1">
        <w:t xml:space="preserve"> общества</w:t>
      </w:r>
      <w:r>
        <w:t>ми</w:t>
      </w:r>
      <w:r w:rsidRPr="000854E1">
        <w:t xml:space="preserve"> ВОПОГ</w:t>
      </w:r>
      <w:r w:rsidRPr="00332576">
        <w:rPr>
          <w:b w:val="0"/>
          <w:sz w:val="20"/>
        </w:rPr>
        <w:footnoteReference w:customMarkFollows="1" w:id="1"/>
        <w:t>*</w:t>
      </w:r>
      <w:r w:rsidRPr="00C841B8">
        <w:rPr>
          <w:b w:val="0"/>
          <w:sz w:val="20"/>
        </w:rPr>
        <w:t xml:space="preserve"> </w:t>
      </w:r>
      <w:r w:rsidRPr="00332576">
        <w:rPr>
          <w:b w:val="0"/>
          <w:sz w:val="20"/>
        </w:rPr>
        <w:footnoteReference w:customMarkFollows="1" w:id="2"/>
        <w:t>**</w:t>
      </w:r>
    </w:p>
    <w:p w:rsidR="001E7349" w:rsidRPr="00E8550F" w:rsidRDefault="001E7349" w:rsidP="001E7349">
      <w:pPr>
        <w:pStyle w:val="HChGR"/>
      </w:pPr>
      <w:r w:rsidRPr="00E8550F">
        <w:tab/>
      </w:r>
      <w:r w:rsidRPr="00E8550F">
        <w:tab/>
        <w:t>Введение</w:t>
      </w:r>
    </w:p>
    <w:p w:rsidR="001E7349" w:rsidRDefault="001E7349" w:rsidP="001E7349">
      <w:pPr>
        <w:pStyle w:val="SingleTxtGR"/>
      </w:pPr>
      <w:r w:rsidRPr="00E8550F">
        <w:t>1.</w:t>
      </w:r>
      <w:r w:rsidRPr="00E8550F">
        <w:tab/>
      </w:r>
      <w:r>
        <w:t>На своей двадцать восьмой</w:t>
      </w:r>
      <w:r w:rsidRPr="00E8550F">
        <w:t xml:space="preserve"> сессии Комитет по вопросам безопасности</w:t>
      </w:r>
      <w:r w:rsidRPr="00E8550F">
        <w:rPr>
          <w:b/>
        </w:rPr>
        <w:t xml:space="preserve"> </w:t>
      </w:r>
      <w:r w:rsidRPr="00E8550F">
        <w:t xml:space="preserve">ВОПОГ </w:t>
      </w:r>
      <w:r>
        <w:t xml:space="preserve">принял предложенные поправки к пункту </w:t>
      </w:r>
      <w:r w:rsidRPr="00F64336">
        <w:rPr>
          <w:bCs/>
        </w:rPr>
        <w:t xml:space="preserve">9.3.X.11.3 </w:t>
      </w:r>
      <w:r>
        <w:rPr>
          <w:bCs/>
        </w:rPr>
        <w:t xml:space="preserve">а) </w:t>
      </w:r>
      <w:r>
        <w:t xml:space="preserve">(см. неофициальный документ INF.26 указанной сессии, представленный </w:t>
      </w:r>
      <w:r w:rsidRPr="000854E1">
        <w:t>Рекомендованны</w:t>
      </w:r>
      <w:r>
        <w:t>ми</w:t>
      </w:r>
      <w:r w:rsidRPr="000854E1">
        <w:t xml:space="preserve"> классификационны</w:t>
      </w:r>
      <w:r>
        <w:t>ми</w:t>
      </w:r>
      <w:r w:rsidRPr="000854E1">
        <w:t xml:space="preserve"> общества</w:t>
      </w:r>
      <w:r>
        <w:t>ми</w:t>
      </w:r>
      <w:r w:rsidRPr="000854E1">
        <w:t xml:space="preserve"> ВОПОГ</w:t>
      </w:r>
      <w:r>
        <w:t xml:space="preserve">) (после </w:t>
      </w:r>
      <w:r w:rsidRPr="007A5E30">
        <w:t xml:space="preserve">«жилых» включить </w:t>
      </w:r>
      <w:r>
        <w:t>«помещений, машинных отделений»</w:t>
      </w:r>
      <w:r w:rsidRPr="00E73A51">
        <w:t xml:space="preserve"> </w:t>
      </w:r>
      <w:r>
        <w:t>(см. документ</w:t>
      </w:r>
      <w:r w:rsidRPr="00E73A51">
        <w:t xml:space="preserve"> </w:t>
      </w:r>
      <w:r w:rsidRPr="00F64336">
        <w:t>ECE/ADN/36</w:t>
      </w:r>
      <w:r>
        <w:t>)).</w:t>
      </w:r>
    </w:p>
    <w:p w:rsidR="001E7349" w:rsidRPr="005A322E" w:rsidRDefault="001E7349" w:rsidP="001E7349">
      <w:pPr>
        <w:pStyle w:val="SingleTxtGR"/>
      </w:pPr>
      <w:r w:rsidRPr="001C33C1">
        <w:t>2.</w:t>
      </w:r>
      <w:r w:rsidRPr="001C33C1">
        <w:tab/>
      </w:r>
      <w:r>
        <w:t>Вместе с тем б</w:t>
      </w:r>
      <w:r w:rsidRPr="000F52F6">
        <w:t xml:space="preserve">ыло отмечено наличие </w:t>
      </w:r>
      <w:r>
        <w:t>некоторых</w:t>
      </w:r>
      <w:r w:rsidRPr="000F52F6">
        <w:t xml:space="preserve"> несоответствий в ссылках на переборки с изоляцией класса «А-60» согласно СОЛАС </w:t>
      </w:r>
      <w:r w:rsidRPr="003C2C68">
        <w:t xml:space="preserve">1974 года </w:t>
      </w:r>
      <w:r w:rsidRPr="000F52F6">
        <w:t>(например, в пунктах</w:t>
      </w:r>
      <w:r>
        <w:t xml:space="preserve"> </w:t>
      </w:r>
      <w:r w:rsidRPr="000F52F6">
        <w:t>9.3.</w:t>
      </w:r>
      <w:r w:rsidRPr="000F52F6">
        <w:rPr>
          <w:lang w:val="fr-CH"/>
        </w:rPr>
        <w:t>X</w:t>
      </w:r>
      <w:r w:rsidRPr="000F52F6">
        <w:t xml:space="preserve">.11.3 </w:t>
      </w:r>
      <w:r w:rsidRPr="000F52F6">
        <w:rPr>
          <w:lang w:val="fr-CH"/>
        </w:rPr>
        <w:t>a</w:t>
      </w:r>
      <w:r w:rsidRPr="000F52F6">
        <w:t>), 9.3.</w:t>
      </w:r>
      <w:r w:rsidRPr="000F52F6">
        <w:rPr>
          <w:lang w:val="fr-CH"/>
        </w:rPr>
        <w:t>X</w:t>
      </w:r>
      <w:r w:rsidRPr="000F52F6">
        <w:t>.17.5</w:t>
      </w:r>
      <w:r>
        <w:t xml:space="preserve"> и</w:t>
      </w:r>
      <w:r w:rsidRPr="000F52F6">
        <w:t xml:space="preserve"> 9.3.</w:t>
      </w:r>
      <w:r w:rsidRPr="000F52F6">
        <w:rPr>
          <w:lang w:val="fr-CH"/>
        </w:rPr>
        <w:t>X</w:t>
      </w:r>
      <w:r w:rsidRPr="000F52F6">
        <w:t>.17.6)</w:t>
      </w:r>
      <w:r>
        <w:t>, и представителю Р</w:t>
      </w:r>
      <w:r w:rsidRPr="000F52F6">
        <w:t xml:space="preserve">екомендованных классификационных обществ ВОПОГ было предложено </w:t>
      </w:r>
      <w:r w:rsidR="00A354AA">
        <w:br/>
      </w:r>
      <w:r w:rsidRPr="000F52F6">
        <w:t>изучить данный вопрос.</w:t>
      </w:r>
    </w:p>
    <w:p w:rsidR="001E7349" w:rsidRDefault="001E7349" w:rsidP="001E7349">
      <w:pPr>
        <w:pStyle w:val="SingleTxtGR"/>
      </w:pPr>
      <w:r w:rsidRPr="00E8550F">
        <w:t>3.</w:t>
      </w:r>
      <w:r w:rsidRPr="00E8550F">
        <w:tab/>
      </w:r>
      <w:r>
        <w:t>Ниже приводится нынешний текст указанных пунктов.</w:t>
      </w:r>
    </w:p>
    <w:p w:rsidR="001E7349" w:rsidRPr="00DD592D" w:rsidRDefault="001E7349" w:rsidP="00DD592D">
      <w:pPr>
        <w:pStyle w:val="SingleTxtGR"/>
        <w:tabs>
          <w:tab w:val="clear" w:pos="2268"/>
          <w:tab w:val="left" w:pos="2410"/>
        </w:tabs>
      </w:pPr>
      <w:r w:rsidRPr="00DD592D">
        <w:rPr>
          <w:b/>
        </w:rPr>
        <w:t>9.3.1.11.3 a)</w:t>
      </w:r>
      <w:r w:rsidRPr="00DD592D">
        <w:tab/>
        <w:t xml:space="preserve">Трюмные помещения отделяются от жилых помещений, машинных отделений и служебных помещений, расположенных за пределами </w:t>
      </w:r>
      <w:proofErr w:type="spellStart"/>
      <w:r w:rsidRPr="00DD592D">
        <w:t>подпа</w:t>
      </w:r>
      <w:r w:rsidRPr="00DD592D">
        <w:lastRenderedPageBreak/>
        <w:t>лубного</w:t>
      </w:r>
      <w:proofErr w:type="spellEnd"/>
      <w:r w:rsidRPr="00DD592D">
        <w:t xml:space="preserve"> грузового пространства, при помощи переборок </w:t>
      </w:r>
      <w:r w:rsidRPr="00DD592D">
        <w:rPr>
          <w:b/>
          <w:u w:val="single"/>
        </w:rPr>
        <w:t>с</w:t>
      </w:r>
      <w:r w:rsidR="003F4154" w:rsidRPr="00DD592D">
        <w:rPr>
          <w:b/>
          <w:u w:val="single"/>
        </w:rPr>
        <w:t> </w:t>
      </w:r>
      <w:r w:rsidRPr="00DD592D">
        <w:rPr>
          <w:b/>
          <w:u w:val="single"/>
        </w:rPr>
        <w:t>противопожарной изоляцией класса </w:t>
      </w:r>
      <w:r w:rsidR="003F4154" w:rsidRPr="00DD592D">
        <w:rPr>
          <w:b/>
          <w:u w:val="single"/>
        </w:rPr>
        <w:t>«</w:t>
      </w:r>
      <w:r w:rsidRPr="00DD592D">
        <w:rPr>
          <w:b/>
          <w:u w:val="single"/>
        </w:rPr>
        <w:t>A</w:t>
      </w:r>
      <w:r w:rsidR="003F4154" w:rsidRPr="00DD592D">
        <w:rPr>
          <w:b/>
          <w:u w:val="single"/>
        </w:rPr>
        <w:t>-</w:t>
      </w:r>
      <w:r w:rsidRPr="00DD592D">
        <w:rPr>
          <w:b/>
          <w:u w:val="single"/>
        </w:rPr>
        <w:t>60</w:t>
      </w:r>
      <w:r w:rsidR="003F4154" w:rsidRPr="00DD592D">
        <w:rPr>
          <w:b/>
          <w:u w:val="single"/>
        </w:rPr>
        <w:t>»</w:t>
      </w:r>
      <w:r w:rsidRPr="00DD592D">
        <w:rPr>
          <w:b/>
          <w:u w:val="single"/>
        </w:rPr>
        <w:t>, согласно СОЛАС 1974</w:t>
      </w:r>
      <w:r w:rsidR="00E11589" w:rsidRPr="00DD592D">
        <w:rPr>
          <w:b/>
          <w:u w:val="single"/>
        </w:rPr>
        <w:t> </w:t>
      </w:r>
      <w:r w:rsidRPr="00DD592D">
        <w:rPr>
          <w:b/>
          <w:u w:val="single"/>
        </w:rPr>
        <w:t>года, глава II-2, правило 3</w:t>
      </w:r>
      <w:r w:rsidRPr="00DD592D">
        <w:t>. Между грузовыми танками и концевыми переборками трюмных помещений должно оставаться пространство, составляющее не менее 0,20 м. Если грузовые танки имеют плоские концевые переборки, это пространство должно составлять не менее</w:t>
      </w:r>
      <w:r w:rsidR="00E11589" w:rsidRPr="00DD592D">
        <w:t> </w:t>
      </w:r>
      <w:r w:rsidRPr="00DD592D">
        <w:t>0,50 м.</w:t>
      </w:r>
    </w:p>
    <w:p w:rsidR="001E7349" w:rsidRPr="00DD592D" w:rsidRDefault="001E7349" w:rsidP="00DD592D">
      <w:pPr>
        <w:pStyle w:val="SingleTxtGR"/>
        <w:tabs>
          <w:tab w:val="clear" w:pos="2268"/>
          <w:tab w:val="left" w:pos="2410"/>
        </w:tabs>
      </w:pPr>
      <w:r w:rsidRPr="00DD592D">
        <w:rPr>
          <w:b/>
        </w:rPr>
        <w:t>9.3.2.11.3 a)</w:t>
      </w:r>
      <w:r w:rsidRPr="00DD592D">
        <w:tab/>
        <w:t xml:space="preserve">Грузовые танки должны отделяться от жилых помещений, машинных отделений и служебных помещений, расположенных за пределами </w:t>
      </w:r>
      <w:proofErr w:type="spellStart"/>
      <w:r w:rsidRPr="00DD592D">
        <w:t>подпалубного</w:t>
      </w:r>
      <w:proofErr w:type="spellEnd"/>
      <w:r w:rsidRPr="00DD592D">
        <w:t xml:space="preserve"> грузового пространства, или – при отсутствии таких помещений</w:t>
      </w:r>
      <w:r w:rsidR="00DD592D">
        <w:t> </w:t>
      </w:r>
      <w:r w:rsidRPr="00DD592D">
        <w:t>– от оконечностей судна коффердамами шириной не менее 0,60 м. При</w:t>
      </w:r>
      <w:r w:rsidR="00851B2D">
        <w:t> </w:t>
      </w:r>
      <w:r w:rsidRPr="00DD592D">
        <w:t>установке грузовых танков в</w:t>
      </w:r>
      <w:r w:rsidRPr="00DD592D">
        <w:rPr>
          <w:lang w:val="en-US"/>
        </w:rPr>
        <w:t> </w:t>
      </w:r>
      <w:r w:rsidRPr="00DD592D">
        <w:t>трюмном помещении между ними и концевыми переборками трюмного помещения должно оставаться расстояние, составляющее не менее 0,50 м. В</w:t>
      </w:r>
      <w:r w:rsidRPr="00DD592D">
        <w:rPr>
          <w:lang w:val="en-US"/>
        </w:rPr>
        <w:t> </w:t>
      </w:r>
      <w:r w:rsidRPr="00DD592D">
        <w:t xml:space="preserve">этом случае концевая переборка, </w:t>
      </w:r>
      <w:r w:rsidRPr="00DD592D">
        <w:rPr>
          <w:b/>
          <w:u w:val="single"/>
        </w:rPr>
        <w:t xml:space="preserve">соответствующая по меньшей мере определению класса </w:t>
      </w:r>
      <w:r w:rsidR="004A660C" w:rsidRPr="00DD592D">
        <w:rPr>
          <w:b/>
          <w:u w:val="single"/>
        </w:rPr>
        <w:t>«</w:t>
      </w:r>
      <w:r w:rsidRPr="00DD592D">
        <w:rPr>
          <w:b/>
          <w:u w:val="single"/>
        </w:rPr>
        <w:t>A-60</w:t>
      </w:r>
      <w:r w:rsidR="004A660C" w:rsidRPr="00DD592D">
        <w:rPr>
          <w:b/>
          <w:u w:val="single"/>
        </w:rPr>
        <w:t>»</w:t>
      </w:r>
      <w:r w:rsidRPr="00DD592D">
        <w:rPr>
          <w:b/>
          <w:u w:val="single"/>
        </w:rPr>
        <w:t>, согласно СОЛАС 1974 года, глава II-2, правило 3</w:t>
      </w:r>
      <w:r w:rsidRPr="00DD592D">
        <w:t>, считается эквивалентной коффердаму. Для грузовых танков высокого давления расстояние 0,50 м может быть уменьшено до 0,20 м.</w:t>
      </w:r>
    </w:p>
    <w:p w:rsidR="001E7349" w:rsidRPr="00DD592D" w:rsidRDefault="001E7349" w:rsidP="00DD592D">
      <w:pPr>
        <w:pStyle w:val="SingleTxtGR"/>
        <w:tabs>
          <w:tab w:val="clear" w:pos="2268"/>
          <w:tab w:val="left" w:pos="2410"/>
        </w:tabs>
      </w:pPr>
      <w:r w:rsidRPr="00DD592D">
        <w:rPr>
          <w:b/>
        </w:rPr>
        <w:t>9.3.3.11.3 a)</w:t>
      </w:r>
      <w:r w:rsidRPr="00DD592D">
        <w:tab/>
        <w:t xml:space="preserve">Грузовые танки должны отделяться от жилых помещений, машинных отделений и служебных помещений, расположенных за пределами </w:t>
      </w:r>
      <w:proofErr w:type="spellStart"/>
      <w:r w:rsidRPr="00DD592D">
        <w:t>подпалубного</w:t>
      </w:r>
      <w:proofErr w:type="spellEnd"/>
      <w:r w:rsidRPr="00DD592D">
        <w:t xml:space="preserve"> грузового пространства, или – при отсутствии таких помещений</w:t>
      </w:r>
      <w:r w:rsidR="00DD592D">
        <w:t> </w:t>
      </w:r>
      <w:r w:rsidRPr="00DD592D">
        <w:t>– от оконечностей судна коффердамами шириной не менее 0,60 м. При</w:t>
      </w:r>
      <w:r w:rsidR="00851B2D">
        <w:t> </w:t>
      </w:r>
      <w:r w:rsidRPr="00DD592D">
        <w:t xml:space="preserve">установке грузовых танков в трюмном помещении между ними и концевыми переборками трюмного помещения должно оставаться расстояние, составляющее не менее 0,50 м. В этом случае концевая переборка, </w:t>
      </w:r>
      <w:r w:rsidRPr="00DD592D">
        <w:rPr>
          <w:b/>
          <w:u w:val="single"/>
        </w:rPr>
        <w:t xml:space="preserve">соответствующая по меньшей мере определению класса </w:t>
      </w:r>
      <w:r w:rsidR="004A660C" w:rsidRPr="00DD592D">
        <w:rPr>
          <w:b/>
          <w:u w:val="single"/>
        </w:rPr>
        <w:t>«</w:t>
      </w:r>
      <w:r w:rsidRPr="00DD592D">
        <w:rPr>
          <w:b/>
          <w:u w:val="single"/>
        </w:rPr>
        <w:t>A-60</w:t>
      </w:r>
      <w:r w:rsidR="004A660C" w:rsidRPr="00DD592D">
        <w:rPr>
          <w:b/>
          <w:u w:val="single"/>
        </w:rPr>
        <w:t>»</w:t>
      </w:r>
      <w:r w:rsidRPr="00DD592D">
        <w:rPr>
          <w:b/>
          <w:u w:val="single"/>
        </w:rPr>
        <w:t>, согласно СОЛАС 1974 года, глава II</w:t>
      </w:r>
      <w:r w:rsidRPr="00DD592D">
        <w:rPr>
          <w:b/>
          <w:u w:val="single"/>
        </w:rPr>
        <w:noBreakHyphen/>
        <w:t>2, правило 3</w:t>
      </w:r>
      <w:r w:rsidRPr="00DD592D">
        <w:t xml:space="preserve">, считается эквивалентной коффердаму. Для танков высокого давления расстояние 0,50 м может быть уменьшено до </w:t>
      </w:r>
      <w:smartTag w:uri="urn:schemas-microsoft-com:office:smarttags" w:element="metricconverter">
        <w:smartTagPr>
          <w:attr w:name="ProductID" w:val="0,20 м"/>
        </w:smartTagPr>
        <w:r w:rsidRPr="00DD592D">
          <w:t>0,20 м</w:t>
        </w:r>
      </w:smartTag>
      <w:r w:rsidRPr="00DD592D">
        <w:t>.</w:t>
      </w:r>
    </w:p>
    <w:p w:rsidR="001E7349" w:rsidRPr="00DD592D" w:rsidRDefault="001E7349" w:rsidP="00DD592D">
      <w:pPr>
        <w:pStyle w:val="SingleTxtGR"/>
        <w:tabs>
          <w:tab w:val="clear" w:pos="2268"/>
          <w:tab w:val="left" w:pos="2410"/>
        </w:tabs>
      </w:pPr>
      <w:r w:rsidRPr="00DD592D">
        <w:rPr>
          <w:b/>
        </w:rPr>
        <w:t>9.3.2.17.5 d)</w:t>
      </w:r>
      <w:r w:rsidRPr="00DD592D">
        <w:tab/>
        <w:t>Проходы через переборку с противопожарной изоляцией класса</w:t>
      </w:r>
      <w:r w:rsidR="00DD592D">
        <w:t> </w:t>
      </w:r>
      <w:r w:rsidR="004A660C" w:rsidRPr="00DD592D">
        <w:t>«</w:t>
      </w:r>
      <w:r w:rsidRPr="00DD592D">
        <w:t>A-60</w:t>
      </w:r>
      <w:r w:rsidR="004A660C" w:rsidRPr="00DD592D">
        <w:t>»</w:t>
      </w:r>
      <w:r w:rsidRPr="00DD592D">
        <w:t>, согласно СОЛАС 1974 года, глава II-2, правило 3, должны иметь равноценную противопожарную защиту.</w:t>
      </w:r>
    </w:p>
    <w:p w:rsidR="001E7349" w:rsidRPr="00DD592D" w:rsidRDefault="001E7349" w:rsidP="00DD592D">
      <w:pPr>
        <w:pStyle w:val="SingleTxtGR"/>
        <w:tabs>
          <w:tab w:val="clear" w:pos="2268"/>
          <w:tab w:val="left" w:pos="2410"/>
        </w:tabs>
      </w:pPr>
      <w:r w:rsidRPr="00DD592D">
        <w:rPr>
          <w:b/>
        </w:rPr>
        <w:t>9.3.2.17.6</w:t>
      </w:r>
      <w:r w:rsidRPr="00DD592D">
        <w:tab/>
        <w:t xml:space="preserve">Служебное помещение, расположенное в пределах </w:t>
      </w:r>
      <w:proofErr w:type="spellStart"/>
      <w:r w:rsidRPr="00DD592D">
        <w:t>подпалубного</w:t>
      </w:r>
      <w:proofErr w:type="spellEnd"/>
      <w:r w:rsidRPr="00DD592D">
        <w:t xml:space="preserve"> грузового пространства, не должно использоваться в качестве отделения грузовых насосов для размещения погрузочно-разгрузочной системы, за исключением тех случаев, когда соблюдены следующие условия:</w:t>
      </w:r>
    </w:p>
    <w:p w:rsidR="001E7349" w:rsidRPr="002221D5" w:rsidRDefault="001E7349" w:rsidP="00A37A93">
      <w:pPr>
        <w:pStyle w:val="Bullet2GR"/>
        <w:rPr>
          <w:rFonts w:eastAsia="TimesNewRomanPSMT"/>
        </w:rPr>
      </w:pPr>
      <w:r w:rsidRPr="002221D5">
        <w:t xml:space="preserve">между насосным отделением и машинным отделением или служебными помещениями за пределами грузового пространства имеется коффердам или переборка с </w:t>
      </w:r>
      <w:r w:rsidRPr="002221D5">
        <w:rPr>
          <w:b/>
          <w:u w:val="single"/>
        </w:rPr>
        <w:t>противопожарной изоляцией класса </w:t>
      </w:r>
      <w:r w:rsidR="004A660C">
        <w:rPr>
          <w:b/>
          <w:u w:val="single"/>
        </w:rPr>
        <w:t>«</w:t>
      </w:r>
      <w:r w:rsidRPr="002221D5">
        <w:rPr>
          <w:b/>
          <w:u w:val="single"/>
        </w:rPr>
        <w:t>A-60</w:t>
      </w:r>
      <w:r w:rsidR="004A660C">
        <w:rPr>
          <w:b/>
          <w:u w:val="single"/>
        </w:rPr>
        <w:t>»</w:t>
      </w:r>
      <w:r w:rsidRPr="002221D5">
        <w:rPr>
          <w:b/>
          <w:u w:val="single"/>
        </w:rPr>
        <w:t>, согласно СОЛАС 1974 года, глава II-2, правило 3</w:t>
      </w:r>
      <w:r w:rsidRPr="002221D5">
        <w:t>, либо служебное помещение или трюм;</w:t>
      </w:r>
    </w:p>
    <w:p w:rsidR="001E7349" w:rsidRPr="002221D5" w:rsidRDefault="001E7349" w:rsidP="00A37A93">
      <w:pPr>
        <w:pStyle w:val="Bullet2GR"/>
        <w:rPr>
          <w:rFonts w:eastAsia="TimesNewRomanPSMT"/>
        </w:rPr>
      </w:pPr>
      <w:r w:rsidRPr="002221D5">
        <w:t>предписанная выше переборка класса</w:t>
      </w:r>
      <w:r>
        <w:t xml:space="preserve"> </w:t>
      </w:r>
      <w:r w:rsidR="004A660C">
        <w:t>«</w:t>
      </w:r>
      <w:r w:rsidRPr="00F72FFE">
        <w:t>A</w:t>
      </w:r>
      <w:r w:rsidRPr="002221D5">
        <w:t>-60</w:t>
      </w:r>
      <w:r w:rsidR="004A660C">
        <w:t>»</w:t>
      </w:r>
      <w:r w:rsidRPr="002221D5">
        <w:t xml:space="preserve"> не имеет проходов, указанных в</w:t>
      </w:r>
      <w:r>
        <w:rPr>
          <w:lang w:val="en-US"/>
        </w:rPr>
        <w:t> </w:t>
      </w:r>
      <w:r w:rsidRPr="002221D5">
        <w:t>пункте</w:t>
      </w:r>
      <w:r w:rsidR="00996A76">
        <w:t xml:space="preserve"> </w:t>
      </w:r>
      <w:r w:rsidRPr="002221D5">
        <w:t>9.3.2.17.5 а);</w:t>
      </w:r>
      <w:r>
        <w:rPr>
          <w:rFonts w:eastAsia="TimesNewRomanPSMT"/>
        </w:rPr>
        <w:t xml:space="preserve"> …</w:t>
      </w:r>
    </w:p>
    <w:p w:rsidR="001E7349" w:rsidRDefault="001E7349" w:rsidP="001E7349">
      <w:pPr>
        <w:pStyle w:val="SingleTxtGR"/>
      </w:pPr>
      <w:r>
        <w:t>4</w:t>
      </w:r>
      <w:r w:rsidRPr="001C33C1">
        <w:t>.</w:t>
      </w:r>
      <w:r w:rsidRPr="001C33C1">
        <w:tab/>
      </w:r>
      <w:r w:rsidRPr="004215B4">
        <w:t>Рекомендованны</w:t>
      </w:r>
      <w:r>
        <w:t>е</w:t>
      </w:r>
      <w:r w:rsidRPr="004215B4">
        <w:t xml:space="preserve"> классификационны</w:t>
      </w:r>
      <w:r>
        <w:t>е</w:t>
      </w:r>
      <w:r w:rsidRPr="004215B4">
        <w:t xml:space="preserve"> общества</w:t>
      </w:r>
      <w:r>
        <w:t xml:space="preserve"> ВОПОГ предлагают принять для включения в пункты</w:t>
      </w:r>
      <w:r w:rsidRPr="004215B4">
        <w:t xml:space="preserve"> 9.3.</w:t>
      </w:r>
      <w:r>
        <w:t>Х</w:t>
      </w:r>
      <w:r w:rsidRPr="004215B4">
        <w:t xml:space="preserve">.11.3 </w:t>
      </w:r>
      <w:r w:rsidRPr="002B4092">
        <w:t>a</w:t>
      </w:r>
      <w:r w:rsidRPr="004215B4">
        <w:t>), 9.3.</w:t>
      </w:r>
      <w:r>
        <w:t>Х</w:t>
      </w:r>
      <w:r w:rsidRPr="004215B4">
        <w:t xml:space="preserve">.17.5 </w:t>
      </w:r>
      <w:r>
        <w:t>d</w:t>
      </w:r>
      <w:r w:rsidRPr="004215B4">
        <w:t xml:space="preserve">) </w:t>
      </w:r>
      <w:r>
        <w:t>и</w:t>
      </w:r>
      <w:r w:rsidRPr="004215B4">
        <w:t xml:space="preserve"> 9.3.</w:t>
      </w:r>
      <w:r>
        <w:t>Х</w:t>
      </w:r>
      <w:r w:rsidRPr="004215B4">
        <w:t>.17.6</w:t>
      </w:r>
      <w:r>
        <w:t xml:space="preserve"> следующую формулировку:</w:t>
      </w:r>
      <w:r w:rsidRPr="004215B4">
        <w:t xml:space="preserve"> </w:t>
      </w:r>
      <w:r>
        <w:t>«</w:t>
      </w:r>
      <w:r w:rsidRPr="00725E26">
        <w:rPr>
          <w:b/>
          <w:sz w:val="22"/>
          <w:szCs w:val="22"/>
        </w:rPr>
        <w:t>переборка класса "A-60" согласно определению, содержащемуся в СОЛАС 1974 года, глава II-2, правило 3</w:t>
      </w:r>
      <w:r>
        <w:rPr>
          <w:sz w:val="22"/>
          <w:szCs w:val="22"/>
        </w:rPr>
        <w:t>»</w:t>
      </w:r>
      <w:r w:rsidRPr="00332576">
        <w:footnoteReference w:customMarkFollows="1" w:id="3"/>
        <w:t>*</w:t>
      </w:r>
      <w:r w:rsidR="00996A76">
        <w:t>.</w:t>
      </w:r>
    </w:p>
    <w:p w:rsidR="004A660C" w:rsidRPr="004A660C" w:rsidRDefault="004A660C" w:rsidP="004A660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60C" w:rsidRPr="004A660C" w:rsidSect="001E73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FB" w:rsidRPr="00A312BC" w:rsidRDefault="008933FB" w:rsidP="00A312BC"/>
  </w:endnote>
  <w:endnote w:type="continuationSeparator" w:id="0">
    <w:p w:rsidR="008933FB" w:rsidRPr="00A312BC" w:rsidRDefault="008933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9" w:rsidRPr="001E7349" w:rsidRDefault="001E7349">
    <w:pPr>
      <w:pStyle w:val="Footer"/>
    </w:pPr>
    <w:r w:rsidRPr="001E7349">
      <w:rPr>
        <w:b/>
        <w:sz w:val="18"/>
      </w:rPr>
      <w:fldChar w:fldCharType="begin"/>
    </w:r>
    <w:r w:rsidRPr="001E7349">
      <w:rPr>
        <w:b/>
        <w:sz w:val="18"/>
      </w:rPr>
      <w:instrText xml:space="preserve"> PAGE  \* MERGEFORMAT </w:instrText>
    </w:r>
    <w:r w:rsidRPr="001E7349">
      <w:rPr>
        <w:b/>
        <w:sz w:val="18"/>
      </w:rPr>
      <w:fldChar w:fldCharType="separate"/>
    </w:r>
    <w:r w:rsidR="002A10C0">
      <w:rPr>
        <w:b/>
        <w:noProof/>
        <w:sz w:val="18"/>
      </w:rPr>
      <w:t>2</w:t>
    </w:r>
    <w:r w:rsidRPr="001E7349">
      <w:rPr>
        <w:b/>
        <w:sz w:val="18"/>
      </w:rPr>
      <w:fldChar w:fldCharType="end"/>
    </w:r>
    <w:r>
      <w:rPr>
        <w:b/>
        <w:sz w:val="18"/>
      </w:rPr>
      <w:tab/>
    </w:r>
    <w:r>
      <w:t>GE.17-09577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9" w:rsidRPr="001E7349" w:rsidRDefault="001E7349" w:rsidP="001E734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GE.17-09577</w:t>
    </w:r>
    <w:r>
      <w:tab/>
    </w:r>
    <w:r w:rsidRPr="001E7349">
      <w:rPr>
        <w:b/>
        <w:sz w:val="18"/>
      </w:rPr>
      <w:fldChar w:fldCharType="begin"/>
    </w:r>
    <w:r w:rsidRPr="001E7349">
      <w:rPr>
        <w:b/>
        <w:sz w:val="18"/>
      </w:rPr>
      <w:instrText xml:space="preserve"> PAGE  \* MERGEFORMAT </w:instrText>
    </w:r>
    <w:r w:rsidRPr="001E734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E73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E7349" w:rsidRDefault="001E7349" w:rsidP="001E734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BE0E12" wp14:editId="392EC7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17-09577  (R)</w:t>
    </w:r>
    <w:r w:rsidR="007C3C04">
      <w:t xml:space="preserve">  150617  150617</w:t>
    </w:r>
    <w:r>
      <w:br/>
    </w:r>
    <w:r w:rsidRPr="001E7349">
      <w:rPr>
        <w:rFonts w:ascii="C39T30Lfz" w:hAnsi="C39T30Lfz"/>
        <w:spacing w:val="0"/>
        <w:w w:val="100"/>
        <w:sz w:val="56"/>
      </w:rPr>
      <w:t></w:t>
    </w:r>
    <w:r w:rsidRPr="001E7349">
      <w:rPr>
        <w:rFonts w:ascii="C39T30Lfz" w:hAnsi="C39T30Lfz"/>
        <w:spacing w:val="0"/>
        <w:w w:val="100"/>
        <w:sz w:val="56"/>
      </w:rPr>
      <w:t></w:t>
    </w:r>
    <w:r w:rsidRPr="001E7349">
      <w:rPr>
        <w:rFonts w:ascii="C39T30Lfz" w:hAnsi="C39T30Lfz"/>
        <w:spacing w:val="0"/>
        <w:w w:val="100"/>
        <w:sz w:val="56"/>
      </w:rPr>
      <w:t></w:t>
    </w:r>
    <w:r w:rsidRPr="001E7349">
      <w:rPr>
        <w:rFonts w:ascii="C39T30Lfz" w:hAnsi="C39T30Lfz"/>
        <w:spacing w:val="0"/>
        <w:w w:val="100"/>
        <w:sz w:val="56"/>
      </w:rPr>
      <w:t></w:t>
    </w:r>
    <w:r w:rsidRPr="001E7349">
      <w:rPr>
        <w:rFonts w:ascii="C39T30Lfz" w:hAnsi="C39T30Lfz"/>
        <w:spacing w:val="0"/>
        <w:w w:val="100"/>
        <w:sz w:val="56"/>
      </w:rPr>
      <w:t></w:t>
    </w:r>
    <w:r w:rsidRPr="001E7349">
      <w:rPr>
        <w:rFonts w:ascii="C39T30Lfz" w:hAnsi="C39T30Lfz"/>
        <w:spacing w:val="0"/>
        <w:w w:val="100"/>
        <w:sz w:val="56"/>
      </w:rPr>
      <w:t></w:t>
    </w:r>
    <w:r w:rsidRPr="001E7349">
      <w:rPr>
        <w:rFonts w:ascii="C39T30Lfz" w:hAnsi="C39T30Lfz"/>
        <w:spacing w:val="0"/>
        <w:w w:val="100"/>
        <w:sz w:val="56"/>
      </w:rPr>
      <w:t></w:t>
    </w:r>
    <w:r w:rsidRPr="001E7349">
      <w:rPr>
        <w:rFonts w:ascii="C39T30Lfz" w:hAnsi="C39T30Lfz"/>
        <w:spacing w:val="0"/>
        <w:w w:val="100"/>
        <w:sz w:val="56"/>
      </w:rPr>
      <w:t></w:t>
    </w:r>
    <w:r w:rsidRPr="001E73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52A15527" wp14:editId="124C94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2/2017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FB" w:rsidRPr="001075E9" w:rsidRDefault="008933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33FB" w:rsidRDefault="008933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7349" w:rsidRDefault="001E7349" w:rsidP="001E7349">
      <w:pPr>
        <w:pStyle w:val="FootnoteText"/>
        <w:widowControl w:val="0"/>
        <w:rPr>
          <w:lang w:val="ru-RU"/>
        </w:rPr>
      </w:pPr>
      <w:r w:rsidRPr="00332576">
        <w:tab/>
      </w:r>
      <w:r w:rsidRPr="00A354AA">
        <w:rPr>
          <w:rStyle w:val="FootnoteReference"/>
          <w:sz w:val="20"/>
          <w:vertAlign w:val="baseline"/>
          <w:lang w:val="ru-RU"/>
        </w:rPr>
        <w:t>*</w:t>
      </w:r>
      <w:r w:rsidRPr="00A354AA">
        <w:rPr>
          <w:b/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.2/2017/3</w:t>
      </w:r>
      <w:r w:rsidRPr="00E5402D">
        <w:rPr>
          <w:lang w:val="ru-RU"/>
        </w:rPr>
        <w:t>3</w:t>
      </w:r>
      <w:r>
        <w:rPr>
          <w:noProof/>
          <w:lang w:val="ru-RU"/>
        </w:rPr>
        <w:t>.</w:t>
      </w:r>
    </w:p>
  </w:footnote>
  <w:footnote w:id="2">
    <w:p w:rsidR="001E7349" w:rsidRDefault="001E7349" w:rsidP="001E7349">
      <w:pPr>
        <w:pStyle w:val="FootnoteText"/>
        <w:widowControl w:val="0"/>
        <w:rPr>
          <w:lang w:val="ru-RU"/>
        </w:rPr>
      </w:pPr>
      <w:r w:rsidRPr="00332576">
        <w:rPr>
          <w:lang w:val="ru-RU"/>
        </w:rPr>
        <w:tab/>
      </w:r>
      <w:r w:rsidRPr="00A354AA">
        <w:rPr>
          <w:rStyle w:val="FootnoteReference"/>
          <w:sz w:val="20"/>
          <w:vertAlign w:val="baseline"/>
          <w:lang w:val="ru-RU"/>
        </w:rPr>
        <w:t>**</w:t>
      </w:r>
      <w:r w:rsidRPr="00332576">
        <w:rPr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A354AA">
        <w:rPr>
          <w:lang w:val="ru-RU"/>
        </w:rPr>
        <w:br/>
      </w:r>
      <w:r>
        <w:rPr>
          <w:lang w:val="ru-RU"/>
        </w:rPr>
        <w:t>на 2016–2017 годы (</w:t>
      </w:r>
      <w:r>
        <w:rPr>
          <w:lang w:val="en-US"/>
        </w:rPr>
        <w:t>ECE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(9.3)).</w:t>
      </w:r>
    </w:p>
  </w:footnote>
  <w:footnote w:id="3">
    <w:p w:rsidR="001E7349" w:rsidRPr="004A660C" w:rsidRDefault="004A660C" w:rsidP="004A660C">
      <w:pPr>
        <w:pStyle w:val="FootnoteText"/>
        <w:rPr>
          <w:lang w:val="ru-RU"/>
        </w:rPr>
      </w:pPr>
      <w:r>
        <w:rPr>
          <w:sz w:val="20"/>
          <w:lang w:val="ru-RU"/>
        </w:rPr>
        <w:tab/>
      </w:r>
      <w:r w:rsidR="001E7349" w:rsidRPr="004A660C">
        <w:rPr>
          <w:rStyle w:val="FootnoteReference"/>
          <w:sz w:val="20"/>
          <w:vertAlign w:val="baseline"/>
          <w:lang w:val="ru-RU"/>
        </w:rPr>
        <w:t>*</w:t>
      </w:r>
      <w:r w:rsidR="001E7349" w:rsidRPr="004A660C">
        <w:rPr>
          <w:b/>
          <w:lang w:val="ru-RU"/>
        </w:rPr>
        <w:t xml:space="preserve"> </w:t>
      </w:r>
      <w:r w:rsidR="001E7349" w:rsidRPr="004A660C">
        <w:rPr>
          <w:lang w:val="ru-RU"/>
        </w:rPr>
        <w:tab/>
        <w:t>Примечание секретариата: для обеспечения согласованности термин «СОЛАС», определяемый в разделе 1.2.1, следует заменить термином «СОЛАС 1974 года», который используется в других местах в Правилах, прилагаемых к ВОПОГ.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9" w:rsidRPr="001E7349" w:rsidRDefault="00F25A49">
    <w:pPr>
      <w:pStyle w:val="Header"/>
    </w:pPr>
    <w:fldSimple w:instr=" TITLE  \* MERGEFORMAT ">
      <w:r w:rsidR="002A10C0">
        <w:t>ECE/TRANS/WP.15/AC.2/2017/33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9" w:rsidRPr="001E7349" w:rsidRDefault="00F25A49" w:rsidP="001E7349">
    <w:pPr>
      <w:pStyle w:val="Header"/>
      <w:jc w:val="right"/>
    </w:pPr>
    <w:fldSimple w:instr=" TITLE  \* MERGEFORMAT ">
      <w:r w:rsidR="002A10C0">
        <w:t>ECE/TRANS/WP.15/AC.2/2017/33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2381"/>
        </w:tabs>
        <w:ind w:left="238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7349"/>
    <w:rsid w:val="00255343"/>
    <w:rsid w:val="0027151D"/>
    <w:rsid w:val="002A10C0"/>
    <w:rsid w:val="002A2EFC"/>
    <w:rsid w:val="002B0106"/>
    <w:rsid w:val="002B74B1"/>
    <w:rsid w:val="002C0E18"/>
    <w:rsid w:val="002D5AAC"/>
    <w:rsid w:val="002E5067"/>
    <w:rsid w:val="002E65E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4154"/>
    <w:rsid w:val="00407B78"/>
    <w:rsid w:val="00424203"/>
    <w:rsid w:val="00452493"/>
    <w:rsid w:val="00453318"/>
    <w:rsid w:val="00454AF2"/>
    <w:rsid w:val="00454E07"/>
    <w:rsid w:val="00472C5C"/>
    <w:rsid w:val="004A660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B2E"/>
    <w:rsid w:val="007C3C04"/>
    <w:rsid w:val="00806737"/>
    <w:rsid w:val="00825F8D"/>
    <w:rsid w:val="00834B71"/>
    <w:rsid w:val="00851B2D"/>
    <w:rsid w:val="0086445C"/>
    <w:rsid w:val="008933F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A76"/>
    <w:rsid w:val="009A24AC"/>
    <w:rsid w:val="009C6FE6"/>
    <w:rsid w:val="00A14DA8"/>
    <w:rsid w:val="00A312BC"/>
    <w:rsid w:val="00A3259E"/>
    <w:rsid w:val="00A354AA"/>
    <w:rsid w:val="00A37A9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7D30"/>
    <w:rsid w:val="00CE5A1A"/>
    <w:rsid w:val="00CF55F6"/>
    <w:rsid w:val="00D33D63"/>
    <w:rsid w:val="00D5253A"/>
    <w:rsid w:val="00D90028"/>
    <w:rsid w:val="00D90138"/>
    <w:rsid w:val="00DD592D"/>
    <w:rsid w:val="00DD78D1"/>
    <w:rsid w:val="00DE32CD"/>
    <w:rsid w:val="00DF5767"/>
    <w:rsid w:val="00DF71B9"/>
    <w:rsid w:val="00E1158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A49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5:docId w15:val="{924655EC-8E4A-47BE-8D3F-123FB266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5Char">
    <w:name w:val="Heading 5 Char"/>
    <w:basedOn w:val="DefaultParagraphFont"/>
    <w:link w:val="Heading5"/>
    <w:rsid w:val="001E7349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paragraph" w:customStyle="1" w:styleId="Bullet1G">
    <w:name w:val="_Bullet 1_G"/>
    <w:basedOn w:val="Normal"/>
    <w:rsid w:val="001E734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ECE/TRANS/WP.15/AC.2/2017/33</vt:lpstr>
      <vt:lpstr>ECE/TRANS/WP.15/AC.2/2017/33</vt:lpstr>
      <vt:lpstr>A/</vt:lpstr>
    </vt:vector>
  </TitlesOfParts>
  <Company>DCM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ECE/TRANS/WP.15/AC.2/2017/33</dc:title>
  <dc:subject/>
  <dc:creator>Prokoudina S.</dc:creator>
  <cp:keywords/>
  <cp:lastModifiedBy>Marie-Claude Collet</cp:lastModifiedBy>
  <cp:revision>3</cp:revision>
  <cp:lastPrinted>2017-07-10T05:47:00Z</cp:lastPrinted>
  <dcterms:created xsi:type="dcterms:W3CDTF">2017-07-10T05:47:00Z</dcterms:created>
  <dcterms:modified xsi:type="dcterms:W3CDTF">2017-07-10T05:48:00Z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