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A77D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A77D5" w:rsidP="000A77D5">
            <w:pPr>
              <w:jc w:val="right"/>
            </w:pPr>
            <w:r w:rsidRPr="000A77D5">
              <w:rPr>
                <w:sz w:val="40"/>
              </w:rPr>
              <w:t>ECE</w:t>
            </w:r>
            <w:r>
              <w:t>/TRANS/WP.29/2017/66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A77D5" w:rsidP="00C97039">
            <w:pPr>
              <w:spacing w:before="240"/>
            </w:pPr>
            <w:r>
              <w:t>Distr. générale</w:t>
            </w:r>
          </w:p>
          <w:p w:rsidR="000A77D5" w:rsidRDefault="000A77D5" w:rsidP="000A77D5">
            <w:pPr>
              <w:spacing w:line="240" w:lineRule="exact"/>
            </w:pPr>
            <w:r>
              <w:t>5 avril 2017</w:t>
            </w:r>
          </w:p>
          <w:p w:rsidR="000A77D5" w:rsidRDefault="000A77D5" w:rsidP="000A77D5">
            <w:pPr>
              <w:spacing w:line="240" w:lineRule="exact"/>
            </w:pPr>
            <w:r>
              <w:t>Français</w:t>
            </w:r>
          </w:p>
          <w:p w:rsidR="000A77D5" w:rsidRPr="00DB58B5" w:rsidRDefault="000A77D5" w:rsidP="000A77D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A77D5" w:rsidRDefault="000A77D5" w:rsidP="000A77D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A77D5" w:rsidRDefault="000A77D5" w:rsidP="000A77D5">
      <w:pPr>
        <w:spacing w:before="120" w:line="240" w:lineRule="exact"/>
        <w:rPr>
          <w:b/>
        </w:rPr>
      </w:pPr>
      <w:r>
        <w:rPr>
          <w:b/>
        </w:rPr>
        <w:t>172</w:t>
      </w:r>
      <w:r w:rsidRPr="007E7155">
        <w:rPr>
          <w:b/>
          <w:vertAlign w:val="superscript"/>
        </w:rPr>
        <w:t>e</w:t>
      </w:r>
      <w:r>
        <w:rPr>
          <w:b/>
        </w:rPr>
        <w:t> session</w:t>
      </w:r>
    </w:p>
    <w:p w:rsidR="000A77D5" w:rsidRDefault="000A77D5" w:rsidP="000A77D5">
      <w:pPr>
        <w:spacing w:line="240" w:lineRule="exact"/>
      </w:pPr>
      <w:r>
        <w:t xml:space="preserve">Genève, </w:t>
      </w:r>
      <w:r w:rsidRPr="007E7155">
        <w:t>20-23 juin 2017</w:t>
      </w:r>
    </w:p>
    <w:p w:rsidR="000A77D5" w:rsidRDefault="000A77D5" w:rsidP="000A77D5">
      <w:pPr>
        <w:spacing w:line="240" w:lineRule="exact"/>
      </w:pPr>
      <w:r>
        <w:t>Point </w:t>
      </w:r>
      <w:r w:rsidRPr="007E7155">
        <w:t>4.7.3 de l’ordre du jour provisoire</w:t>
      </w:r>
    </w:p>
    <w:p w:rsidR="000A77D5" w:rsidRPr="007E7155" w:rsidRDefault="000A77D5" w:rsidP="000A77D5">
      <w:pPr>
        <w:rPr>
          <w:b/>
        </w:rPr>
      </w:pPr>
      <w:r>
        <w:rPr>
          <w:b/>
        </w:rPr>
        <w:t xml:space="preserve">Accord de 1958 : </w:t>
      </w:r>
      <w:r w:rsidRPr="007E7155">
        <w:rPr>
          <w:b/>
        </w:rPr>
        <w:t>Examen de projets d’amendements</w:t>
      </w:r>
    </w:p>
    <w:p w:rsidR="000A77D5" w:rsidRDefault="000A77D5" w:rsidP="000A77D5">
      <w:pPr>
        <w:rPr>
          <w:b/>
        </w:rPr>
      </w:pPr>
      <w:proofErr w:type="gramStart"/>
      <w:r w:rsidRPr="007E7155">
        <w:rPr>
          <w:b/>
        </w:rPr>
        <w:t>à</w:t>
      </w:r>
      <w:proofErr w:type="gramEnd"/>
      <w:r w:rsidRPr="007E7155">
        <w:rPr>
          <w:b/>
        </w:rPr>
        <w:t xml:space="preserve"> des Règlements existants, présentés par le GRPE</w:t>
      </w:r>
    </w:p>
    <w:p w:rsidR="000A77D5" w:rsidRPr="007E7155" w:rsidRDefault="000A77D5" w:rsidP="000A77D5">
      <w:pPr>
        <w:pStyle w:val="HChG"/>
      </w:pPr>
      <w:r>
        <w:tab/>
      </w:r>
      <w:r>
        <w:tab/>
      </w:r>
      <w:r w:rsidRPr="007E7155">
        <w:t xml:space="preserve">Proposition de complément 1 à la version initiale </w:t>
      </w:r>
      <w:r>
        <w:br/>
      </w:r>
      <w:r w:rsidRPr="007E7155">
        <w:t xml:space="preserve">du Règlement n° 143 (Systèmes de conversion </w:t>
      </w:r>
      <w:r>
        <w:br/>
      </w:r>
      <w:r w:rsidRPr="007E7155">
        <w:t xml:space="preserve">des moteurs de véhicules utilitaires lourds </w:t>
      </w:r>
      <w:r>
        <w:br/>
      </w:r>
      <w:r w:rsidRPr="007E7155">
        <w:t xml:space="preserve">à la bicarburation) </w:t>
      </w:r>
    </w:p>
    <w:p w:rsidR="000A77D5" w:rsidRPr="007E7155" w:rsidRDefault="000A77D5" w:rsidP="000A77D5">
      <w:pPr>
        <w:pStyle w:val="H1G"/>
      </w:pPr>
      <w:r>
        <w:tab/>
      </w:r>
      <w:r>
        <w:tab/>
      </w:r>
      <w:r w:rsidRPr="007E7155">
        <w:t>Communication du Groupe de travail de la pollution et de l’énergie</w:t>
      </w:r>
      <w:r w:rsidRPr="007E715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A77D5" w:rsidRPr="007E7155" w:rsidRDefault="000A77D5" w:rsidP="000A77D5">
      <w:pPr>
        <w:pStyle w:val="SingleTxtG"/>
        <w:ind w:firstLine="567"/>
      </w:pPr>
      <w:r w:rsidRPr="007E7155">
        <w:t>Le texte reproduit ci-après, adopté par le Groupe de travail de la pollution et de l’énergie (GRPE) à sa soixante-quatorzième session</w:t>
      </w:r>
      <w:r>
        <w:t xml:space="preserve"> (ECE/TRANS/WP.29/GRPE/74, par. </w:t>
      </w:r>
      <w:r w:rsidRPr="007E7155">
        <w:t>39), est fondé sur le document ECE/TRANS/WP.29/GRPE/2017/4 modifié par le document informel GRPE-74-25, tel que reproduit dans l’annexe VI du rapport. Il est soumis au Forum mondial de l’harmonisation des Règlements concernant les véhicules (WP.29) et au Comité d’administration (AC.1) pour examen à leurs sessions de juin 2017.</w:t>
      </w:r>
    </w:p>
    <w:p w:rsidR="000A77D5" w:rsidRPr="007E7155" w:rsidRDefault="000A77D5" w:rsidP="000A77D5">
      <w:pPr>
        <w:pStyle w:val="HChG"/>
      </w:pPr>
      <w:r w:rsidRPr="007E7155">
        <w:br w:type="page"/>
      </w:r>
      <w:r>
        <w:lastRenderedPageBreak/>
        <w:tab/>
      </w:r>
      <w:r>
        <w:tab/>
      </w:r>
      <w:r w:rsidRPr="007E7155">
        <w:t xml:space="preserve">Complément 1 à la version initiale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 w:rsidRPr="007E7155">
        <w:t xml:space="preserve"> 143 (Systèmes de conversion des moteurs de véhicules </w:t>
      </w:r>
      <w:r>
        <w:br/>
      </w:r>
      <w:r w:rsidRPr="007E7155">
        <w:t>utilitaires lourds à la bicarburation)</w:t>
      </w:r>
    </w:p>
    <w:p w:rsidR="000A77D5" w:rsidRPr="007E7155" w:rsidRDefault="000A77D5" w:rsidP="000A77D5">
      <w:pPr>
        <w:pStyle w:val="SingleTxtG"/>
        <w:rPr>
          <w:i/>
        </w:rPr>
      </w:pPr>
      <w:r>
        <w:rPr>
          <w:i/>
        </w:rPr>
        <w:t>Annexe </w:t>
      </w:r>
      <w:r w:rsidRPr="007E7155">
        <w:rPr>
          <w:i/>
        </w:rPr>
        <w:t>6</w:t>
      </w:r>
      <w:r w:rsidRPr="007E7155">
        <w:t>,</w:t>
      </w:r>
      <w:r w:rsidRPr="007E7155">
        <w:rPr>
          <w:i/>
        </w:rPr>
        <w:t xml:space="preserve"> </w:t>
      </w:r>
    </w:p>
    <w:p w:rsidR="000A77D5" w:rsidRPr="007E7155" w:rsidRDefault="000A77D5" w:rsidP="000A77D5">
      <w:pPr>
        <w:pStyle w:val="SingleTxtG"/>
        <w:rPr>
          <w:i/>
        </w:rPr>
      </w:pPr>
      <w:r>
        <w:rPr>
          <w:i/>
        </w:rPr>
        <w:t>Paragraphe </w:t>
      </w:r>
      <w:r w:rsidRPr="007E7155">
        <w:rPr>
          <w:i/>
        </w:rPr>
        <w:t>10.1</w:t>
      </w:r>
      <w:r w:rsidRPr="007E7155">
        <w:t>, lire :</w:t>
      </w:r>
    </w:p>
    <w:p w:rsidR="000A77D5" w:rsidRPr="007E7155" w:rsidRDefault="000A77D5" w:rsidP="000A77D5">
      <w:pPr>
        <w:pStyle w:val="SingleTxtG"/>
        <w:ind w:left="2268" w:hanging="1134"/>
      </w:pPr>
      <w:r w:rsidRPr="007E7155">
        <w:t>«10.1</w:t>
      </w:r>
      <w:r w:rsidRPr="007E7155">
        <w:tab/>
        <w:t>Prescriptions et essais</w:t>
      </w:r>
    </w:p>
    <w:p w:rsidR="000A77D5" w:rsidRPr="007E7155" w:rsidRDefault="000A77D5" w:rsidP="000A77D5">
      <w:pPr>
        <w:pStyle w:val="SingleTxtG"/>
        <w:ind w:left="2268" w:hanging="1134"/>
      </w:pPr>
      <w:r>
        <w:tab/>
      </w:r>
      <w:r w:rsidRPr="007E7155">
        <w:t>Un moteur représentatif de l’extension souhaitée de la gamme d’applications doit être soumis à des essais conformément aux dispositions soit du parag</w:t>
      </w:r>
      <w:r>
        <w:t>raphe 5.2.2, soit du paragraphe </w:t>
      </w:r>
      <w:r w:rsidRPr="007E7155">
        <w:t>10.1.1, au choix du fabricant du système de conversion du moteur à la bicarburation. Les ess</w:t>
      </w:r>
      <w:r>
        <w:t>ais moteurs visés au paragraphe </w:t>
      </w:r>
      <w:r w:rsidRPr="007E7155">
        <w:t>5.2.2 sont toujours requis si l’extension de la gamme d’applications concerne une famille de moteurs équipés d’un système RGE.</w:t>
      </w:r>
    </w:p>
    <w:p w:rsidR="000A77D5" w:rsidRPr="007E7155" w:rsidRDefault="000A77D5" w:rsidP="000A77D5">
      <w:pPr>
        <w:pStyle w:val="SingleTxtG"/>
        <w:ind w:left="2268" w:hanging="1134"/>
      </w:pPr>
      <w:r>
        <w:tab/>
      </w:r>
      <w:r w:rsidRPr="007E7155">
        <w:t>Les</w:t>
      </w:r>
      <w:r>
        <w:t xml:space="preserve"> essais prescrits au paragraphe </w:t>
      </w:r>
      <w:r w:rsidRPr="007E7155">
        <w:t>10.1.1 doivent être effectués sur un moteur représentatif équipé d’un membre de la famille de systèmes de conversion du moteur à la bicarburation.</w:t>
      </w:r>
    </w:p>
    <w:p w:rsidR="000A77D5" w:rsidRPr="007E7155" w:rsidRDefault="000A77D5" w:rsidP="000A77D5">
      <w:pPr>
        <w:pStyle w:val="SingleTxtG"/>
        <w:ind w:left="2268" w:hanging="1134"/>
      </w:pPr>
      <w:r>
        <w:tab/>
      </w:r>
      <w:r w:rsidRPr="007E7155">
        <w:t>Les mêmes essais doivent être réalisés en mode diesel et en mode bicarburant de sorte que les points et les conditions de fonctionnement soient aussi similaires que possible.</w:t>
      </w:r>
    </w:p>
    <w:p w:rsidR="000A77D5" w:rsidRPr="007E7155" w:rsidRDefault="000A77D5" w:rsidP="000A77D5">
      <w:pPr>
        <w:pStyle w:val="SingleTxtG"/>
        <w:ind w:left="2268" w:hanging="1134"/>
      </w:pPr>
      <w:r>
        <w:tab/>
      </w:r>
      <w:r w:rsidRPr="007E7155">
        <w:t xml:space="preserve">Les résultats des essais d’émissions de </w:t>
      </w:r>
      <w:proofErr w:type="spellStart"/>
      <w:r w:rsidRPr="007E7155">
        <w:t>NO</w:t>
      </w:r>
      <w:r w:rsidRPr="007E7155">
        <w:rPr>
          <w:vertAlign w:val="subscript"/>
        </w:rPr>
        <w:t>x</w:t>
      </w:r>
      <w:proofErr w:type="spellEnd"/>
      <w:r w:rsidRPr="007E7155">
        <w:t>, de HCNM, de CO et de MP en mode bicarburant doivent être inférieurs ou égaux aux résultats en mode diesel.</w:t>
      </w:r>
    </w:p>
    <w:p w:rsidR="000A77D5" w:rsidRPr="007E7155" w:rsidRDefault="000A77D5" w:rsidP="000A77D5">
      <w:pPr>
        <w:pStyle w:val="SingleTxtG"/>
        <w:keepNext/>
        <w:keepLines/>
        <w:ind w:left="2268" w:hanging="1134"/>
      </w:pPr>
      <w:r>
        <w:tab/>
      </w:r>
      <w:r w:rsidRPr="007E7155">
        <w:t>À titre de variante, à la demande du fabricant du système de conversion du moteur, les dispositions suivantes s’appliquent :</w:t>
      </w:r>
    </w:p>
    <w:p w:rsidR="000A77D5" w:rsidRPr="007E7155" w:rsidRDefault="000A77D5" w:rsidP="000A77D5">
      <w:pPr>
        <w:pStyle w:val="SingleTxtG"/>
        <w:ind w:left="2835" w:hanging="567"/>
      </w:pPr>
      <w:r w:rsidRPr="007E7155">
        <w:t>a)</w:t>
      </w:r>
      <w:r w:rsidRPr="007E7155">
        <w:tab/>
        <w:t>Pour les émissions de HCNM et de CO uniquement, les résultats d’émissions spécifiques de CO</w:t>
      </w:r>
      <w:r w:rsidRPr="007E7155">
        <w:rPr>
          <w:vertAlign w:val="subscript"/>
        </w:rPr>
        <w:t>2</w:t>
      </w:r>
      <w:r w:rsidRPr="007E7155">
        <w:t xml:space="preserve"> de l’essai exé</w:t>
      </w:r>
      <w:r>
        <w:t>cuté conformément au paragraphe </w:t>
      </w:r>
      <w:r w:rsidRPr="007E7155">
        <w:t xml:space="preserve">10.1.1.1 en mode bicarburant ne doivent pas dépasser les limites d’émission d’origine applicables telles que spécifiées dans le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 w:rsidRPr="007E7155">
        <w:t> 49 et transposées en limites d’émission spécifiques de CO</w:t>
      </w:r>
      <w:r w:rsidRPr="007E7155">
        <w:rPr>
          <w:vertAlign w:val="subscript"/>
        </w:rPr>
        <w:t>2</w:t>
      </w:r>
      <w:r w:rsidRPr="007E7155">
        <w:t xml:space="preserve"> au moyen de l’équation suivante :</w:t>
      </w:r>
    </w:p>
    <w:p w:rsidR="000A77D5" w:rsidRPr="007E7155" w:rsidRDefault="000A77D5" w:rsidP="000A77D5">
      <w:pPr>
        <w:pStyle w:val="SingleTxtG"/>
        <w:ind w:left="2835"/>
      </w:pPr>
      <w:proofErr w:type="gramStart"/>
      <w:r w:rsidRPr="007E7155">
        <w:t>limite</w:t>
      </w:r>
      <w:proofErr w:type="gramEnd"/>
      <w:r w:rsidRPr="007E7155">
        <w:t xml:space="preserve"> d’émissions spécifiques de CO</w:t>
      </w:r>
      <w:r w:rsidRPr="007E7155">
        <w:rPr>
          <w:vertAlign w:val="subscript"/>
        </w:rPr>
        <w:t>2</w:t>
      </w:r>
      <w:r>
        <w:t xml:space="preserve"> = 1,6 x </w:t>
      </w:r>
      <w:r w:rsidRPr="007E7155">
        <w:t>1,5 x limite d’émissions spécifiques au frein</w:t>
      </w:r>
    </w:p>
    <w:p w:rsidR="000A77D5" w:rsidRPr="007E7155" w:rsidRDefault="000A77D5" w:rsidP="000A77D5">
      <w:pPr>
        <w:pStyle w:val="SingleTxtG"/>
        <w:ind w:left="2835"/>
      </w:pPr>
      <w:r w:rsidRPr="007E7155">
        <w:t>Où :</w:t>
      </w:r>
    </w:p>
    <w:p w:rsidR="000A77D5" w:rsidRPr="007E7155" w:rsidRDefault="000A77D5" w:rsidP="000A77D5">
      <w:pPr>
        <w:pStyle w:val="SingleTxtG"/>
        <w:ind w:left="2835"/>
      </w:pPr>
      <w:proofErr w:type="gramStart"/>
      <w:r w:rsidRPr="007E7155">
        <w:t>la</w:t>
      </w:r>
      <w:proofErr w:type="gramEnd"/>
      <w:r w:rsidRPr="007E7155">
        <w:t xml:space="preserve"> limite d’émissions spécifiques de CO</w:t>
      </w:r>
      <w:r w:rsidRPr="007E7155">
        <w:rPr>
          <w:vertAlign w:val="subscript"/>
        </w:rPr>
        <w:t xml:space="preserve">2 </w:t>
      </w:r>
      <w:r w:rsidRPr="007E7155">
        <w:t>est la limite équivalente exprimée en [g/kgCO</w:t>
      </w:r>
      <w:r w:rsidRPr="007E7155">
        <w:rPr>
          <w:vertAlign w:val="subscript"/>
        </w:rPr>
        <w:t>2</w:t>
      </w:r>
      <w:r w:rsidRPr="007E7155">
        <w:t>]</w:t>
      </w:r>
    </w:p>
    <w:p w:rsidR="000A77D5" w:rsidRPr="007E7155" w:rsidRDefault="000A77D5" w:rsidP="000A77D5">
      <w:pPr>
        <w:pStyle w:val="SingleTxtG"/>
        <w:ind w:left="3402" w:hanging="567"/>
      </w:pPr>
      <w:r w:rsidRPr="007E7155">
        <w:t>1,6</w:t>
      </w:r>
      <w:r w:rsidRPr="007E7155">
        <w:tab/>
        <w:t>est le facteur de conversion des émissions spécifiques au frein en émissions spécifiques de CO</w:t>
      </w:r>
      <w:r w:rsidRPr="007E7155">
        <w:rPr>
          <w:vertAlign w:val="subscript"/>
        </w:rPr>
        <w:t>2</w:t>
      </w:r>
    </w:p>
    <w:p w:rsidR="000A77D5" w:rsidRPr="007E7155" w:rsidRDefault="000A77D5" w:rsidP="000A77D5">
      <w:pPr>
        <w:pStyle w:val="SingleTxtG"/>
        <w:ind w:left="2835"/>
      </w:pPr>
      <w:r w:rsidRPr="007E7155">
        <w:t>1,5</w:t>
      </w:r>
      <w:r w:rsidRPr="007E7155">
        <w:tab/>
        <w:t>est le facteur de conformité</w:t>
      </w:r>
    </w:p>
    <w:p w:rsidR="000A77D5" w:rsidRPr="007E7155" w:rsidRDefault="000A77D5" w:rsidP="000A77D5">
      <w:pPr>
        <w:pStyle w:val="SingleTxtG"/>
        <w:ind w:left="2835"/>
      </w:pPr>
      <w:proofErr w:type="gramStart"/>
      <w:r w:rsidRPr="007E7155">
        <w:t>la</w:t>
      </w:r>
      <w:proofErr w:type="gramEnd"/>
      <w:r w:rsidRPr="007E7155">
        <w:t xml:space="preserve"> limite d’émissions spécifiques au frein est la limite d’émissions d’origine applicable telle que spécifiée dans le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 w:rsidRPr="007E7155">
        <w:t> 49 et exprimée en [g/kWh]</w:t>
      </w:r>
      <w:r>
        <w:t> ;</w:t>
      </w:r>
    </w:p>
    <w:p w:rsidR="000A77D5" w:rsidRPr="007E7155" w:rsidRDefault="000A77D5" w:rsidP="000A77D5">
      <w:pPr>
        <w:pStyle w:val="SingleTxtG"/>
        <w:ind w:left="2835" w:hanging="567"/>
        <w:rPr>
          <w:bCs/>
        </w:rPr>
      </w:pPr>
      <w:proofErr w:type="gramStart"/>
      <w:r w:rsidRPr="007E7155">
        <w:t>b</w:t>
      </w:r>
      <w:proofErr w:type="gramEnd"/>
      <w:r w:rsidRPr="007E7155">
        <w:t>)</w:t>
      </w:r>
      <w:r w:rsidRPr="007E7155">
        <w:tab/>
        <w:t xml:space="preserve">Les résultats des essais d’émissions de </w:t>
      </w:r>
      <w:proofErr w:type="spellStart"/>
      <w:r w:rsidRPr="007E7155">
        <w:t>NO</w:t>
      </w:r>
      <w:r w:rsidRPr="007E7155">
        <w:rPr>
          <w:vertAlign w:val="subscript"/>
        </w:rPr>
        <w:t>x</w:t>
      </w:r>
      <w:proofErr w:type="spellEnd"/>
      <w:r w:rsidRPr="007E7155">
        <w:t xml:space="preserve"> et de MP en mode bicarburant doivent être inférieurs ou égaux aux résulta</w:t>
      </w:r>
      <w:r>
        <w:t>ts en mode diesel »</w:t>
      </w:r>
      <w:r w:rsidRPr="007E7155">
        <w:t>.</w:t>
      </w:r>
    </w:p>
    <w:p w:rsidR="00F9573C" w:rsidRPr="000A77D5" w:rsidRDefault="000A77D5" w:rsidP="000A77D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A77D5" w:rsidSect="000A77D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4F" w:rsidRDefault="006C184F" w:rsidP="00F95C08">
      <w:pPr>
        <w:spacing w:line="240" w:lineRule="auto"/>
      </w:pPr>
    </w:p>
  </w:endnote>
  <w:endnote w:type="continuationSeparator" w:id="0">
    <w:p w:rsidR="006C184F" w:rsidRPr="00AC3823" w:rsidRDefault="006C184F" w:rsidP="00AC3823">
      <w:pPr>
        <w:pStyle w:val="Footer"/>
      </w:pPr>
    </w:p>
  </w:endnote>
  <w:endnote w:type="continuationNotice" w:id="1">
    <w:p w:rsidR="006C184F" w:rsidRDefault="006C18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D5" w:rsidRPr="000A77D5" w:rsidRDefault="000A77D5" w:rsidP="000A77D5">
    <w:pPr>
      <w:pStyle w:val="Footer"/>
      <w:tabs>
        <w:tab w:val="right" w:pos="9638"/>
      </w:tabs>
    </w:pPr>
    <w:r w:rsidRPr="000A77D5">
      <w:rPr>
        <w:b/>
        <w:sz w:val="18"/>
      </w:rPr>
      <w:fldChar w:fldCharType="begin"/>
    </w:r>
    <w:r w:rsidRPr="000A77D5">
      <w:rPr>
        <w:b/>
        <w:sz w:val="18"/>
      </w:rPr>
      <w:instrText xml:space="preserve"> PAGE  \* MERGEFORMAT </w:instrText>
    </w:r>
    <w:r w:rsidRPr="000A77D5">
      <w:rPr>
        <w:b/>
        <w:sz w:val="18"/>
      </w:rPr>
      <w:fldChar w:fldCharType="separate"/>
    </w:r>
    <w:r w:rsidR="001956AC">
      <w:rPr>
        <w:b/>
        <w:noProof/>
        <w:sz w:val="18"/>
      </w:rPr>
      <w:t>2</w:t>
    </w:r>
    <w:r w:rsidRPr="000A77D5">
      <w:rPr>
        <w:b/>
        <w:sz w:val="18"/>
      </w:rPr>
      <w:fldChar w:fldCharType="end"/>
    </w:r>
    <w:r>
      <w:rPr>
        <w:b/>
        <w:sz w:val="18"/>
      </w:rPr>
      <w:tab/>
    </w:r>
    <w:r>
      <w:t>GE.17-05465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D5" w:rsidRPr="000A77D5" w:rsidRDefault="000A77D5" w:rsidP="000A77D5">
    <w:pPr>
      <w:pStyle w:val="Footer"/>
      <w:tabs>
        <w:tab w:val="right" w:pos="9638"/>
      </w:tabs>
      <w:rPr>
        <w:b/>
        <w:sz w:val="18"/>
      </w:rPr>
    </w:pPr>
    <w:r>
      <w:t>GE.17-05465</w:t>
    </w:r>
    <w:r>
      <w:tab/>
    </w:r>
    <w:r w:rsidRPr="000A77D5">
      <w:rPr>
        <w:b/>
        <w:sz w:val="18"/>
      </w:rPr>
      <w:fldChar w:fldCharType="begin"/>
    </w:r>
    <w:r w:rsidRPr="000A77D5">
      <w:rPr>
        <w:b/>
        <w:sz w:val="18"/>
      </w:rPr>
      <w:instrText xml:space="preserve"> PAGE  \* MERGEFORMAT </w:instrText>
    </w:r>
    <w:r w:rsidRPr="000A77D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A77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0A77D5" w:rsidRDefault="000A77D5" w:rsidP="000A77D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A17F8A4" wp14:editId="44AA7B3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17-05465  (F)    180417    020517</w:t>
    </w:r>
    <w:r>
      <w:rPr>
        <w:sz w:val="20"/>
      </w:rPr>
      <w:br/>
    </w:r>
    <w:r w:rsidRPr="000A77D5">
      <w:rPr>
        <w:rFonts w:ascii="C39T30Lfz" w:hAnsi="C39T30Lfz"/>
        <w:sz w:val="56"/>
      </w:rPr>
      <w:t></w:t>
    </w:r>
    <w:r w:rsidRPr="000A77D5">
      <w:rPr>
        <w:rFonts w:ascii="C39T30Lfz" w:hAnsi="C39T30Lfz"/>
        <w:sz w:val="56"/>
      </w:rPr>
      <w:t></w:t>
    </w:r>
    <w:r w:rsidRPr="000A77D5">
      <w:rPr>
        <w:rFonts w:ascii="C39T30Lfz" w:hAnsi="C39T30Lfz"/>
        <w:sz w:val="56"/>
      </w:rPr>
      <w:t></w:t>
    </w:r>
    <w:r w:rsidRPr="000A77D5">
      <w:rPr>
        <w:rFonts w:ascii="C39T30Lfz" w:hAnsi="C39T30Lfz"/>
        <w:sz w:val="56"/>
      </w:rPr>
      <w:t></w:t>
    </w:r>
    <w:r w:rsidRPr="000A77D5">
      <w:rPr>
        <w:rFonts w:ascii="C39T30Lfz" w:hAnsi="C39T30Lfz"/>
        <w:sz w:val="56"/>
      </w:rPr>
      <w:t></w:t>
    </w:r>
    <w:r w:rsidRPr="000A77D5">
      <w:rPr>
        <w:rFonts w:ascii="C39T30Lfz" w:hAnsi="C39T30Lfz"/>
        <w:sz w:val="56"/>
      </w:rPr>
      <w:t></w:t>
    </w:r>
    <w:r w:rsidRPr="000A77D5">
      <w:rPr>
        <w:rFonts w:ascii="C39T30Lfz" w:hAnsi="C39T30Lfz"/>
        <w:sz w:val="56"/>
      </w:rPr>
      <w:t></w:t>
    </w:r>
    <w:r w:rsidRPr="000A77D5">
      <w:rPr>
        <w:rFonts w:ascii="C39T30Lfz" w:hAnsi="C39T30Lfz"/>
        <w:sz w:val="56"/>
      </w:rPr>
      <w:t></w:t>
    </w:r>
    <w:r w:rsidRPr="000A77D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6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6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4F" w:rsidRPr="00AC3823" w:rsidRDefault="006C18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184F" w:rsidRPr="00AC3823" w:rsidRDefault="006C18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C184F" w:rsidRPr="00AC3823" w:rsidRDefault="006C184F">
      <w:pPr>
        <w:spacing w:line="240" w:lineRule="auto"/>
        <w:rPr>
          <w:sz w:val="2"/>
          <w:szCs w:val="2"/>
        </w:rPr>
      </w:pPr>
    </w:p>
  </w:footnote>
  <w:footnote w:id="2">
    <w:p w:rsidR="000A77D5" w:rsidRPr="00706101" w:rsidRDefault="000A77D5" w:rsidP="000A77D5">
      <w:pPr>
        <w:pStyle w:val="FootnoteText"/>
      </w:pPr>
      <w:r>
        <w:tab/>
        <w:t>*</w:t>
      </w:r>
      <w:r>
        <w:tab/>
        <w:t>Conformément au programme de travail du Comité des transports intérieurs pour la période 2016-2017 (ECE/TRANS/254, par. 159, et ECE/TRANS/2016/28/Add.1, module 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D5" w:rsidRPr="000A77D5" w:rsidRDefault="001956A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E4BA4">
      <w:t>ECE/TRANS/WP.29/2017/66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D5" w:rsidRPr="000A77D5" w:rsidRDefault="001956AC" w:rsidP="000A77D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E4BA4">
      <w:t>ECE/TRANS/WP.29/2017/66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4F"/>
    <w:rsid w:val="00017F94"/>
    <w:rsid w:val="00023842"/>
    <w:rsid w:val="000334F9"/>
    <w:rsid w:val="00045FEB"/>
    <w:rsid w:val="0007796D"/>
    <w:rsid w:val="000A77D5"/>
    <w:rsid w:val="000B7790"/>
    <w:rsid w:val="00111F2F"/>
    <w:rsid w:val="0014365E"/>
    <w:rsid w:val="00143C66"/>
    <w:rsid w:val="00176178"/>
    <w:rsid w:val="001956AC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C184F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85C74"/>
    <w:rsid w:val="00EA6547"/>
    <w:rsid w:val="00EE4BA4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ECE/TRANS/WP.29/2017/66</vt:lpstr>
      <vt:lpstr/>
    </vt:vector>
  </TitlesOfParts>
  <Company>DCM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ECE/TRANS/WP.29/2017/66</dc:title>
  <dc:creator>Bourion</dc:creator>
  <cp:lastModifiedBy>Benedicte Boudol</cp:lastModifiedBy>
  <cp:revision>2</cp:revision>
  <cp:lastPrinted>2017-05-02T13:10:00Z</cp:lastPrinted>
  <dcterms:created xsi:type="dcterms:W3CDTF">2017-05-02T14:16:00Z</dcterms:created>
  <dcterms:modified xsi:type="dcterms:W3CDTF">2017-05-02T14:16:00Z</dcterms:modified>
</cp:coreProperties>
</file>