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9260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92607" w:rsidP="00D92607">
            <w:pPr>
              <w:jc w:val="right"/>
            </w:pPr>
            <w:r w:rsidRPr="00D92607">
              <w:rPr>
                <w:sz w:val="40"/>
              </w:rPr>
              <w:t>ECE</w:t>
            </w:r>
            <w:r>
              <w:t>/TRANS/WP.29/GRE/2017</w:t>
            </w:r>
            <w:r w:rsidR="00285BCF">
              <w:t>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92607" w:rsidP="00C97039">
            <w:pPr>
              <w:spacing w:before="240"/>
            </w:pPr>
            <w:r>
              <w:t>Distr. générale</w:t>
            </w:r>
          </w:p>
          <w:p w:rsidR="00D92607" w:rsidRDefault="00D92607" w:rsidP="00D92607">
            <w:pPr>
              <w:spacing w:line="240" w:lineRule="exact"/>
            </w:pPr>
            <w:r>
              <w:t>10 août 2017</w:t>
            </w:r>
          </w:p>
          <w:p w:rsidR="00D92607" w:rsidRDefault="00D92607" w:rsidP="00D92607">
            <w:pPr>
              <w:spacing w:line="240" w:lineRule="exact"/>
            </w:pPr>
            <w:r>
              <w:t>Français</w:t>
            </w:r>
          </w:p>
          <w:p w:rsidR="00D92607" w:rsidRPr="00DB58B5" w:rsidRDefault="00D92607" w:rsidP="00D9260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F41176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41176" w:rsidRPr="00F41176" w:rsidRDefault="00F41176" w:rsidP="00F41176">
      <w:pPr>
        <w:spacing w:after="120"/>
        <w:rPr>
          <w:b/>
          <w:sz w:val="24"/>
          <w:szCs w:val="24"/>
        </w:rPr>
      </w:pPr>
      <w:r w:rsidRPr="00F41176">
        <w:rPr>
          <w:b/>
          <w:sz w:val="24"/>
          <w:szCs w:val="24"/>
        </w:rPr>
        <w:t>Forum mondial de l’harmonisation</w:t>
      </w:r>
      <w:r w:rsidRPr="00F41176">
        <w:rPr>
          <w:b/>
          <w:sz w:val="24"/>
          <w:szCs w:val="24"/>
        </w:rPr>
        <w:br/>
        <w:t xml:space="preserve">des Règlements concernant les véhicules </w:t>
      </w:r>
    </w:p>
    <w:p w:rsidR="00F41176" w:rsidRPr="00382489" w:rsidRDefault="00F41176" w:rsidP="00D13BF8">
      <w:pPr>
        <w:spacing w:before="120" w:after="120" w:line="240" w:lineRule="exact"/>
        <w:rPr>
          <w:b/>
        </w:rPr>
      </w:pPr>
      <w:r w:rsidRPr="00382489">
        <w:rPr>
          <w:b/>
        </w:rPr>
        <w:t xml:space="preserve">Groupe de travail de l’éclairage et de la signalisation lumineuse </w:t>
      </w:r>
    </w:p>
    <w:p w:rsidR="00F41176" w:rsidRPr="00382489" w:rsidRDefault="004128B2" w:rsidP="00F41176">
      <w:pPr>
        <w:rPr>
          <w:b/>
        </w:rPr>
      </w:pPr>
      <w:r>
        <w:rPr>
          <w:b/>
        </w:rPr>
        <w:t>Soixante-dix-huitième session</w:t>
      </w:r>
    </w:p>
    <w:p w:rsidR="00F41176" w:rsidRPr="00382489" w:rsidRDefault="00191EF9" w:rsidP="00F41176">
      <w:pPr>
        <w:rPr>
          <w:bCs/>
        </w:rPr>
      </w:pPr>
      <w:r>
        <w:t>Genève, 24-</w:t>
      </w:r>
      <w:r w:rsidR="00F41176" w:rsidRPr="00382489">
        <w:t>27 octobre 2017</w:t>
      </w:r>
    </w:p>
    <w:p w:rsidR="00F41176" w:rsidRPr="00382489" w:rsidRDefault="00F41176" w:rsidP="00F41176">
      <w:pPr>
        <w:rPr>
          <w:bCs/>
        </w:rPr>
      </w:pPr>
      <w:r w:rsidRPr="00382489">
        <w:rPr>
          <w:bCs/>
        </w:rPr>
        <w:t xml:space="preserve">Point </w:t>
      </w:r>
      <w:r>
        <w:rPr>
          <w:bCs/>
        </w:rPr>
        <w:t>4</w:t>
      </w:r>
      <w:r w:rsidRPr="00382489">
        <w:rPr>
          <w:bCs/>
        </w:rPr>
        <w:t xml:space="preserve"> de l’ordre du jour provisoire</w:t>
      </w:r>
    </w:p>
    <w:p w:rsidR="00F41176" w:rsidRPr="000D3FE4" w:rsidRDefault="00F41176" w:rsidP="00F41176">
      <w:pPr>
        <w:rPr>
          <w:bCs/>
        </w:rPr>
      </w:pPr>
      <w:r w:rsidRPr="000D3FE4">
        <w:rPr>
          <w:b/>
          <w:bCs/>
        </w:rPr>
        <w:t>Simplification des Règlements concernant l’éclairag</w:t>
      </w:r>
      <w:r>
        <w:rPr>
          <w:b/>
          <w:bCs/>
        </w:rPr>
        <w:t>e</w:t>
      </w:r>
      <w:r>
        <w:rPr>
          <w:b/>
          <w:bCs/>
        </w:rPr>
        <w:br/>
        <w:t>et la signalisation lumineuse</w:t>
      </w:r>
    </w:p>
    <w:p w:rsidR="00F41176" w:rsidRPr="000D3FE4" w:rsidRDefault="00F41176" w:rsidP="00F41176">
      <w:pPr>
        <w:pStyle w:val="HChG"/>
      </w:pPr>
      <w:r>
        <w:tab/>
      </w:r>
      <w:r>
        <w:tab/>
      </w:r>
      <w:r w:rsidRPr="000D3FE4">
        <w:t>Propos</w:t>
      </w:r>
      <w:r w:rsidRPr="00DB1CD2">
        <w:t>ition d’introduir</w:t>
      </w:r>
      <w:r>
        <w:t>e des prescriptions applicables</w:t>
      </w:r>
      <w:r>
        <w:br/>
      </w:r>
      <w:r w:rsidRPr="00DB1CD2">
        <w:t xml:space="preserve">à l’utilisation </w:t>
      </w:r>
      <w:r>
        <w:t>de sources lumineuses à DEL</w:t>
      </w:r>
      <w:r w:rsidR="00D13BF8">
        <w:t xml:space="preserve"> </w:t>
      </w:r>
      <w:r w:rsidRPr="00DB1CD2">
        <w:t xml:space="preserve">de </w:t>
      </w:r>
      <w:r w:rsidR="00D13BF8">
        <w:br/>
      </w:r>
      <w:proofErr w:type="gramStart"/>
      <w:r w:rsidRPr="00DB1CD2">
        <w:t>substitution</w:t>
      </w:r>
      <w:proofErr w:type="gramEnd"/>
      <w:r w:rsidRPr="00DB1CD2">
        <w:t xml:space="preserve"> </w:t>
      </w:r>
      <w:r>
        <w:t xml:space="preserve">dans le </w:t>
      </w:r>
      <w:r w:rsidRPr="00DB1CD2">
        <w:t>nouveau</w:t>
      </w:r>
      <w:r>
        <w:t xml:space="preserve"> </w:t>
      </w:r>
      <w:r w:rsidRPr="00DB1CD2">
        <w:t>Règlement</w:t>
      </w:r>
      <w:r w:rsidR="00D13BF8">
        <w:t xml:space="preserve"> </w:t>
      </w:r>
      <w:r w:rsidRPr="00DB1CD2">
        <w:t xml:space="preserve">sur </w:t>
      </w:r>
      <w:r w:rsidR="00D13BF8">
        <w:br/>
      </w:r>
      <w:r w:rsidRPr="00DB1CD2">
        <w:t>les dispositifs de signalisation lumineuse</w:t>
      </w:r>
      <w:r w:rsidRPr="000D3FE4">
        <w:t xml:space="preserve"> </w:t>
      </w:r>
    </w:p>
    <w:p w:rsidR="00F41176" w:rsidRPr="000D3FE4" w:rsidRDefault="00F41176" w:rsidP="00F41176">
      <w:pPr>
        <w:pStyle w:val="H1G"/>
      </w:pPr>
      <w:r>
        <w:tab/>
      </w:r>
      <w:r>
        <w:tab/>
      </w:r>
      <w:r w:rsidRPr="00DB1CD2">
        <w:t xml:space="preserve">Communication de l’expert du Groupe de travail </w:t>
      </w:r>
      <w:r w:rsidR="00D13BF8">
        <w:br/>
      </w:r>
      <w:r w:rsidRPr="00DB1CD2">
        <w:t>« Bruxelles 1952 »</w:t>
      </w:r>
      <w:r w:rsidR="001B59FD">
        <w:t xml:space="preserve"> </w:t>
      </w:r>
      <w:r w:rsidRPr="00DB1CD2">
        <w:t>(GTB)</w:t>
      </w:r>
      <w:r w:rsidRPr="00F4117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41176" w:rsidRPr="000D3FE4" w:rsidRDefault="00F41176" w:rsidP="00F41176">
      <w:pPr>
        <w:pStyle w:val="SingleTxtG"/>
        <w:ind w:firstLine="567"/>
      </w:pPr>
      <w:r w:rsidRPr="00DB1CD2">
        <w:t xml:space="preserve">Le texte ci-après, établi par l’expert du GTB, vise à introduire des prescriptions applicables à l’utilisation de sources lumineuses à </w:t>
      </w:r>
      <w:r w:rsidRPr="0084659C">
        <w:t xml:space="preserve">diodes électroluminescentes </w:t>
      </w:r>
      <w:r>
        <w:t>(</w:t>
      </w:r>
      <w:r w:rsidRPr="00DB1CD2">
        <w:t>DEL</w:t>
      </w:r>
      <w:r>
        <w:t>)</w:t>
      </w:r>
      <w:r w:rsidRPr="00DB1CD2">
        <w:t xml:space="preserve"> de substitution dans le nouveau Règlement sur les dispositifs de signalisation lumineuse</w:t>
      </w:r>
      <w:r>
        <w:t xml:space="preserve"> (DSL). Ce texte a déjà été soumis au Groupe de travail </w:t>
      </w:r>
      <w:r w:rsidRPr="0084659C">
        <w:t>de l’éclairage et de la signalisation lumineuse</w:t>
      </w:r>
      <w:r>
        <w:t xml:space="preserve"> (GRE) à sa soixante-dix-septième session </w:t>
      </w:r>
      <w:r w:rsidRPr="0084659C">
        <w:t xml:space="preserve">dans le document informel </w:t>
      </w:r>
      <w:r w:rsidR="00CB7719">
        <w:t>GRE</w:t>
      </w:r>
      <w:r w:rsidR="00CB7719">
        <w:noBreakHyphen/>
        <w:t>77</w:t>
      </w:r>
      <w:r w:rsidR="00CB7719">
        <w:noBreakHyphen/>
      </w:r>
      <w:r w:rsidRPr="0084659C">
        <w:t>15</w:t>
      </w:r>
      <w:r>
        <w:t xml:space="preserve"> et adopté en principe, dans l</w:t>
      </w:r>
      <w:r w:rsidR="001B59FD">
        <w:t>’</w:t>
      </w:r>
      <w:r>
        <w:t>attente d</w:t>
      </w:r>
      <w:r w:rsidR="001B59FD">
        <w:t>’</w:t>
      </w:r>
      <w:r>
        <w:t>un examen formel lors de la soixan</w:t>
      </w:r>
      <w:r w:rsidR="00FB6A9D">
        <w:t>te</w:t>
      </w:r>
      <w:r w:rsidR="00FB6A9D">
        <w:noBreakHyphen/>
      </w:r>
      <w:r>
        <w:t>dix-huitième session du GRE conjointement avec le texte final du nouveau projet de Règlement. Les </w:t>
      </w:r>
      <w:r w:rsidRPr="00DB1CD2">
        <w:t>modifications qu</w:t>
      </w:r>
      <w:r w:rsidR="001B59FD">
        <w:t>’</w:t>
      </w:r>
      <w:r w:rsidRPr="00DB1CD2">
        <w:t>il est proposé d</w:t>
      </w:r>
      <w:r w:rsidR="001B59FD">
        <w:t>’</w:t>
      </w:r>
      <w:r w:rsidRPr="00DB1CD2">
        <w:t>apporter au texte actuel du Règlement sont signalées en caractères gras pour les ajouts ou en caractères biffés pour les suppressions.</w:t>
      </w:r>
    </w:p>
    <w:p w:rsidR="00F41176" w:rsidRPr="000D3FE4" w:rsidRDefault="00F41176" w:rsidP="00F41176">
      <w:pPr>
        <w:pStyle w:val="HChG"/>
      </w:pPr>
      <w:r w:rsidRPr="000D3FE4">
        <w:br w:type="page"/>
      </w:r>
      <w:r>
        <w:lastRenderedPageBreak/>
        <w:tab/>
      </w:r>
      <w:r w:rsidRPr="000D3FE4">
        <w:t>I.</w:t>
      </w:r>
      <w:r w:rsidRPr="000D3FE4">
        <w:tab/>
        <w:t>Propos</w:t>
      </w:r>
      <w:r w:rsidRPr="0084659C">
        <w:t>ition</w:t>
      </w:r>
    </w:p>
    <w:p w:rsidR="00F41176" w:rsidRPr="000D3FE4" w:rsidRDefault="00F41176" w:rsidP="00F41176">
      <w:pPr>
        <w:pStyle w:val="SingleTxtG"/>
      </w:pPr>
      <w:r>
        <w:rPr>
          <w:i/>
        </w:rPr>
        <w:t>Paragraphe</w:t>
      </w:r>
      <w:r w:rsidRPr="000D3FE4">
        <w:rPr>
          <w:i/>
        </w:rPr>
        <w:t xml:space="preserve"> 2.1.1</w:t>
      </w:r>
      <w:r w:rsidRPr="007E2710">
        <w:t>,</w:t>
      </w:r>
      <w:r w:rsidRPr="000D3FE4">
        <w:t xml:space="preserve"> </w:t>
      </w:r>
      <w:proofErr w:type="gramStart"/>
      <w:r w:rsidRPr="0084659C">
        <w:t>modifier</w:t>
      </w:r>
      <w:proofErr w:type="gramEnd"/>
      <w:r w:rsidRPr="0084659C">
        <w:t xml:space="preserve"> comme suit</w:t>
      </w:r>
      <w:r w:rsidR="001B59FD">
        <w:t xml:space="preserve"> :</w:t>
      </w:r>
    </w:p>
    <w:p w:rsidR="00F41176" w:rsidRDefault="00F41176" w:rsidP="00F41176">
      <w:pPr>
        <w:pStyle w:val="SingleTxtG"/>
        <w:ind w:left="2268" w:hanging="1134"/>
      </w:pPr>
      <w:bookmarkStart w:id="1" w:name="_Toc473483452"/>
      <w:r>
        <w:rPr>
          <w:bCs/>
        </w:rPr>
        <w:t>« </w:t>
      </w:r>
      <w:r w:rsidRPr="004D4C66">
        <w:rPr>
          <w:bCs/>
        </w:rPr>
        <w:t>2</w:t>
      </w:r>
      <w:r>
        <w:t>.1.1</w:t>
      </w:r>
      <w:r>
        <w:tab/>
      </w:r>
      <w:r>
        <w:tab/>
      </w:r>
      <w:r w:rsidRPr="004D4C66">
        <w:t>Par “</w:t>
      </w:r>
      <w:r w:rsidRPr="004D4C66">
        <w:rPr>
          <w:i/>
        </w:rPr>
        <w:t>feux de types différents</w:t>
      </w:r>
      <w:r w:rsidRPr="004D4C66">
        <w:t>”, des feux qui présentent des différences essentielles pouvant porter notamment sur</w:t>
      </w:r>
      <w:r>
        <w:t> :</w:t>
      </w:r>
    </w:p>
    <w:p w:rsidR="00F41176" w:rsidRDefault="00F41176" w:rsidP="00F41176">
      <w:pPr>
        <w:pStyle w:val="SingleTxtG"/>
        <w:ind w:left="2268"/>
      </w:pPr>
      <w:r w:rsidRPr="004A6769">
        <w:t>a)</w:t>
      </w:r>
      <w:r w:rsidRPr="004A6769">
        <w:tab/>
        <w:t>La marque de fabrique ou de commerce</w:t>
      </w:r>
      <w:r>
        <w:t> :</w:t>
      </w:r>
    </w:p>
    <w:p w:rsidR="00246C2B" w:rsidRDefault="00F41176" w:rsidP="00246C2B">
      <w:pPr>
        <w:pStyle w:val="SingleTxtG"/>
        <w:ind w:left="3402" w:hanging="567"/>
        <w:rPr>
          <w:rFonts w:eastAsia="Times New Roman"/>
        </w:rPr>
      </w:pPr>
      <w:r w:rsidRPr="004A6769">
        <w:rPr>
          <w:rFonts w:eastAsia="Times New Roman"/>
        </w:rPr>
        <w:t>i)</w:t>
      </w:r>
      <w:r w:rsidRPr="004A6769">
        <w:rPr>
          <w:rFonts w:eastAsia="Times New Roman"/>
        </w:rPr>
        <w:tab/>
        <w:t>Des feux portant la même marque de fabrique ou de commerce mais produits par des fabricants différents sont considérés comme étant de types différents</w:t>
      </w:r>
      <w:r>
        <w:rPr>
          <w:rFonts w:eastAsia="Times New Roman"/>
        </w:rPr>
        <w:t> ;</w:t>
      </w:r>
    </w:p>
    <w:p w:rsidR="00F41176" w:rsidRPr="004A6769" w:rsidRDefault="00F41176" w:rsidP="00246C2B">
      <w:pPr>
        <w:pStyle w:val="SingleTxtG"/>
        <w:ind w:left="3402" w:hanging="567"/>
        <w:rPr>
          <w:rFonts w:eastAsia="Times New Roman"/>
        </w:rPr>
      </w:pPr>
      <w:r w:rsidRPr="004A6769">
        <w:rPr>
          <w:rFonts w:eastAsia="Times New Roman"/>
        </w:rPr>
        <w:t>ii)</w:t>
      </w:r>
      <w:r w:rsidRPr="004A6769">
        <w:rPr>
          <w:rFonts w:eastAsia="Times New Roman"/>
        </w:rPr>
        <w:tab/>
        <w:t>Des feux produits par le même fabricant et ne différant entre eux que par la marque de fabrique ou de commerce sont considérés comme étant du même type</w:t>
      </w:r>
      <w:r w:rsidR="00153122">
        <w:rPr>
          <w:rFonts w:eastAsia="Times New Roman"/>
        </w:rPr>
        <w:t> ;</w:t>
      </w:r>
    </w:p>
    <w:p w:rsidR="00F41176" w:rsidRPr="004A6769" w:rsidRDefault="00F41176" w:rsidP="00000B8B">
      <w:pPr>
        <w:pStyle w:val="SingleTxtG"/>
        <w:ind w:left="2835" w:hanging="567"/>
      </w:pPr>
      <w:r w:rsidRPr="004A6769">
        <w:t>b)</w:t>
      </w:r>
      <w:r w:rsidRPr="004A6769">
        <w:tab/>
        <w:t>Les caractéristiques du système optique (niveaux d</w:t>
      </w:r>
      <w:r w:rsidR="001B59FD">
        <w:t>’</w:t>
      </w:r>
      <w:r w:rsidRPr="004A6769">
        <w:t>intensité, angles de répartition de la lumière, adjonction ou suppression d</w:t>
      </w:r>
      <w:r w:rsidR="001B59FD">
        <w:t>’</w:t>
      </w:r>
      <w:r w:rsidRPr="004A6769">
        <w:t xml:space="preserve">éléments susceptibles de modifier les effets optiques par réflexion, réfraction, absorption </w:t>
      </w:r>
      <w:r>
        <w:t>et/</w:t>
      </w:r>
      <w:r w:rsidRPr="004A6769">
        <w:t>ou déformation pendant le fonctionnement</w:t>
      </w:r>
      <w:r w:rsidR="00153122">
        <w:t>, etc.) ;</w:t>
      </w:r>
    </w:p>
    <w:p w:rsidR="00F41176" w:rsidRPr="00BF62D4" w:rsidRDefault="00F41176" w:rsidP="00000B8B">
      <w:pPr>
        <w:pStyle w:val="SingleTxtG"/>
        <w:ind w:left="2835" w:hanging="567"/>
      </w:pPr>
      <w:r w:rsidRPr="004A6769">
        <w:t>c)</w:t>
      </w:r>
      <w:r w:rsidRPr="004A6769">
        <w:tab/>
        <w:t xml:space="preserve">La ou les catégorie(s) de </w:t>
      </w:r>
      <w:r>
        <w:t>source(s) lumineuse(s) utilisée(s) et/ou l</w:t>
      </w:r>
      <w:r w:rsidRPr="004A6769">
        <w:t>e</w:t>
      </w:r>
      <w:r>
        <w:t xml:space="preserve"> ou les</w:t>
      </w:r>
      <w:r w:rsidRPr="004A6769">
        <w:t xml:space="preserve"> code</w:t>
      </w:r>
      <w:r>
        <w:t>(s)</w:t>
      </w:r>
      <w:r w:rsidRPr="004A6769">
        <w:t xml:space="preserve"> d</w:t>
      </w:r>
      <w:r w:rsidR="001B59FD">
        <w:t>’</w:t>
      </w:r>
      <w:r w:rsidRPr="004A6769">
        <w:t>identification propre</w:t>
      </w:r>
      <w:r>
        <w:t xml:space="preserve">(s) </w:t>
      </w:r>
      <w:r w:rsidRPr="004A6769">
        <w:t>au</w:t>
      </w:r>
      <w:r w:rsidR="00C8358F">
        <w:t>(x)</w:t>
      </w:r>
      <w:r w:rsidRPr="004A6769">
        <w:t xml:space="preserve"> module</w:t>
      </w:r>
      <w:r>
        <w:t>(s)</w:t>
      </w:r>
      <w:r w:rsidRPr="004A6769">
        <w:t xml:space="preserve"> d</w:t>
      </w:r>
      <w:r w:rsidR="001B59FD">
        <w:t>’</w:t>
      </w:r>
      <w:r w:rsidRPr="004A6769">
        <w:t>éclaira</w:t>
      </w:r>
      <w:r>
        <w:t>ge</w:t>
      </w:r>
      <w:r w:rsidR="001B59FD">
        <w:t xml:space="preserve"> ;</w:t>
      </w:r>
    </w:p>
    <w:p w:rsidR="00F41176" w:rsidRPr="00BF62D4" w:rsidRDefault="00F41176" w:rsidP="00000B8B">
      <w:pPr>
        <w:pStyle w:val="SingleTxtG"/>
        <w:ind w:left="2835" w:hanging="567"/>
      </w:pPr>
      <w:r w:rsidRPr="00BF62D4">
        <w:t>d)</w:t>
      </w:r>
      <w:r w:rsidRPr="00BF62D4">
        <w:tab/>
        <w:t>La catégorie du feu, le cas échéant</w:t>
      </w:r>
      <w:r w:rsidR="00153122">
        <w:t> ;</w:t>
      </w:r>
    </w:p>
    <w:p w:rsidR="00F41176" w:rsidRPr="00672BA6" w:rsidRDefault="00F41176" w:rsidP="00000B8B">
      <w:pPr>
        <w:pStyle w:val="SingleTxtG"/>
        <w:ind w:left="2835" w:hanging="567"/>
      </w:pPr>
      <w:r w:rsidRPr="00672BA6">
        <w:t>e)</w:t>
      </w:r>
      <w:r w:rsidRPr="00672BA6">
        <w:tab/>
        <w:t>Le régulateur d</w:t>
      </w:r>
      <w:r w:rsidR="001B59FD">
        <w:t>’</w:t>
      </w:r>
      <w:r w:rsidRPr="00672BA6">
        <w:t>intensité, le cas échéant</w:t>
      </w:r>
      <w:r w:rsidR="00153122">
        <w:t> ;</w:t>
      </w:r>
    </w:p>
    <w:p w:rsidR="00F41176" w:rsidRPr="00672BA6" w:rsidRDefault="00F41176" w:rsidP="00000B8B">
      <w:pPr>
        <w:pStyle w:val="SingleTxtG"/>
        <w:ind w:left="2835" w:hanging="567"/>
      </w:pPr>
      <w:r w:rsidRPr="00672BA6">
        <w:t>f)</w:t>
      </w:r>
      <w:r w:rsidRPr="00672BA6">
        <w:tab/>
        <w:t>L</w:t>
      </w:r>
      <w:r w:rsidR="001B59FD">
        <w:t>’</w:t>
      </w:r>
      <w:r w:rsidRPr="00672BA6">
        <w:t>activation séquentielle des sources lumineuses, le cas échéant.</w:t>
      </w:r>
    </w:p>
    <w:p w:rsidR="001C1324" w:rsidRDefault="00F41176" w:rsidP="001C1324">
      <w:pPr>
        <w:pStyle w:val="SingleTxtG"/>
        <w:ind w:left="2268"/>
      </w:pPr>
      <w:r w:rsidRPr="00672BA6">
        <w:t>Toutefois, les indicateurs de direction susceptibles d</w:t>
      </w:r>
      <w:r w:rsidR="001B59FD">
        <w:t>’</w:t>
      </w:r>
      <w:r w:rsidRPr="00672BA6">
        <w:t>être activés dans différents modes (séquentiels ou non) sans aucune modification des caractéristiques optiques du feu ne constituent pas des “</w:t>
      </w:r>
      <w:r w:rsidRPr="00672BA6">
        <w:rPr>
          <w:i/>
        </w:rPr>
        <w:t>indicateurs de direction de types différents</w:t>
      </w:r>
      <w:r w:rsidRPr="00672BA6">
        <w:t>”.</w:t>
      </w:r>
    </w:p>
    <w:p w:rsidR="001C1324" w:rsidRDefault="00F41176" w:rsidP="001C1324">
      <w:pPr>
        <w:pStyle w:val="SingleTxtG"/>
        <w:ind w:left="2268"/>
        <w:rPr>
          <w:bCs/>
        </w:rPr>
      </w:pPr>
      <w:r w:rsidRPr="001C1324">
        <w:rPr>
          <w:bCs/>
        </w:rPr>
        <w:t>Une modification de la couleur d</w:t>
      </w:r>
      <w:r w:rsidR="001B59FD">
        <w:rPr>
          <w:bCs/>
        </w:rPr>
        <w:t>’</w:t>
      </w:r>
      <w:r w:rsidRPr="001C1324">
        <w:rPr>
          <w:bCs/>
        </w:rPr>
        <w:t>une source lumineuse ou de la couleur d</w:t>
      </w:r>
      <w:r w:rsidR="001B59FD">
        <w:rPr>
          <w:bCs/>
        </w:rPr>
        <w:t>’</w:t>
      </w:r>
      <w:r w:rsidRPr="001C1324">
        <w:rPr>
          <w:bCs/>
        </w:rPr>
        <w:t>un filtre ne constitue pas une modification du type</w:t>
      </w:r>
      <w:bookmarkEnd w:id="1"/>
      <w:r w:rsidR="008046AC">
        <w:rPr>
          <w:bCs/>
        </w:rPr>
        <w:t>.</w:t>
      </w:r>
    </w:p>
    <w:p w:rsidR="00F41176" w:rsidRPr="001C1324" w:rsidRDefault="00F41176" w:rsidP="001C1324">
      <w:pPr>
        <w:pStyle w:val="SingleTxtG"/>
        <w:ind w:left="2268"/>
      </w:pPr>
      <w:r w:rsidRPr="00672BA6">
        <w:rPr>
          <w:rFonts w:eastAsia="Times New Roman"/>
          <w:b/>
        </w:rPr>
        <w:t>L</w:t>
      </w:r>
      <w:r w:rsidR="001B59FD">
        <w:rPr>
          <w:rFonts w:eastAsia="Times New Roman"/>
          <w:b/>
        </w:rPr>
        <w:t>’</w:t>
      </w:r>
      <w:r w:rsidRPr="00672BA6">
        <w:rPr>
          <w:rFonts w:eastAsia="Times New Roman"/>
          <w:b/>
        </w:rPr>
        <w:t xml:space="preserve">utilisation </w:t>
      </w:r>
      <w:r>
        <w:rPr>
          <w:rFonts w:eastAsia="Times New Roman"/>
          <w:b/>
        </w:rPr>
        <w:t xml:space="preserve">de </w:t>
      </w:r>
      <w:r w:rsidRPr="00672BA6">
        <w:rPr>
          <w:rFonts w:eastAsia="Times New Roman"/>
          <w:b/>
        </w:rPr>
        <w:t>sources lumineuses à DEL de substitution</w:t>
      </w:r>
      <w:r w:rsidRPr="00FC2813">
        <w:t xml:space="preserve"> </w:t>
      </w:r>
      <w:r w:rsidR="00D13BF8">
        <w:rPr>
          <w:rFonts w:eastAsia="Times New Roman"/>
          <w:b/>
        </w:rPr>
        <w:t>ne constitue </w:t>
      </w:r>
      <w:r w:rsidRPr="00FC2813">
        <w:rPr>
          <w:rFonts w:eastAsia="Times New Roman"/>
          <w:b/>
        </w:rPr>
        <w:t>pas une modification du type</w:t>
      </w:r>
      <w:r>
        <w:rPr>
          <w:rFonts w:eastAsia="Times New Roman"/>
          <w:b/>
        </w:rPr>
        <w:t xml:space="preserve">. Toutefois, le paragraphe </w:t>
      </w:r>
      <w:r w:rsidRPr="001734BA">
        <w:rPr>
          <w:rFonts w:eastAsia="Times New Roman"/>
          <w:b/>
        </w:rPr>
        <w:t>4.7.7 s</w:t>
      </w:r>
      <w:r w:rsidR="001B59FD">
        <w:rPr>
          <w:rFonts w:eastAsia="Times New Roman"/>
          <w:b/>
        </w:rPr>
        <w:t>’</w:t>
      </w:r>
      <w:r w:rsidRPr="001734BA">
        <w:rPr>
          <w:rFonts w:eastAsia="Times New Roman"/>
          <w:b/>
        </w:rPr>
        <w:t>applique.</w:t>
      </w:r>
      <w:r w:rsidR="001C1324">
        <w:t> »</w:t>
      </w:r>
      <w:r w:rsidRPr="001734BA">
        <w:t>.</w:t>
      </w:r>
    </w:p>
    <w:p w:rsidR="00F41176" w:rsidRPr="00703FB2" w:rsidRDefault="00F41176" w:rsidP="001C1324">
      <w:pPr>
        <w:pStyle w:val="SingleTxtG"/>
      </w:pPr>
      <w:r w:rsidRPr="001C1324">
        <w:rPr>
          <w:i/>
        </w:rPr>
        <w:t>Paragraphe 3.1.2.2</w:t>
      </w:r>
      <w:r w:rsidRPr="00703FB2">
        <w:t xml:space="preserve">, </w:t>
      </w:r>
      <w:proofErr w:type="gramStart"/>
      <w:r w:rsidRPr="00703FB2">
        <w:t>modifier</w:t>
      </w:r>
      <w:proofErr w:type="gramEnd"/>
      <w:r w:rsidRPr="00703FB2">
        <w:t xml:space="preserve"> comme suit</w:t>
      </w:r>
      <w:r w:rsidR="001C1324">
        <w:t> :</w:t>
      </w:r>
    </w:p>
    <w:p w:rsidR="00F41176" w:rsidRPr="00FC2813" w:rsidRDefault="001C1324" w:rsidP="001C1324">
      <w:pPr>
        <w:pStyle w:val="SingleTxtG"/>
        <w:ind w:left="2268" w:hanging="1134"/>
      </w:pPr>
      <w:r>
        <w:t>« </w:t>
      </w:r>
      <w:r w:rsidR="00F41176" w:rsidRPr="00FC2813">
        <w:t>3.1.2.2</w:t>
      </w:r>
      <w:r w:rsidR="00F41176" w:rsidRPr="00FC2813">
        <w:tab/>
        <w:t>D</w:t>
      </w:r>
      <w:r w:rsidR="001B59FD">
        <w:t>’</w:t>
      </w:r>
      <w:r w:rsidR="00F41176" w:rsidRPr="00FC2813">
        <w:t>une description technique succincte indiquant notamment, à l</w:t>
      </w:r>
      <w:r w:rsidR="001B59FD">
        <w:t>’</w:t>
      </w:r>
      <w:r w:rsidR="00F41176" w:rsidRPr="00FC2813">
        <w:t>exception des feux équipés de sources lumineuses non remplaçables</w:t>
      </w:r>
      <w:r>
        <w:t> :</w:t>
      </w:r>
    </w:p>
    <w:p w:rsidR="00F41176" w:rsidRPr="00FC2813" w:rsidRDefault="00F41176" w:rsidP="00EE09D2">
      <w:pPr>
        <w:pStyle w:val="SingleTxtG"/>
        <w:ind w:left="2835" w:hanging="567"/>
        <w:rPr>
          <w:bCs/>
        </w:rPr>
      </w:pPr>
      <w:r w:rsidRPr="00FC2813">
        <w:rPr>
          <w:bCs/>
        </w:rPr>
        <w:t>a)</w:t>
      </w:r>
      <w:r w:rsidRPr="00FC2813">
        <w:rPr>
          <w:bCs/>
        </w:rPr>
        <w:tab/>
        <w:t xml:space="preserve">La </w:t>
      </w:r>
      <w:r w:rsidRPr="001734BA">
        <w:rPr>
          <w:bCs/>
        </w:rPr>
        <w:t>catégorie</w:t>
      </w:r>
      <w:r>
        <w:rPr>
          <w:bCs/>
        </w:rPr>
        <w:t xml:space="preserve"> </w:t>
      </w:r>
      <w:r w:rsidRPr="00FC2813">
        <w:rPr>
          <w:bCs/>
        </w:rPr>
        <w:t>ou les catégories de lampe à incandescence prescrites</w:t>
      </w:r>
      <w:r w:rsidR="001B59FD">
        <w:rPr>
          <w:bCs/>
        </w:rPr>
        <w:t xml:space="preserve"> ;</w:t>
      </w:r>
      <w:r w:rsidRPr="00FC2813">
        <w:rPr>
          <w:bCs/>
        </w:rPr>
        <w:t xml:space="preserve"> cette catégorie de lampe à incandescence doit être l</w:t>
      </w:r>
      <w:r w:rsidR="001B59FD">
        <w:rPr>
          <w:bCs/>
        </w:rPr>
        <w:t>’</w:t>
      </w:r>
      <w:r w:rsidRPr="00FC2813">
        <w:rPr>
          <w:bCs/>
        </w:rPr>
        <w:t xml:space="preserve">une de celles </w:t>
      </w:r>
      <w:r>
        <w:rPr>
          <w:bCs/>
        </w:rPr>
        <w:t xml:space="preserve">qui sont </w:t>
      </w:r>
      <w:r w:rsidRPr="00FC2813">
        <w:rPr>
          <w:bCs/>
        </w:rPr>
        <w:t xml:space="preserve">visées dans le Règlement </w:t>
      </w:r>
      <w:r w:rsidR="001C1324" w:rsidRPr="001C1324">
        <w:rPr>
          <w:rFonts w:eastAsia="MS Mincho"/>
          <w:bCs/>
        </w:rPr>
        <w:t>n</w:t>
      </w:r>
      <w:r w:rsidR="001C1324" w:rsidRPr="001C1324">
        <w:rPr>
          <w:rFonts w:eastAsia="MS Mincho"/>
          <w:bCs/>
          <w:vertAlign w:val="superscript"/>
        </w:rPr>
        <w:t>o</w:t>
      </w:r>
      <w:r w:rsidR="001C1324" w:rsidRPr="001C1324">
        <w:rPr>
          <w:rFonts w:eastAsia="MS Mincho"/>
          <w:bCs/>
        </w:rPr>
        <w:t> </w:t>
      </w:r>
      <w:r w:rsidRPr="00FC2813">
        <w:rPr>
          <w:bCs/>
        </w:rPr>
        <w:t>37</w:t>
      </w:r>
      <w:r w:rsidR="001B59FD">
        <w:rPr>
          <w:bCs/>
        </w:rPr>
        <w:t xml:space="preserve"> ;</w:t>
      </w:r>
    </w:p>
    <w:p w:rsidR="00F41176" w:rsidRPr="00FC2813" w:rsidRDefault="00F41176" w:rsidP="00EE09D2">
      <w:pPr>
        <w:pStyle w:val="SingleTxtG"/>
        <w:ind w:left="2835" w:hanging="567"/>
        <w:rPr>
          <w:bCs/>
        </w:rPr>
      </w:pPr>
      <w:r w:rsidRPr="00FC2813">
        <w:rPr>
          <w:bCs/>
        </w:rPr>
        <w:t>b)</w:t>
      </w:r>
      <w:r w:rsidRPr="00FC2813">
        <w:rPr>
          <w:bCs/>
        </w:rPr>
        <w:tab/>
        <w:t>La ou les catégories de sources lumineuses à DEL prescrite</w:t>
      </w:r>
      <w:r>
        <w:rPr>
          <w:bCs/>
        </w:rPr>
        <w:t>(</w:t>
      </w:r>
      <w:r w:rsidRPr="00FC2813">
        <w:rPr>
          <w:bCs/>
        </w:rPr>
        <w:t>s</w:t>
      </w:r>
      <w:r>
        <w:rPr>
          <w:bCs/>
        </w:rPr>
        <w:t>)</w:t>
      </w:r>
      <w:r w:rsidR="001C1324">
        <w:rPr>
          <w:bCs/>
        </w:rPr>
        <w:t> ;</w:t>
      </w:r>
      <w:r w:rsidRPr="00FC2813">
        <w:rPr>
          <w:bCs/>
        </w:rPr>
        <w:t xml:space="preserve"> cette catégorie de sources lumineuses à DEL doit être l</w:t>
      </w:r>
      <w:r w:rsidR="001B59FD">
        <w:rPr>
          <w:bCs/>
        </w:rPr>
        <w:t>’</w:t>
      </w:r>
      <w:r w:rsidRPr="00FC2813">
        <w:rPr>
          <w:bCs/>
        </w:rPr>
        <w:t xml:space="preserve">une de celles </w:t>
      </w:r>
      <w:r>
        <w:rPr>
          <w:bCs/>
        </w:rPr>
        <w:t xml:space="preserve">qui sont </w:t>
      </w:r>
      <w:r w:rsidRPr="00FC2813">
        <w:rPr>
          <w:bCs/>
        </w:rPr>
        <w:t xml:space="preserve">mentionnées dans le Règlement </w:t>
      </w:r>
      <w:r w:rsidR="008D10CB" w:rsidRPr="008D10CB">
        <w:rPr>
          <w:rFonts w:eastAsia="MS Mincho"/>
          <w:bCs/>
        </w:rPr>
        <w:t>n</w:t>
      </w:r>
      <w:r w:rsidR="008D10CB" w:rsidRPr="008D10CB">
        <w:rPr>
          <w:rFonts w:eastAsia="MS Mincho"/>
          <w:bCs/>
          <w:vertAlign w:val="superscript"/>
        </w:rPr>
        <w:t>o</w:t>
      </w:r>
      <w:r w:rsidR="008D10CB">
        <w:rPr>
          <w:bCs/>
        </w:rPr>
        <w:t> </w:t>
      </w:r>
      <w:r w:rsidRPr="00FC2813">
        <w:rPr>
          <w:bCs/>
        </w:rPr>
        <w:t>128</w:t>
      </w:r>
      <w:r w:rsidR="001B59FD">
        <w:rPr>
          <w:bCs/>
        </w:rPr>
        <w:t xml:space="preserve"> ;</w:t>
      </w:r>
    </w:p>
    <w:p w:rsidR="00F41176" w:rsidRPr="00FC2813" w:rsidRDefault="00F41176" w:rsidP="00EE09D2">
      <w:pPr>
        <w:pStyle w:val="SingleTxtG"/>
        <w:ind w:left="2835" w:hanging="567"/>
        <w:rPr>
          <w:b/>
        </w:rPr>
      </w:pPr>
      <w:r w:rsidRPr="00FC2813">
        <w:rPr>
          <w:bCs/>
        </w:rPr>
        <w:t>c)</w:t>
      </w:r>
      <w:r w:rsidRPr="00FC2813">
        <w:rPr>
          <w:bCs/>
        </w:rPr>
        <w:tab/>
        <w:t>Le code d</w:t>
      </w:r>
      <w:r w:rsidR="001B59FD">
        <w:rPr>
          <w:bCs/>
        </w:rPr>
        <w:t>’</w:t>
      </w:r>
      <w:r w:rsidRPr="00FC2813">
        <w:rPr>
          <w:bCs/>
        </w:rPr>
        <w:t>identification propre au module d</w:t>
      </w:r>
      <w:r w:rsidR="001B59FD">
        <w:rPr>
          <w:bCs/>
        </w:rPr>
        <w:t>’</w:t>
      </w:r>
      <w:r w:rsidRPr="00FC2813">
        <w:rPr>
          <w:bCs/>
        </w:rPr>
        <w:t>éclairage</w:t>
      </w:r>
      <w:r w:rsidR="001C1324">
        <w:rPr>
          <w:bCs/>
        </w:rPr>
        <w:t> </w:t>
      </w:r>
      <w:r w:rsidR="001C1324">
        <w:t>;</w:t>
      </w:r>
    </w:p>
    <w:p w:rsidR="00F41176" w:rsidRPr="006A6BD8" w:rsidRDefault="00F41176" w:rsidP="00EE09D2">
      <w:pPr>
        <w:pStyle w:val="SingleTxtG"/>
        <w:ind w:left="2835" w:hanging="567"/>
        <w:rPr>
          <w:b/>
          <w:bCs/>
        </w:rPr>
      </w:pPr>
      <w:r w:rsidRPr="00FC2813">
        <w:rPr>
          <w:b/>
        </w:rPr>
        <w:t>d)</w:t>
      </w:r>
      <w:r w:rsidRPr="00FC2813">
        <w:rPr>
          <w:b/>
        </w:rPr>
        <w:tab/>
        <w:t xml:space="preserve">Dans le cas où, à la discrétion du demandeur, </w:t>
      </w:r>
      <w:r>
        <w:rPr>
          <w:b/>
        </w:rPr>
        <w:t>le feu doit également être homologué avec la</w:t>
      </w:r>
      <w:r w:rsidRPr="006A6BD8">
        <w:rPr>
          <w:b/>
        </w:rPr>
        <w:t xml:space="preserve"> </w:t>
      </w:r>
      <w:r>
        <w:rPr>
          <w:b/>
        </w:rPr>
        <w:t xml:space="preserve">ou les </w:t>
      </w:r>
      <w:r w:rsidRPr="006A6BD8">
        <w:rPr>
          <w:b/>
        </w:rPr>
        <w:t>source</w:t>
      </w:r>
      <w:r>
        <w:rPr>
          <w:b/>
        </w:rPr>
        <w:t>(s)</w:t>
      </w:r>
      <w:r w:rsidRPr="006A6BD8">
        <w:rPr>
          <w:b/>
        </w:rPr>
        <w:t xml:space="preserve"> lumineuse</w:t>
      </w:r>
      <w:r>
        <w:rPr>
          <w:b/>
        </w:rPr>
        <w:t>(s)</w:t>
      </w:r>
      <w:r w:rsidRPr="006A6BD8">
        <w:rPr>
          <w:b/>
        </w:rPr>
        <w:t xml:space="preserve"> à DEL de substitution</w:t>
      </w:r>
      <w:r w:rsidR="001C1324">
        <w:rPr>
          <w:b/>
        </w:rPr>
        <w:t xml:space="preserve"> conformément au Règlement </w:t>
      </w:r>
      <w:r w:rsidR="001C1324" w:rsidRPr="001C1324">
        <w:rPr>
          <w:rFonts w:eastAsia="MS Mincho"/>
          <w:b/>
        </w:rPr>
        <w:t>n</w:t>
      </w:r>
      <w:r w:rsidR="001C1324" w:rsidRPr="001C1324">
        <w:rPr>
          <w:rFonts w:eastAsia="MS Mincho"/>
          <w:b/>
          <w:vertAlign w:val="superscript"/>
        </w:rPr>
        <w:t>o</w:t>
      </w:r>
      <w:r w:rsidR="001C1324">
        <w:rPr>
          <w:b/>
        </w:rPr>
        <w:t> </w:t>
      </w:r>
      <w:r w:rsidRPr="006A6BD8">
        <w:rPr>
          <w:b/>
          <w:bCs/>
        </w:rPr>
        <w:t xml:space="preserve">128, </w:t>
      </w:r>
      <w:r>
        <w:rPr>
          <w:b/>
          <w:bCs/>
        </w:rPr>
        <w:t>il faut le préciser dans la description</w:t>
      </w:r>
      <w:r w:rsidR="001C1324">
        <w:rPr>
          <w:b/>
          <w:bCs/>
        </w:rPr>
        <w:t> </w:t>
      </w:r>
      <w:r w:rsidR="001C1324">
        <w:rPr>
          <w:bCs/>
        </w:rPr>
        <w:t>;</w:t>
      </w:r>
    </w:p>
    <w:p w:rsidR="00F41176" w:rsidRPr="006A6BD8" w:rsidRDefault="00F41176" w:rsidP="00EE09D2">
      <w:pPr>
        <w:pStyle w:val="SingleTxtG"/>
        <w:ind w:left="2835" w:hanging="567"/>
      </w:pPr>
      <w:r w:rsidRPr="006A6BD8">
        <w:rPr>
          <w:b/>
          <w:bCs/>
        </w:rPr>
        <w:t>e)</w:t>
      </w:r>
      <w:r w:rsidRPr="006A6BD8">
        <w:rPr>
          <w:b/>
          <w:bCs/>
        </w:rPr>
        <w:tab/>
      </w:r>
      <w:r w:rsidRPr="006A6BD8">
        <w:rPr>
          <w:bCs/>
        </w:rPr>
        <w:t>Dans le cas d</w:t>
      </w:r>
      <w:r w:rsidR="001B59FD">
        <w:rPr>
          <w:bCs/>
        </w:rPr>
        <w:t>’</w:t>
      </w:r>
      <w:r w:rsidRPr="006A6BD8">
        <w:rPr>
          <w:bCs/>
        </w:rPr>
        <w:t>un feu-stop de la catégorie S3 ou S4 conçu pour être monté à l</w:t>
      </w:r>
      <w:r w:rsidR="001B59FD">
        <w:rPr>
          <w:bCs/>
        </w:rPr>
        <w:t>’</w:t>
      </w:r>
      <w:r w:rsidRPr="006A6BD8">
        <w:rPr>
          <w:bCs/>
        </w:rPr>
        <w:t>intérieur du véhicule, la fiche technique doit indiquer les propriétés optiques (transmission, couleur, inclinaison, etc.) de la ou des lunette(s) arrière</w:t>
      </w:r>
      <w:r>
        <w:rPr>
          <w:bCs/>
        </w:rPr>
        <w:t>(s</w:t>
      </w:r>
      <w:r w:rsidRPr="006A6BD8">
        <w:rPr>
          <w:bCs/>
        </w:rPr>
        <w:t>).</w:t>
      </w:r>
      <w:r w:rsidR="001C1324">
        <w:t> »</w:t>
      </w:r>
      <w:r w:rsidRPr="006A6BD8">
        <w:t>.</w:t>
      </w:r>
    </w:p>
    <w:p w:rsidR="00EC3F4B" w:rsidRDefault="00F41176" w:rsidP="00EC3F4B">
      <w:pPr>
        <w:pStyle w:val="SingleTxtG"/>
      </w:pPr>
      <w:r w:rsidRPr="00EC3F4B">
        <w:rPr>
          <w:i/>
        </w:rPr>
        <w:lastRenderedPageBreak/>
        <w:t>Paragraphe 3.3.4.1.1</w:t>
      </w:r>
      <w:r w:rsidRPr="00703FB2">
        <w:t xml:space="preserve">, </w:t>
      </w:r>
      <w:proofErr w:type="gramStart"/>
      <w:r w:rsidRPr="00703FB2">
        <w:t>modifier</w:t>
      </w:r>
      <w:proofErr w:type="gramEnd"/>
      <w:r w:rsidRPr="00703FB2">
        <w:t xml:space="preserve"> comme suit</w:t>
      </w:r>
      <w:r w:rsidR="00EC3F4B">
        <w:t> :</w:t>
      </w:r>
    </w:p>
    <w:p w:rsidR="00F41176" w:rsidRPr="008807BD" w:rsidRDefault="00EC3F4B" w:rsidP="00EC3F4B">
      <w:pPr>
        <w:pStyle w:val="SingleTxtG"/>
        <w:ind w:left="2268" w:hanging="1134"/>
      </w:pPr>
      <w:r>
        <w:t>« </w:t>
      </w:r>
      <w:r w:rsidR="00F41176" w:rsidRPr="008807BD">
        <w:t>3.3.4.1.1</w:t>
      </w:r>
      <w:r w:rsidR="00F41176" w:rsidRPr="008807BD">
        <w:tab/>
        <w:t>Dans tous les cas la marque d</w:t>
      </w:r>
      <w:r w:rsidR="001B59FD">
        <w:t>’</w:t>
      </w:r>
      <w:r w:rsidR="00F41176" w:rsidRPr="008807BD">
        <w:t>homologation et les symboles additionnels</w:t>
      </w:r>
      <w:r w:rsidR="00F41176">
        <w:t xml:space="preserve"> ou l</w:t>
      </w:r>
      <w:r w:rsidR="001B59FD">
        <w:t>’</w:t>
      </w:r>
      <w:r w:rsidR="00F41176" w:rsidRPr="008807BD">
        <w:t>identifiant unique</w:t>
      </w:r>
      <w:r w:rsidR="00F41176">
        <w:t xml:space="preserve">, </w:t>
      </w:r>
      <w:r w:rsidR="00F41176" w:rsidRPr="008807BD">
        <w:rPr>
          <w:b/>
        </w:rPr>
        <w:t xml:space="preserve">ainsi que </w:t>
      </w:r>
      <w:r w:rsidR="00F41176">
        <w:rPr>
          <w:b/>
        </w:rPr>
        <w:t xml:space="preserve">la ou les catégorie(s) </w:t>
      </w:r>
      <w:r w:rsidR="00F41176" w:rsidRPr="008807BD">
        <w:rPr>
          <w:b/>
        </w:rPr>
        <w:t>de sources lumineuses</w:t>
      </w:r>
      <w:r w:rsidR="00F41176">
        <w:rPr>
          <w:b/>
        </w:rPr>
        <w:t xml:space="preserve"> prescrite(s), </w:t>
      </w:r>
      <w:r w:rsidR="00F41176">
        <w:t xml:space="preserve">doivent être visibles </w:t>
      </w:r>
      <w:r w:rsidR="00F41176" w:rsidRPr="008807BD">
        <w:t xml:space="preserve">lorsque le feu </w:t>
      </w:r>
      <w:r w:rsidR="00F41176">
        <w:t xml:space="preserve">est </w:t>
      </w:r>
      <w:r w:rsidR="00F41176" w:rsidRPr="008807BD">
        <w:t>monté sur le véhicule ou lorsqu</w:t>
      </w:r>
      <w:r w:rsidR="001B59FD">
        <w:t>’</w:t>
      </w:r>
      <w:r w:rsidR="00F41176" w:rsidRPr="008807BD">
        <w:t>une partie mobile, comme le capot, le hayon du coffre ou une porte, est ouverte</w:t>
      </w:r>
      <w:r>
        <w:t>. »</w:t>
      </w:r>
      <w:r w:rsidR="00F41176" w:rsidRPr="008807BD">
        <w:t>.</w:t>
      </w:r>
    </w:p>
    <w:p w:rsidR="00F41176" w:rsidRPr="00703FB2" w:rsidRDefault="00F41176" w:rsidP="00EC3F4B">
      <w:pPr>
        <w:pStyle w:val="SingleTxtG"/>
      </w:pPr>
      <w:r w:rsidRPr="00703FB2">
        <w:rPr>
          <w:i/>
        </w:rPr>
        <w:t>Paragraphe 3.3.4.3</w:t>
      </w:r>
      <w:r w:rsidRPr="007E2710">
        <w:t>,</w:t>
      </w:r>
      <w:r w:rsidRPr="00703FB2">
        <w:rPr>
          <w:i/>
        </w:rPr>
        <w:t xml:space="preserve"> </w:t>
      </w:r>
      <w:proofErr w:type="gramStart"/>
      <w:r w:rsidRPr="00703FB2">
        <w:t>modifier</w:t>
      </w:r>
      <w:proofErr w:type="gramEnd"/>
      <w:r w:rsidRPr="00703FB2">
        <w:t xml:space="preserve"> comme suit</w:t>
      </w:r>
      <w:r w:rsidR="00F42CC8">
        <w:t> :</w:t>
      </w:r>
    </w:p>
    <w:p w:rsidR="00F41176" w:rsidRPr="009A151B" w:rsidRDefault="00F42CC8" w:rsidP="00F42CC8">
      <w:pPr>
        <w:pStyle w:val="SingleTxtG"/>
        <w:ind w:left="2268" w:hanging="1134"/>
        <w:rPr>
          <w:rFonts w:eastAsia="Times New Roman"/>
        </w:rPr>
      </w:pPr>
      <w:r>
        <w:rPr>
          <w:rFonts w:eastAsia="Times New Roman"/>
        </w:rPr>
        <w:t>« </w:t>
      </w:r>
      <w:r w:rsidR="00F41176" w:rsidRPr="009A151B">
        <w:rPr>
          <w:rFonts w:eastAsia="Times New Roman"/>
        </w:rPr>
        <w:t>3.3.4.3</w:t>
      </w:r>
      <w:r w:rsidR="00F41176" w:rsidRPr="009A151B">
        <w:rPr>
          <w:rFonts w:eastAsia="Times New Roman"/>
        </w:rPr>
        <w:tab/>
        <w:t>À l</w:t>
      </w:r>
      <w:r w:rsidR="001B59FD">
        <w:rPr>
          <w:rFonts w:eastAsia="Times New Roman"/>
        </w:rPr>
        <w:t>’</w:t>
      </w:r>
      <w:r w:rsidR="00F41176" w:rsidRPr="009A151B">
        <w:rPr>
          <w:rFonts w:eastAsia="Times New Roman"/>
        </w:rPr>
        <w:t>exception des dispositifs d</w:t>
      </w:r>
      <w:r w:rsidR="001B59FD">
        <w:rPr>
          <w:rFonts w:eastAsia="Times New Roman"/>
        </w:rPr>
        <w:t>’</w:t>
      </w:r>
      <w:r w:rsidR="00F41176" w:rsidRPr="009A151B">
        <w:rPr>
          <w:rFonts w:eastAsia="Times New Roman"/>
        </w:rPr>
        <w:t>éclairage équipés de sources lumineuses non remplaçables, l</w:t>
      </w:r>
      <w:r w:rsidR="001B59FD">
        <w:rPr>
          <w:rFonts w:eastAsia="Times New Roman"/>
        </w:rPr>
        <w:t>’</w:t>
      </w:r>
      <w:r w:rsidR="00F41176" w:rsidRPr="009A151B">
        <w:rPr>
          <w:rFonts w:eastAsia="Times New Roman"/>
        </w:rPr>
        <w:t>indication, nettement lisible et indélébile</w:t>
      </w:r>
      <w:r>
        <w:rPr>
          <w:rFonts w:eastAsia="Times New Roman"/>
        </w:rPr>
        <w:t> :</w:t>
      </w:r>
    </w:p>
    <w:p w:rsidR="00F41176" w:rsidRPr="00337BC6" w:rsidRDefault="00F41176" w:rsidP="00F42CC8">
      <w:pPr>
        <w:pStyle w:val="SingleTxtG"/>
        <w:ind w:left="2268"/>
      </w:pPr>
      <w:r w:rsidRPr="009A151B">
        <w:rPr>
          <w:snapToGrid w:val="0"/>
        </w:rPr>
        <w:tab/>
        <w:t>a)</w:t>
      </w:r>
      <w:r w:rsidRPr="009A151B">
        <w:rPr>
          <w:snapToGrid w:val="0"/>
        </w:rPr>
        <w:tab/>
        <w:t>De la ou des catégorie</w:t>
      </w:r>
      <w:r>
        <w:rPr>
          <w:snapToGrid w:val="0"/>
        </w:rPr>
        <w:t>(</w:t>
      </w:r>
      <w:r w:rsidRPr="009A151B">
        <w:rPr>
          <w:snapToGrid w:val="0"/>
        </w:rPr>
        <w:t>s</w:t>
      </w:r>
      <w:r>
        <w:rPr>
          <w:snapToGrid w:val="0"/>
        </w:rPr>
        <w:t>)</w:t>
      </w:r>
      <w:r w:rsidRPr="009A151B">
        <w:rPr>
          <w:snapToGrid w:val="0"/>
        </w:rPr>
        <w:t xml:space="preserve"> de sources lumineuses prescrite(s)</w:t>
      </w:r>
      <w:r w:rsidR="001B59FD">
        <w:rPr>
          <w:snapToGrid w:val="0"/>
        </w:rPr>
        <w:t xml:space="preserve"> ;</w:t>
      </w:r>
      <w:r w:rsidRPr="009A151B">
        <w:rPr>
          <w:snapToGrid w:val="0"/>
        </w:rPr>
        <w:t xml:space="preserve"> </w:t>
      </w:r>
      <w:r w:rsidRPr="009A151B">
        <w:rPr>
          <w:b/>
          <w:snapToGrid w:val="0"/>
        </w:rPr>
        <w:t xml:space="preserve">pour les </w:t>
      </w:r>
      <w:r>
        <w:rPr>
          <w:b/>
          <w:snapToGrid w:val="0"/>
        </w:rPr>
        <w:t xml:space="preserve">feux homologués avec une ou des </w:t>
      </w:r>
      <w:r w:rsidRPr="00337BC6">
        <w:rPr>
          <w:b/>
          <w:snapToGrid w:val="0"/>
        </w:rPr>
        <w:t>source(s) lumineuse(s) à DEL de substitution</w:t>
      </w:r>
      <w:r>
        <w:rPr>
          <w:b/>
          <w:snapToGrid w:val="0"/>
        </w:rPr>
        <w:t xml:space="preserve">, également de la ou des catégorie(s) </w:t>
      </w:r>
      <w:r w:rsidRPr="00337BC6">
        <w:rPr>
          <w:b/>
          <w:snapToGrid w:val="0"/>
        </w:rPr>
        <w:t>de sources lumineuses à DEL</w:t>
      </w:r>
      <w:r w:rsidR="00DB5437">
        <w:rPr>
          <w:b/>
          <w:snapToGrid w:val="0"/>
        </w:rPr>
        <w:t> </w:t>
      </w:r>
      <w:r w:rsidR="00DB5437">
        <w:rPr>
          <w:bCs/>
        </w:rPr>
        <w:t>;</w:t>
      </w:r>
      <w:r w:rsidRPr="00337BC6">
        <w:rPr>
          <w:snapToGrid w:val="0"/>
        </w:rPr>
        <w:t xml:space="preserve"> et/ou</w:t>
      </w:r>
    </w:p>
    <w:p w:rsidR="00F41176" w:rsidRPr="00337BC6" w:rsidRDefault="00F41176" w:rsidP="00F42CC8">
      <w:pPr>
        <w:pStyle w:val="SingleTxtG"/>
        <w:ind w:left="2268"/>
        <w:rPr>
          <w:b/>
        </w:rPr>
      </w:pPr>
      <w:r w:rsidRPr="00337BC6">
        <w:rPr>
          <w:snapToGrid w:val="0"/>
        </w:rPr>
        <w:tab/>
        <w:t>b)</w:t>
      </w:r>
      <w:r w:rsidRPr="00337BC6">
        <w:rPr>
          <w:snapToGrid w:val="0"/>
        </w:rPr>
        <w:tab/>
        <w:t>Du code d</w:t>
      </w:r>
      <w:r w:rsidR="001B59FD">
        <w:rPr>
          <w:snapToGrid w:val="0"/>
        </w:rPr>
        <w:t>’</w:t>
      </w:r>
      <w:r w:rsidRPr="00337BC6">
        <w:rPr>
          <w:snapToGrid w:val="0"/>
        </w:rPr>
        <w:t>identification propre au module d</w:t>
      </w:r>
      <w:r w:rsidR="001B59FD">
        <w:rPr>
          <w:snapToGrid w:val="0"/>
        </w:rPr>
        <w:t>’</w:t>
      </w:r>
      <w:r w:rsidRPr="00337BC6">
        <w:rPr>
          <w:snapToGrid w:val="0"/>
        </w:rPr>
        <w:t>éclairage.</w:t>
      </w:r>
      <w:r w:rsidR="00F42CC8">
        <w:t> »</w:t>
      </w:r>
      <w:r>
        <w:t>.</w:t>
      </w:r>
    </w:p>
    <w:p w:rsidR="00F41176" w:rsidRPr="000D3FE4" w:rsidRDefault="00F41176" w:rsidP="00F42CC8">
      <w:pPr>
        <w:pStyle w:val="SingleTxtG"/>
      </w:pPr>
      <w:r w:rsidRPr="0084659C">
        <w:rPr>
          <w:i/>
        </w:rPr>
        <w:t>Ajouter un nouveau</w:t>
      </w:r>
      <w:r>
        <w:rPr>
          <w:i/>
        </w:rPr>
        <w:t xml:space="preserve"> </w:t>
      </w:r>
      <w:r w:rsidRPr="0084659C">
        <w:rPr>
          <w:i/>
        </w:rPr>
        <w:t>paragraphe</w:t>
      </w:r>
      <w:r w:rsidRPr="000D3FE4">
        <w:rPr>
          <w:i/>
        </w:rPr>
        <w:t xml:space="preserve"> 3.5.4</w:t>
      </w:r>
      <w:r w:rsidRPr="007E2710">
        <w:t>,</w:t>
      </w:r>
      <w:r w:rsidRPr="000D3FE4">
        <w:t xml:space="preserve"> </w:t>
      </w:r>
      <w:r>
        <w:t>ainsi conçu</w:t>
      </w:r>
      <w:r w:rsidR="00DB5437">
        <w:t> :</w:t>
      </w:r>
    </w:p>
    <w:p w:rsidR="00F41176" w:rsidRPr="00A73ADB" w:rsidRDefault="00DB5437" w:rsidP="00F42CC8">
      <w:pPr>
        <w:pStyle w:val="SingleTxtG"/>
        <w:ind w:left="2268" w:hanging="1134"/>
        <w:rPr>
          <w:b/>
        </w:rPr>
      </w:pPr>
      <w:r>
        <w:t>« </w:t>
      </w:r>
      <w:r w:rsidR="00F41176" w:rsidRPr="00A73ADB">
        <w:rPr>
          <w:b/>
        </w:rPr>
        <w:t>3.5.4</w:t>
      </w:r>
      <w:r w:rsidR="00F41176" w:rsidRPr="00A73ADB">
        <w:rPr>
          <w:b/>
        </w:rPr>
        <w:tab/>
        <w:t>Les essais avec de</w:t>
      </w:r>
      <w:r w:rsidR="00F41176">
        <w:rPr>
          <w:b/>
        </w:rPr>
        <w:t>s</w:t>
      </w:r>
      <w:r w:rsidR="00F41176" w:rsidRPr="00A73ADB">
        <w:rPr>
          <w:b/>
        </w:rPr>
        <w:t xml:space="preserve"> sources lumineuses à DEL de substitution</w:t>
      </w:r>
      <w:r w:rsidR="00F41176">
        <w:rPr>
          <w:b/>
        </w:rPr>
        <w:t xml:space="preserve"> sont exempté</w:t>
      </w:r>
      <w:r w:rsidR="00773A0D">
        <w:rPr>
          <w:b/>
        </w:rPr>
        <w:t>s</w:t>
      </w:r>
      <w:r w:rsidR="00F41176">
        <w:rPr>
          <w:b/>
        </w:rPr>
        <w:t xml:space="preserve"> du</w:t>
      </w:r>
      <w:r w:rsidR="00F41176" w:rsidRPr="00A73ADB">
        <w:t xml:space="preserve"> </w:t>
      </w:r>
      <w:r w:rsidR="00F41176" w:rsidRPr="00A73ADB">
        <w:rPr>
          <w:b/>
        </w:rPr>
        <w:t>contrôle de la conformité de la production</w:t>
      </w:r>
      <w:r>
        <w:t>. »</w:t>
      </w:r>
      <w:r w:rsidR="00F41176" w:rsidRPr="00A73ADB">
        <w:t>.</w:t>
      </w:r>
    </w:p>
    <w:p w:rsidR="00F41176" w:rsidRPr="000D3FE4" w:rsidRDefault="00F41176" w:rsidP="00DB5437">
      <w:pPr>
        <w:pStyle w:val="SingleTxtG"/>
      </w:pPr>
      <w:r w:rsidRPr="0084659C">
        <w:rPr>
          <w:i/>
        </w:rPr>
        <w:t>Ajouter un nouveau</w:t>
      </w:r>
      <w:r>
        <w:rPr>
          <w:i/>
        </w:rPr>
        <w:t xml:space="preserve"> </w:t>
      </w:r>
      <w:r w:rsidRPr="0084659C">
        <w:rPr>
          <w:i/>
        </w:rPr>
        <w:t>paragraphe</w:t>
      </w:r>
      <w:r w:rsidRPr="000D3FE4">
        <w:rPr>
          <w:i/>
        </w:rPr>
        <w:t xml:space="preserve"> 4.7.7</w:t>
      </w:r>
      <w:r w:rsidRPr="007E2710">
        <w:t>,</w:t>
      </w:r>
      <w:r w:rsidRPr="000D3FE4">
        <w:t xml:space="preserve"> </w:t>
      </w:r>
      <w:r w:rsidRPr="0084659C">
        <w:t>ainsi conçu</w:t>
      </w:r>
      <w:r w:rsidR="001B59FD">
        <w:t xml:space="preserve"> :</w:t>
      </w:r>
    </w:p>
    <w:p w:rsidR="00F41176" w:rsidRPr="001007CE" w:rsidRDefault="00DB5437" w:rsidP="00367664">
      <w:pPr>
        <w:pStyle w:val="SingleTxtG"/>
        <w:ind w:left="2268" w:hanging="1134"/>
        <w:rPr>
          <w:b/>
        </w:rPr>
      </w:pPr>
      <w:r w:rsidRPr="00004BA3">
        <w:t>«</w:t>
      </w:r>
      <w:r>
        <w:rPr>
          <w:b/>
        </w:rPr>
        <w:t> </w:t>
      </w:r>
      <w:r w:rsidR="00F41176" w:rsidRPr="00337BC6">
        <w:rPr>
          <w:b/>
        </w:rPr>
        <w:t>4.7.7</w:t>
      </w:r>
      <w:r w:rsidR="00F41176" w:rsidRPr="00337BC6">
        <w:rPr>
          <w:b/>
        </w:rPr>
        <w:tab/>
        <w:t>Dans le cas où, à la discrétion du demandeur, le feu doit également être homologué avec la ou les source(s) lumineuse(s) à DEL de substitution, toutes les mesures photométriques et colorimétriques</w:t>
      </w:r>
      <w:r w:rsidR="00F41176">
        <w:rPr>
          <w:b/>
        </w:rPr>
        <w:t xml:space="preserve"> doivent être</w:t>
      </w:r>
      <w:r w:rsidR="001B59FD">
        <w:rPr>
          <w:b/>
        </w:rPr>
        <w:t xml:space="preserve"> </w:t>
      </w:r>
      <w:r w:rsidR="00F41176">
        <w:rPr>
          <w:b/>
        </w:rPr>
        <w:t xml:space="preserve">répétées sur la ou les </w:t>
      </w:r>
      <w:r w:rsidR="00F41176" w:rsidRPr="001007CE">
        <w:rPr>
          <w:b/>
        </w:rPr>
        <w:t>source(s) lumineuse(s) à DEL de substitution</w:t>
      </w:r>
      <w:r w:rsidR="00F41176">
        <w:rPr>
          <w:b/>
        </w:rPr>
        <w:t xml:space="preserve"> prescrite(s)</w:t>
      </w:r>
      <w:r w:rsidR="00F41176" w:rsidRPr="001007CE">
        <w:t>.</w:t>
      </w:r>
      <w:r>
        <w:t> »</w:t>
      </w:r>
      <w:r w:rsidR="00F41176">
        <w:t>.</w:t>
      </w:r>
    </w:p>
    <w:p w:rsidR="00F41176" w:rsidRPr="000D3FE4" w:rsidRDefault="00F41176" w:rsidP="00DB5437">
      <w:pPr>
        <w:pStyle w:val="SingleTxtG"/>
      </w:pPr>
      <w:r w:rsidRPr="000D3FE4">
        <w:rPr>
          <w:i/>
        </w:rPr>
        <w:t>Annex</w:t>
      </w:r>
      <w:r>
        <w:rPr>
          <w:i/>
        </w:rPr>
        <w:t>e</w:t>
      </w:r>
      <w:r w:rsidRPr="000D3FE4">
        <w:rPr>
          <w:i/>
        </w:rPr>
        <w:t xml:space="preserve"> 1, </w:t>
      </w:r>
      <w:r>
        <w:rPr>
          <w:i/>
        </w:rPr>
        <w:t xml:space="preserve">point </w:t>
      </w:r>
      <w:r w:rsidRPr="000D3FE4">
        <w:rPr>
          <w:i/>
        </w:rPr>
        <w:t>9.2</w:t>
      </w:r>
      <w:r w:rsidRPr="007E2710">
        <w:t>,</w:t>
      </w:r>
      <w:r w:rsidRPr="000D3FE4">
        <w:rPr>
          <w:i/>
        </w:rPr>
        <w:t xml:space="preserve"> </w:t>
      </w:r>
      <w:proofErr w:type="gramStart"/>
      <w:r w:rsidRPr="0084659C">
        <w:t>modifier</w:t>
      </w:r>
      <w:proofErr w:type="gramEnd"/>
      <w:r w:rsidRPr="0084659C">
        <w:t xml:space="preserve"> comme suit</w:t>
      </w:r>
      <w:r w:rsidR="00DB5437">
        <w:t> :</w:t>
      </w:r>
    </w:p>
    <w:p w:rsidR="00F41176" w:rsidRPr="009F4C98" w:rsidRDefault="00DB5437" w:rsidP="00367664">
      <w:pPr>
        <w:pStyle w:val="SingleTxtG"/>
        <w:ind w:left="2268" w:hanging="1134"/>
      </w:pPr>
      <w:r>
        <w:t>« </w:t>
      </w:r>
      <w:r w:rsidR="00F41176" w:rsidRPr="009F4C98">
        <w:t>9.2</w:t>
      </w:r>
      <w:r w:rsidR="00F41176" w:rsidRPr="009F4C98">
        <w:tab/>
        <w:t xml:space="preserve">Par </w:t>
      </w:r>
      <w:r w:rsidR="00F41176">
        <w:t>f</w:t>
      </w:r>
      <w:r w:rsidR="00F41176" w:rsidRPr="009F4C98">
        <w:t>onction de signalisation lumineuse et catégorie</w:t>
      </w:r>
      <w:r w:rsidR="001B59FD">
        <w:t xml:space="preserve"> :</w:t>
      </w:r>
    </w:p>
    <w:p w:rsidR="00F41176" w:rsidRPr="009F4C98" w:rsidRDefault="00F41176" w:rsidP="00DB5437">
      <w:pPr>
        <w:pStyle w:val="SingleTxtG"/>
        <w:ind w:left="3402" w:hanging="1134"/>
      </w:pPr>
      <w:r w:rsidRPr="009F4C98">
        <w:t>Pour montage à l</w:t>
      </w:r>
      <w:r w:rsidR="001B59FD">
        <w:t>’</w:t>
      </w:r>
      <w:r w:rsidRPr="009F4C98">
        <w:t>extérieur ou à l</w:t>
      </w:r>
      <w:r w:rsidR="001B59FD">
        <w:t>’</w:t>
      </w:r>
      <w:r w:rsidRPr="009F4C98">
        <w:t>intérieur, ou les deux</w:t>
      </w:r>
      <w:r w:rsidRPr="007E2710">
        <w:rPr>
          <w:sz w:val="18"/>
          <w:vertAlign w:val="superscript"/>
        </w:rPr>
        <w:t>2</w:t>
      </w:r>
    </w:p>
    <w:p w:rsidR="00F41176" w:rsidRPr="009F4C98" w:rsidRDefault="00F41176" w:rsidP="00DB5437">
      <w:pPr>
        <w:pStyle w:val="SingleTxtG"/>
        <w:ind w:left="3402" w:hanging="1134"/>
      </w:pPr>
      <w:r w:rsidRPr="009F4C98">
        <w:t>Couleur de la lumière émise</w:t>
      </w:r>
      <w:r w:rsidR="001B59FD">
        <w:t xml:space="preserve"> :</w:t>
      </w:r>
      <w:r w:rsidRPr="009F4C98">
        <w:t xml:space="preserve"> rouge/blanc/ jaune-auto/</w:t>
      </w:r>
      <w:r>
        <w:t>incolore</w:t>
      </w:r>
      <w:r w:rsidRPr="007E2710">
        <w:rPr>
          <w:sz w:val="18"/>
          <w:vertAlign w:val="superscript"/>
        </w:rPr>
        <w:t>2</w:t>
      </w:r>
    </w:p>
    <w:p w:rsidR="00F41176" w:rsidRPr="009F4C98" w:rsidRDefault="00F41176" w:rsidP="00367664">
      <w:pPr>
        <w:pStyle w:val="SingleTxtG"/>
        <w:ind w:left="2268" w:hanging="1134"/>
      </w:pPr>
      <w:r w:rsidRPr="009F4C98">
        <w:t xml:space="preserve">Nombre, catégorie </w:t>
      </w:r>
      <w:r w:rsidRPr="009F4C98">
        <w:rPr>
          <w:b/>
        </w:rPr>
        <w:t>ou catégories</w:t>
      </w:r>
      <w:r>
        <w:t xml:space="preserve"> </w:t>
      </w:r>
      <w:r w:rsidRPr="009F4C98">
        <w:t>et type de source(s) lumineuse(s)</w:t>
      </w:r>
      <w:r w:rsidR="00DB5437">
        <w:t> :</w:t>
      </w:r>
      <w:r w:rsidR="00DB5437" w:rsidRPr="00DB5437">
        <w:rPr>
          <w:sz w:val="18"/>
          <w:vertAlign w:val="superscript"/>
        </w:rPr>
        <w:t xml:space="preserve"> </w:t>
      </w:r>
      <w:r w:rsidR="00DB5437" w:rsidRPr="00E611AD">
        <w:rPr>
          <w:b/>
          <w:sz w:val="18"/>
          <w:u w:val="single"/>
          <w:vertAlign w:val="superscript"/>
        </w:rPr>
        <w:t>3</w:t>
      </w:r>
      <w:r w:rsidR="007E2710" w:rsidRPr="00E611AD">
        <w:rPr>
          <w:b/>
          <w:sz w:val="18"/>
          <w:vertAlign w:val="superscript"/>
        </w:rPr>
        <w:t>/</w:t>
      </w:r>
    </w:p>
    <w:p w:rsidR="00F41176" w:rsidRPr="00703FB2" w:rsidRDefault="00F41176" w:rsidP="00367664">
      <w:pPr>
        <w:pStyle w:val="SingleTxtG"/>
        <w:ind w:left="2268" w:hanging="1134"/>
      </w:pPr>
      <w:r w:rsidRPr="009F4C98">
        <w:tab/>
      </w:r>
      <w:r w:rsidRPr="00703FB2">
        <w:t>Tension et puissance</w:t>
      </w:r>
      <w:r w:rsidR="00DB5437">
        <w:t> :</w:t>
      </w:r>
    </w:p>
    <w:p w:rsidR="00AC4D39" w:rsidRDefault="007E2710" w:rsidP="00AC4D39">
      <w:pPr>
        <w:pStyle w:val="SingleTxtG"/>
        <w:ind w:left="2268" w:hanging="1134"/>
      </w:pPr>
      <w:r>
        <w:tab/>
        <w:t>…</w:t>
      </w:r>
      <w:r w:rsidR="00DB5437">
        <w:t> »</w:t>
      </w:r>
      <w:r w:rsidR="00F41176" w:rsidRPr="00703FB2">
        <w:t>.</w:t>
      </w:r>
    </w:p>
    <w:p w:rsidR="00F41176" w:rsidRPr="00703FB2" w:rsidRDefault="00BE7650" w:rsidP="00E611AD">
      <w:pPr>
        <w:pStyle w:val="SingleTxtG"/>
        <w:tabs>
          <w:tab w:val="left" w:pos="1418"/>
        </w:tabs>
        <w:rPr>
          <w:b/>
          <w:bCs/>
          <w:sz w:val="18"/>
        </w:rPr>
      </w:pPr>
      <w:r w:rsidRPr="007E2710">
        <w:rPr>
          <w:b/>
          <w:sz w:val="18"/>
          <w:u w:val="single"/>
          <w:vertAlign w:val="superscript"/>
        </w:rPr>
        <w:t>3</w:t>
      </w:r>
      <w:r w:rsidR="007E2710" w:rsidRPr="007E2710">
        <w:rPr>
          <w:b/>
          <w:sz w:val="18"/>
          <w:vertAlign w:val="superscript"/>
        </w:rPr>
        <w:t>/</w:t>
      </w:r>
      <w:r w:rsidRPr="007E2710">
        <w:rPr>
          <w:b/>
          <w:sz w:val="18"/>
          <w:vertAlign w:val="superscript"/>
        </w:rPr>
        <w:tab/>
      </w:r>
      <w:r w:rsidR="00F41176" w:rsidRPr="009F4C98">
        <w:rPr>
          <w:b/>
          <w:bCs/>
          <w:sz w:val="18"/>
        </w:rPr>
        <w:t>Préciser la ou les</w:t>
      </w:r>
      <w:r w:rsidR="00F41176" w:rsidRPr="009F4C98">
        <w:t xml:space="preserve"> </w:t>
      </w:r>
      <w:r w:rsidR="00F41176" w:rsidRPr="009F4C98">
        <w:rPr>
          <w:b/>
          <w:bCs/>
          <w:sz w:val="18"/>
        </w:rPr>
        <w:t>source(s) lumineuse(s) à DEL de substitution, le cas échéant.</w:t>
      </w:r>
      <w:r>
        <w:rPr>
          <w:sz w:val="18"/>
        </w:rPr>
        <w:t> »</w:t>
      </w:r>
      <w:r w:rsidR="00F41176" w:rsidRPr="00703FB2">
        <w:rPr>
          <w:sz w:val="18"/>
        </w:rPr>
        <w:t>.</w:t>
      </w:r>
    </w:p>
    <w:p w:rsidR="00F41176" w:rsidRPr="00703FB2" w:rsidRDefault="00B560CB" w:rsidP="00B560CB">
      <w:pPr>
        <w:pStyle w:val="HChG"/>
      </w:pPr>
      <w:r>
        <w:tab/>
        <w:t>II.</w:t>
      </w:r>
      <w:r>
        <w:tab/>
      </w:r>
      <w:r w:rsidR="00F41176" w:rsidRPr="00703FB2">
        <w:t>Justification</w:t>
      </w:r>
    </w:p>
    <w:p w:rsidR="00BE7650" w:rsidRDefault="00F41176" w:rsidP="00BE7650">
      <w:pPr>
        <w:pStyle w:val="SingleTxtG"/>
      </w:pPr>
      <w:r w:rsidRPr="006F2735">
        <w:t>1.</w:t>
      </w:r>
      <w:r w:rsidRPr="006F2735">
        <w:tab/>
        <w:t>L</w:t>
      </w:r>
      <w:r w:rsidR="001B59FD">
        <w:t>’</w:t>
      </w:r>
      <w:r w:rsidRPr="006F2735">
        <w:t>utilisation de sources lumineuses à DEL de substitution</w:t>
      </w:r>
      <w:r>
        <w:t xml:space="preserve"> dans des feux et sur des véhicules pour lesquels de telles sources n</w:t>
      </w:r>
      <w:r w:rsidR="001B59FD">
        <w:t>’</w:t>
      </w:r>
      <w:r>
        <w:t xml:space="preserve">avaient pas été prévues dans la version originale </w:t>
      </w:r>
      <w:r w:rsidRPr="006F2735">
        <w:t>du feu</w:t>
      </w:r>
      <w:r>
        <w:t xml:space="preserve"> ou du </w:t>
      </w:r>
      <w:r w:rsidRPr="006F2735">
        <w:t xml:space="preserve">véhicule </w:t>
      </w:r>
      <w:r>
        <w:t>doit faire l</w:t>
      </w:r>
      <w:r w:rsidR="001B59FD">
        <w:t>’</w:t>
      </w:r>
      <w:r>
        <w:t>objet de vérifications du bon fonctionnement tant du feu que du véhicule. C</w:t>
      </w:r>
      <w:r w:rsidR="001B59FD">
        <w:t>’</w:t>
      </w:r>
      <w:r>
        <w:t>est la raison pour laquelle, parallèlement à l</w:t>
      </w:r>
      <w:r w:rsidR="001B59FD">
        <w:t>’</w:t>
      </w:r>
      <w:r>
        <w:t xml:space="preserve">introduction </w:t>
      </w:r>
      <w:r w:rsidRPr="00E81FA3">
        <w:t>de</w:t>
      </w:r>
      <w:r>
        <w:t>s</w:t>
      </w:r>
      <w:r w:rsidRPr="00E81FA3">
        <w:t xml:space="preserve"> sources lumineuses à DEL de substitution</w:t>
      </w:r>
      <w:r w:rsidR="00004BA3">
        <w:t xml:space="preserve"> dans le Règlement </w:t>
      </w:r>
      <w:r w:rsidR="00004BA3">
        <w:rPr>
          <w:rFonts w:eastAsia="MS Mincho"/>
        </w:rPr>
        <w:t>n</w:t>
      </w:r>
      <w:r w:rsidR="00004BA3">
        <w:rPr>
          <w:rFonts w:eastAsia="MS Mincho"/>
          <w:vertAlign w:val="superscript"/>
        </w:rPr>
        <w:t>o</w:t>
      </w:r>
      <w:r w:rsidR="00004BA3">
        <w:t> </w:t>
      </w:r>
      <w:r>
        <w:t xml:space="preserve">128 et dans la </w:t>
      </w:r>
      <w:r w:rsidRPr="00E81FA3">
        <w:t>Résolution d</w:t>
      </w:r>
      <w:r w:rsidR="001B59FD">
        <w:t>’</w:t>
      </w:r>
      <w:r w:rsidRPr="00E81FA3">
        <w:t>ensemble</w:t>
      </w:r>
      <w:r>
        <w:t xml:space="preserve"> (</w:t>
      </w:r>
      <w:r w:rsidRPr="00E81FA3">
        <w:t xml:space="preserve">R.E.5), </w:t>
      </w:r>
      <w:r>
        <w:t>il est nécessaire d</w:t>
      </w:r>
      <w:r w:rsidR="001B59FD">
        <w:t>’</w:t>
      </w:r>
      <w:r>
        <w:t>apporter des modifications au</w:t>
      </w:r>
      <w:r w:rsidR="00BF40F6">
        <w:t>x</w:t>
      </w:r>
      <w:r>
        <w:t xml:space="preserve"> Règlements sur l</w:t>
      </w:r>
      <w:r w:rsidR="001B59FD">
        <w:t>’</w:t>
      </w:r>
      <w:r>
        <w:t>homologation de type des feux et sur celle des véhicules en</w:t>
      </w:r>
      <w:r w:rsidR="007A2501">
        <w:t xml:space="preserve"> ce qui concerne les feux qui y </w:t>
      </w:r>
      <w:r>
        <w:t>sont installés</w:t>
      </w:r>
      <w:r w:rsidRPr="00817356">
        <w:t>.</w:t>
      </w:r>
    </w:p>
    <w:p w:rsidR="00BE7650" w:rsidRDefault="00F41176" w:rsidP="00BE7650">
      <w:pPr>
        <w:pStyle w:val="SingleTxtG"/>
      </w:pPr>
      <w:r w:rsidRPr="001D642D">
        <w:t>2.</w:t>
      </w:r>
      <w:r w:rsidRPr="001D642D">
        <w:tab/>
        <w:t xml:space="preserve">En raison du processus de </w:t>
      </w:r>
      <w:r>
        <w:t>s</w:t>
      </w:r>
      <w:r w:rsidRPr="001D642D">
        <w:t>implification des Règlements relatifs à l</w:t>
      </w:r>
      <w:r w:rsidR="001B59FD">
        <w:t>’</w:t>
      </w:r>
      <w:r w:rsidRPr="001D642D">
        <w:t>éclairage et à la signalisation lumineuse</w:t>
      </w:r>
      <w:r>
        <w:t xml:space="preserve">, les modifications à apporter aux divers Règlements concernés </w:t>
      </w:r>
      <w:r w:rsidRPr="001D642D">
        <w:t>(</w:t>
      </w:r>
      <w:r w:rsidR="00BE7650">
        <w:rPr>
          <w:rFonts w:eastAsia="MS Mincho"/>
        </w:rPr>
        <w:t>n</w:t>
      </w:r>
      <w:r w:rsidR="00BE7650">
        <w:rPr>
          <w:rFonts w:eastAsia="MS Mincho"/>
          <w:vertAlign w:val="superscript"/>
        </w:rPr>
        <w:t>o</w:t>
      </w:r>
      <w:r w:rsidR="00A27BF7">
        <w:rPr>
          <w:rFonts w:eastAsia="MS Mincho"/>
          <w:vertAlign w:val="superscript"/>
        </w:rPr>
        <w:t>s</w:t>
      </w:r>
      <w:r w:rsidR="00BE7650">
        <w:t> </w:t>
      </w:r>
      <w:r w:rsidRPr="001D642D">
        <w:t>4, 6, 7, etc.)</w:t>
      </w:r>
      <w:r>
        <w:t xml:space="preserve"> n</w:t>
      </w:r>
      <w:r w:rsidR="001B59FD">
        <w:t>’</w:t>
      </w:r>
      <w:r>
        <w:t xml:space="preserve">ont pas pu être soumises au GRE avant que ces Règlements soient </w:t>
      </w:r>
      <w:r w:rsidR="00BE7650">
        <w:t>« </w:t>
      </w:r>
      <w:r w:rsidRPr="001D642D">
        <w:t>gelés</w:t>
      </w:r>
      <w:r w:rsidR="00BE7650">
        <w:t> »</w:t>
      </w:r>
      <w:r w:rsidRPr="001D642D">
        <w:t xml:space="preserve">. </w:t>
      </w:r>
      <w:r>
        <w:t>Il en résulte que les modifications contenues dans le présent document ont été établies dans le but d</w:t>
      </w:r>
      <w:r w:rsidR="001B59FD">
        <w:t>’</w:t>
      </w:r>
      <w:r>
        <w:t xml:space="preserve">être introduites directement dans le nouveau Règlement sur </w:t>
      </w:r>
      <w:r w:rsidRPr="006F52CD">
        <w:t xml:space="preserve">les dispositifs de signalisation lumineuse </w:t>
      </w:r>
      <w:r>
        <w:t>(DSL).</w:t>
      </w:r>
    </w:p>
    <w:p w:rsidR="00BE7650" w:rsidRDefault="00F41176" w:rsidP="004E22F7">
      <w:pPr>
        <w:pStyle w:val="SingleTxtG"/>
        <w:keepNext/>
      </w:pPr>
      <w:r w:rsidRPr="006F52CD">
        <w:t>3.</w:t>
      </w:r>
      <w:r w:rsidRPr="006F52CD">
        <w:tab/>
        <w:t xml:space="preserve">Les principales </w:t>
      </w:r>
      <w:proofErr w:type="gramStart"/>
      <w:r w:rsidRPr="006F52CD">
        <w:t>modification</w:t>
      </w:r>
      <w:proofErr w:type="gramEnd"/>
      <w:r w:rsidRPr="006F52CD">
        <w:t xml:space="preserve"> au Règlement DSL sont les suivantes</w:t>
      </w:r>
      <w:r w:rsidR="00BE7650">
        <w:t> :</w:t>
      </w:r>
    </w:p>
    <w:p w:rsidR="00BE7650" w:rsidRDefault="00F41176" w:rsidP="007A2501">
      <w:pPr>
        <w:pStyle w:val="SingleTxtG"/>
        <w:ind w:firstLine="567"/>
      </w:pPr>
      <w:r w:rsidRPr="006F52CD">
        <w:t>a)</w:t>
      </w:r>
      <w:r w:rsidRPr="006F52CD">
        <w:tab/>
        <w:t>L</w:t>
      </w:r>
      <w:r w:rsidR="001B59FD">
        <w:t>’</w:t>
      </w:r>
      <w:r w:rsidRPr="006F52CD">
        <w:t>utilisation de sources lumineuses à DEL de substitution</w:t>
      </w:r>
      <w:r>
        <w:t xml:space="preserve"> ne constitue pas une modification du type de feu. Toutefois, les performances des feux doivent aussi être vérifiées avec les </w:t>
      </w:r>
      <w:r w:rsidRPr="00755831">
        <w:t>sources lumineuse</w:t>
      </w:r>
      <w:r>
        <w:t>s</w:t>
      </w:r>
      <w:r w:rsidRPr="00755831">
        <w:t xml:space="preserve"> à DEL de substitution</w:t>
      </w:r>
      <w:r>
        <w:t xml:space="preserve"> lors de l</w:t>
      </w:r>
      <w:r w:rsidR="001B59FD">
        <w:t>’</w:t>
      </w:r>
      <w:r>
        <w:t>homologation de type. L</w:t>
      </w:r>
      <w:r w:rsidR="001B59FD">
        <w:t>’</w:t>
      </w:r>
      <w:r>
        <w:t>homologation des feux avec des s</w:t>
      </w:r>
      <w:r w:rsidRPr="00755831">
        <w:t>ources lumineuses à incandescence</w:t>
      </w:r>
      <w:r>
        <w:t xml:space="preserve"> est une condition pour l</w:t>
      </w:r>
      <w:r w:rsidR="001B59FD">
        <w:t>’</w:t>
      </w:r>
      <w:r>
        <w:t xml:space="preserve">homologation de feux avec des </w:t>
      </w:r>
      <w:r w:rsidRPr="00BA7BC9">
        <w:t>sources lumineuses à DEL de substitution</w:t>
      </w:r>
      <w:r w:rsidR="00BE7650">
        <w:t> ;</w:t>
      </w:r>
    </w:p>
    <w:p w:rsidR="00BE7650" w:rsidRDefault="00F41176" w:rsidP="007A2501">
      <w:pPr>
        <w:pStyle w:val="SingleTxtG"/>
        <w:ind w:firstLine="567"/>
      </w:pPr>
      <w:r w:rsidRPr="0005007F">
        <w:t>b)</w:t>
      </w:r>
      <w:r w:rsidRPr="0005007F">
        <w:tab/>
      </w:r>
      <w:r>
        <w:t xml:space="preserve">Les essais </w:t>
      </w:r>
      <w:r w:rsidRPr="0005007F">
        <w:t>de contrôle de la conformité de production</w:t>
      </w:r>
      <w:r w:rsidR="007A2501">
        <w:t xml:space="preserve"> du feu doivent se faire </w:t>
      </w:r>
      <w:r>
        <w:t xml:space="preserve">avec une </w:t>
      </w:r>
      <w:r w:rsidRPr="0005007F">
        <w:t>source lumineuse à incandescence</w:t>
      </w:r>
      <w:r>
        <w:t xml:space="preserve"> (étalon) seulement, car la </w:t>
      </w:r>
      <w:r w:rsidRPr="0008688D">
        <w:t>source lumineuse à DEL de substitution</w:t>
      </w:r>
      <w:r>
        <w:t xml:space="preserve"> est la contrepartie de la </w:t>
      </w:r>
      <w:r w:rsidRPr="0008688D">
        <w:t>source lumineuse à incandescence</w:t>
      </w:r>
      <w:r w:rsidR="00E611AD">
        <w:t>, </w:t>
      </w:r>
      <w:r>
        <w:t>ce qui se traduit par une performance photométrique é</w:t>
      </w:r>
      <w:r w:rsidR="00BE7650">
        <w:t>quivalente. La qualité, c</w:t>
      </w:r>
      <w:r w:rsidR="001B59FD">
        <w:t>’</w:t>
      </w:r>
      <w:r w:rsidR="00BE7650">
        <w:t>est</w:t>
      </w:r>
      <w:r w:rsidR="00BE7650">
        <w:noBreakHyphen/>
        <w:t>à</w:t>
      </w:r>
      <w:r w:rsidR="00BE7650">
        <w:noBreakHyphen/>
      </w:r>
      <w:r>
        <w:t>dire l</w:t>
      </w:r>
      <w:r w:rsidR="001B59FD">
        <w:t>’</w:t>
      </w:r>
      <w:r>
        <w:t xml:space="preserve">équivalence avec la </w:t>
      </w:r>
      <w:r w:rsidRPr="0008688D">
        <w:t xml:space="preserve">source lumineuse à incandescence </w:t>
      </w:r>
      <w:r>
        <w:t>es</w:t>
      </w:r>
      <w:r w:rsidR="00E611AD">
        <w:t xml:space="preserve">t contrôlée par le Règlement </w:t>
      </w:r>
      <w:r w:rsidR="00BE7650">
        <w:rPr>
          <w:rFonts w:eastAsia="MS Mincho"/>
        </w:rPr>
        <w:t>n</w:t>
      </w:r>
      <w:r w:rsidR="00BE7650">
        <w:rPr>
          <w:rFonts w:eastAsia="MS Mincho"/>
          <w:vertAlign w:val="superscript"/>
        </w:rPr>
        <w:t>o</w:t>
      </w:r>
      <w:r w:rsidR="00BE7650">
        <w:t> 128</w:t>
      </w:r>
      <w:r w:rsidR="001B59FD">
        <w:t> ;</w:t>
      </w:r>
    </w:p>
    <w:p w:rsidR="00BE7650" w:rsidRDefault="00F41176" w:rsidP="007A2501">
      <w:pPr>
        <w:pStyle w:val="SingleTxtG"/>
        <w:ind w:firstLine="567"/>
      </w:pPr>
      <w:r w:rsidRPr="004B2FCD">
        <w:t>c)</w:t>
      </w:r>
      <w:r w:rsidRPr="004B2FCD">
        <w:tab/>
        <w:t>L</w:t>
      </w:r>
      <w:r w:rsidR="001B59FD">
        <w:t>’</w:t>
      </w:r>
      <w:r w:rsidRPr="004B2FCD">
        <w:t xml:space="preserve">utilisation de sources lumineuses à DEL de substitution </w:t>
      </w:r>
      <w:r>
        <w:t>est laissée à la discrétion du demandeur, qui doit la déclarer, le cas échéant, à l</w:t>
      </w:r>
      <w:r w:rsidR="001B59FD">
        <w:t>’</w:t>
      </w:r>
      <w:r>
        <w:t>autorité d</w:t>
      </w:r>
      <w:r w:rsidR="001B59FD">
        <w:t>’</w:t>
      </w:r>
      <w:r>
        <w:t>homologation de type au moment de la demande d</w:t>
      </w:r>
      <w:r w:rsidR="001B59FD">
        <w:t>’</w:t>
      </w:r>
      <w:r>
        <w:t>homologation du premier feu</w:t>
      </w:r>
      <w:r w:rsidR="001B59FD">
        <w:t xml:space="preserve"> </w:t>
      </w:r>
      <w:r>
        <w:t>ou de l</w:t>
      </w:r>
      <w:r w:rsidR="001B59FD">
        <w:t>’</w:t>
      </w:r>
      <w:r w:rsidRPr="004B2FCD">
        <w:t>extension d</w:t>
      </w:r>
      <w:r w:rsidR="001B59FD">
        <w:t>’</w:t>
      </w:r>
      <w:r w:rsidRPr="004B2FCD">
        <w:t>homologation</w:t>
      </w:r>
      <w:r>
        <w:t xml:space="preserve"> </w:t>
      </w:r>
      <w:r w:rsidRPr="004B2FCD">
        <w:t>s</w:t>
      </w:r>
      <w:r>
        <w:t>ubséquente délivrée pour la version utilisant la</w:t>
      </w:r>
      <w:r w:rsidRPr="00E96ED7">
        <w:t xml:space="preserve"> source lumineuse à DEL de substitution</w:t>
      </w:r>
      <w:r w:rsidR="00BE7650">
        <w:t> ;</w:t>
      </w:r>
    </w:p>
    <w:p w:rsidR="00BE7650" w:rsidRDefault="00F41176" w:rsidP="007A2501">
      <w:pPr>
        <w:pStyle w:val="SingleTxtG"/>
        <w:ind w:firstLine="567"/>
      </w:pPr>
      <w:r w:rsidRPr="00E96ED7">
        <w:t>d)</w:t>
      </w:r>
      <w:r w:rsidRPr="00E96ED7">
        <w:tab/>
        <w:t>L</w:t>
      </w:r>
      <w:r w:rsidR="001B59FD">
        <w:t>’</w:t>
      </w:r>
      <w:r w:rsidRPr="00E96ED7">
        <w:t>utilisation d</w:t>
      </w:r>
      <w:r w:rsidR="001B59FD">
        <w:t>’</w:t>
      </w:r>
      <w:r>
        <w:t xml:space="preserve">une </w:t>
      </w:r>
      <w:r w:rsidRPr="00E96ED7">
        <w:t xml:space="preserve">source lumineuse à DEL de substitution </w:t>
      </w:r>
      <w:r>
        <w:t>dans un certain type de feu doit être indiquée sur le feu à l</w:t>
      </w:r>
      <w:r w:rsidR="001B59FD">
        <w:t>’</w:t>
      </w:r>
      <w:r>
        <w:t>aide d</w:t>
      </w:r>
      <w:r w:rsidR="001B59FD">
        <w:t>’</w:t>
      </w:r>
      <w:r>
        <w:t xml:space="preserve">un marquage de la catégorie de cette source en plus du marquage de la source </w:t>
      </w:r>
      <w:r w:rsidRPr="00E96ED7">
        <w:t>à incandescence</w:t>
      </w:r>
      <w:r>
        <w:t xml:space="preserve"> dont elle est la contrepartie</w:t>
      </w:r>
      <w:r w:rsidR="00BE7650">
        <w:t> ;</w:t>
      </w:r>
    </w:p>
    <w:p w:rsidR="00BE7650" w:rsidRDefault="00F41176" w:rsidP="007A2501">
      <w:pPr>
        <w:pStyle w:val="SingleTxtG"/>
        <w:ind w:firstLine="567"/>
      </w:pPr>
      <w:r w:rsidRPr="00244EF3">
        <w:t>e)</w:t>
      </w:r>
      <w:r w:rsidRPr="00244EF3">
        <w:tab/>
        <w:t xml:space="preserve">Ce marquage sur le feu </w:t>
      </w:r>
      <w:r>
        <w:t>permettra de vérifier que l</w:t>
      </w:r>
      <w:r w:rsidR="001B59FD">
        <w:t>’</w:t>
      </w:r>
      <w:r>
        <w:t xml:space="preserve">on peut utiliser des feux munis de </w:t>
      </w:r>
      <w:r w:rsidRPr="00244EF3">
        <w:t>source</w:t>
      </w:r>
      <w:r>
        <w:t>s</w:t>
      </w:r>
      <w:r w:rsidRPr="00244EF3">
        <w:t xml:space="preserve"> lumineuse</w:t>
      </w:r>
      <w:r>
        <w:t>s</w:t>
      </w:r>
      <w:r w:rsidRPr="00244EF3">
        <w:t xml:space="preserve"> à DEL de substitution</w:t>
      </w:r>
      <w:r>
        <w:t xml:space="preserve"> en application du Règlement régissant l</w:t>
      </w:r>
      <w:r w:rsidR="001B59FD">
        <w:t>’</w:t>
      </w:r>
      <w:r>
        <w:t>installation des feux sur le véhicule ;</w:t>
      </w:r>
    </w:p>
    <w:p w:rsidR="00BE7650" w:rsidRDefault="00F41176" w:rsidP="007A2501">
      <w:pPr>
        <w:pStyle w:val="SingleTxtG"/>
        <w:ind w:firstLine="567"/>
      </w:pPr>
      <w:r w:rsidRPr="00244EF3">
        <w:t>f)</w:t>
      </w:r>
      <w:r w:rsidRPr="00244EF3">
        <w:tab/>
        <w:t>L</w:t>
      </w:r>
      <w:r w:rsidR="001B59FD">
        <w:t>’</w:t>
      </w:r>
      <w:r w:rsidRPr="00244EF3">
        <w:t xml:space="preserve">indication </w:t>
      </w:r>
      <w:r>
        <w:t xml:space="preserve">tant </w:t>
      </w:r>
      <w:r w:rsidRPr="00244EF3">
        <w:t xml:space="preserve">de la source </w:t>
      </w:r>
      <w:r>
        <w:t xml:space="preserve">lumineuse </w:t>
      </w:r>
      <w:r w:rsidRPr="00244EF3">
        <w:t>à incandescence</w:t>
      </w:r>
      <w:r>
        <w:t xml:space="preserve"> que de </w:t>
      </w:r>
      <w:r w:rsidRPr="00244EF3">
        <w:t>la source lumineuse à DEL de substitution</w:t>
      </w:r>
      <w:r>
        <w:t xml:space="preserve"> qui en est la contrepartie doit figurer sur la </w:t>
      </w:r>
      <w:r w:rsidRPr="00244EF3">
        <w:t>fiche de communication</w:t>
      </w:r>
      <w:r w:rsidR="00BE7650">
        <w:t> ;</w:t>
      </w:r>
    </w:p>
    <w:p w:rsidR="00F9573C" w:rsidRDefault="00F41176" w:rsidP="007A2501">
      <w:pPr>
        <w:pStyle w:val="SingleTxtG"/>
        <w:ind w:firstLine="567"/>
      </w:pPr>
      <w:r w:rsidRPr="00607AD3">
        <w:t>g)</w:t>
      </w:r>
      <w:r w:rsidRPr="00607AD3">
        <w:tab/>
      </w:r>
      <w:r w:rsidR="00846A76">
        <w:t>À</w:t>
      </w:r>
      <w:r w:rsidRPr="00607AD3">
        <w:t xml:space="preserve"> des fins de vérification</w:t>
      </w:r>
      <w:r>
        <w:t xml:space="preserve"> de l</w:t>
      </w:r>
      <w:r w:rsidR="001B59FD">
        <w:t>’</w:t>
      </w:r>
      <w:r>
        <w:t xml:space="preserve">application légale, la catégorie de sources lumineuses doit être visible lorsque le feu est </w:t>
      </w:r>
      <w:r w:rsidRPr="00607AD3">
        <w:t>monté sur le véhicule</w:t>
      </w:r>
      <w:r>
        <w:t xml:space="preserve"> ou </w:t>
      </w:r>
      <w:r w:rsidRPr="001734BA">
        <w:t>lorsqu</w:t>
      </w:r>
      <w:r w:rsidR="001B59FD">
        <w:t>’</w:t>
      </w:r>
      <w:r w:rsidRPr="001734BA">
        <w:t>une partie</w:t>
      </w:r>
      <w:r w:rsidRPr="00607AD3">
        <w:t xml:space="preserve"> mobile, comme le capot, le hayon du coffre ou une porte, est ouverte.</w:t>
      </w:r>
    </w:p>
    <w:p w:rsidR="00BE7650" w:rsidRPr="00BE7650" w:rsidRDefault="00BE7650" w:rsidP="00BE765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E7650" w:rsidRPr="00BE7650" w:rsidSect="00D9260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CF" w:rsidRDefault="006C6ECF" w:rsidP="00F95C08">
      <w:pPr>
        <w:spacing w:line="240" w:lineRule="auto"/>
      </w:pPr>
    </w:p>
  </w:endnote>
  <w:endnote w:type="continuationSeparator" w:id="0">
    <w:p w:rsidR="006C6ECF" w:rsidRPr="00AC3823" w:rsidRDefault="006C6ECF" w:rsidP="00AC3823">
      <w:pPr>
        <w:pStyle w:val="Footer"/>
      </w:pPr>
    </w:p>
  </w:endnote>
  <w:endnote w:type="continuationNotice" w:id="1">
    <w:p w:rsidR="006C6ECF" w:rsidRDefault="006C6E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07" w:rsidRPr="00D92607" w:rsidRDefault="00D92607" w:rsidP="00D92607">
    <w:pPr>
      <w:pStyle w:val="Footer"/>
      <w:tabs>
        <w:tab w:val="right" w:pos="9638"/>
      </w:tabs>
    </w:pPr>
    <w:r w:rsidRPr="00D92607">
      <w:rPr>
        <w:b/>
        <w:sz w:val="18"/>
      </w:rPr>
      <w:fldChar w:fldCharType="begin"/>
    </w:r>
    <w:r w:rsidRPr="00D92607">
      <w:rPr>
        <w:b/>
        <w:sz w:val="18"/>
      </w:rPr>
      <w:instrText xml:space="preserve"> PAGE  \* MERGEFORMAT </w:instrText>
    </w:r>
    <w:r w:rsidRPr="00D92607">
      <w:rPr>
        <w:b/>
        <w:sz w:val="18"/>
      </w:rPr>
      <w:fldChar w:fldCharType="separate"/>
    </w:r>
    <w:r w:rsidR="001846EC">
      <w:rPr>
        <w:b/>
        <w:noProof/>
        <w:sz w:val="18"/>
      </w:rPr>
      <w:t>4</w:t>
    </w:r>
    <w:r w:rsidRPr="00D92607">
      <w:rPr>
        <w:b/>
        <w:sz w:val="18"/>
      </w:rPr>
      <w:fldChar w:fldCharType="end"/>
    </w:r>
    <w:r>
      <w:rPr>
        <w:b/>
        <w:sz w:val="18"/>
      </w:rPr>
      <w:tab/>
    </w:r>
    <w:r>
      <w:t>GE.17-13768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07" w:rsidRPr="00D92607" w:rsidRDefault="00D92607" w:rsidP="00D92607">
    <w:pPr>
      <w:pStyle w:val="Footer"/>
      <w:tabs>
        <w:tab w:val="right" w:pos="9638"/>
      </w:tabs>
      <w:rPr>
        <w:b/>
        <w:sz w:val="18"/>
      </w:rPr>
    </w:pPr>
    <w:r>
      <w:t>GE.17-13768</w:t>
    </w:r>
    <w:r>
      <w:tab/>
    </w:r>
    <w:r w:rsidRPr="00D92607">
      <w:rPr>
        <w:b/>
        <w:sz w:val="18"/>
      </w:rPr>
      <w:fldChar w:fldCharType="begin"/>
    </w:r>
    <w:r w:rsidRPr="00D92607">
      <w:rPr>
        <w:b/>
        <w:sz w:val="18"/>
      </w:rPr>
      <w:instrText xml:space="preserve"> PAGE  \* MERGEFORMAT </w:instrText>
    </w:r>
    <w:r w:rsidRPr="00D92607">
      <w:rPr>
        <w:b/>
        <w:sz w:val="18"/>
      </w:rPr>
      <w:fldChar w:fldCharType="separate"/>
    </w:r>
    <w:r w:rsidR="001846EC">
      <w:rPr>
        <w:b/>
        <w:noProof/>
        <w:sz w:val="18"/>
      </w:rPr>
      <w:t>3</w:t>
    </w:r>
    <w:r w:rsidRPr="00D926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D92607" w:rsidRDefault="00D92607" w:rsidP="00D9260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17-13768  (F)    300817    310817</w:t>
    </w:r>
    <w:r>
      <w:rPr>
        <w:sz w:val="20"/>
      </w:rPr>
      <w:br/>
    </w:r>
    <w:r w:rsidRPr="00D92607">
      <w:rPr>
        <w:rFonts w:ascii="C39T30Lfz" w:hAnsi="C39T30Lfz"/>
        <w:sz w:val="56"/>
      </w:rPr>
      <w:t></w:t>
    </w:r>
    <w:r w:rsidRPr="00D92607">
      <w:rPr>
        <w:rFonts w:ascii="C39T30Lfz" w:hAnsi="C39T30Lfz"/>
        <w:sz w:val="56"/>
      </w:rPr>
      <w:t></w:t>
    </w:r>
    <w:r w:rsidRPr="00D92607">
      <w:rPr>
        <w:rFonts w:ascii="C39T30Lfz" w:hAnsi="C39T30Lfz"/>
        <w:sz w:val="56"/>
      </w:rPr>
      <w:t></w:t>
    </w:r>
    <w:r w:rsidRPr="00D92607">
      <w:rPr>
        <w:rFonts w:ascii="C39T30Lfz" w:hAnsi="C39T30Lfz"/>
        <w:sz w:val="56"/>
      </w:rPr>
      <w:t></w:t>
    </w:r>
    <w:r w:rsidRPr="00D92607">
      <w:rPr>
        <w:rFonts w:ascii="C39T30Lfz" w:hAnsi="C39T30Lfz"/>
        <w:sz w:val="56"/>
      </w:rPr>
      <w:t></w:t>
    </w:r>
    <w:r w:rsidRPr="00D92607">
      <w:rPr>
        <w:rFonts w:ascii="C39T30Lfz" w:hAnsi="C39T30Lfz"/>
        <w:sz w:val="56"/>
      </w:rPr>
      <w:t></w:t>
    </w:r>
    <w:r w:rsidRPr="00D92607">
      <w:rPr>
        <w:rFonts w:ascii="C39T30Lfz" w:hAnsi="C39T30Lfz"/>
        <w:sz w:val="56"/>
      </w:rPr>
      <w:t></w:t>
    </w:r>
    <w:r w:rsidRPr="00D92607">
      <w:rPr>
        <w:rFonts w:ascii="C39T30Lfz" w:hAnsi="C39T30Lfz"/>
        <w:sz w:val="56"/>
      </w:rPr>
      <w:t></w:t>
    </w:r>
    <w:r w:rsidRPr="00D9260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CF" w:rsidRPr="00AC3823" w:rsidRDefault="006C6EC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6ECF" w:rsidRPr="00AC3823" w:rsidRDefault="006C6EC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C6ECF" w:rsidRPr="00AC3823" w:rsidRDefault="006C6ECF">
      <w:pPr>
        <w:spacing w:line="240" w:lineRule="auto"/>
        <w:rPr>
          <w:sz w:val="2"/>
          <w:szCs w:val="2"/>
        </w:rPr>
      </w:pPr>
    </w:p>
  </w:footnote>
  <w:footnote w:id="2">
    <w:p w:rsidR="00F41176" w:rsidRPr="00F41176" w:rsidRDefault="00F41176">
      <w:pPr>
        <w:pStyle w:val="FootnoteText"/>
      </w:pPr>
      <w:r>
        <w:rPr>
          <w:rStyle w:val="FootnoteReference"/>
        </w:rPr>
        <w:tab/>
      </w:r>
      <w:r w:rsidRPr="00F4117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B1CD2">
        <w:t xml:space="preserve">Conformément au programme de travail du Comité des transports </w:t>
      </w:r>
      <w:r>
        <w:t>intérieurs pour la période 2016</w:t>
      </w:r>
      <w:r>
        <w:noBreakHyphen/>
      </w:r>
      <w:r w:rsidR="00D13BF8">
        <w:t>2017 (ECE/TRANS/254, par. 159</w:t>
      </w:r>
      <w:r w:rsidRPr="00DB1CD2">
        <w:t xml:space="preserve"> et ECE/TRANS/2016/28/Add.1, module 3.1), le Forum mondial a pour mission d’élaborer, d’harmoniser et de mettre à jour les Règlements en vue d’améliorer les caractéristiques fonctionnelles des véhicules. Le présent document est</w:t>
      </w:r>
      <w:r>
        <w:t xml:space="preserve">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07" w:rsidRPr="00D92607" w:rsidRDefault="00D03FE4">
    <w:pPr>
      <w:pStyle w:val="Header"/>
    </w:pPr>
    <w:fldSimple w:instr=" TITLE  \* MERGEFORMAT ">
      <w:r>
        <w:t>ECE/TRANS/WP.29/GRE/2017</w:t>
      </w:r>
    </w:fldSimple>
    <w:r w:rsidR="00285BCF">
      <w:t>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07" w:rsidRPr="00D92607" w:rsidRDefault="00D03FE4" w:rsidP="00D92607">
    <w:pPr>
      <w:pStyle w:val="Header"/>
      <w:jc w:val="right"/>
    </w:pPr>
    <w:fldSimple w:instr=" TITLE  \* MERGEFORMAT ">
      <w:r>
        <w:t>ECE/TRANS/WP.29/GRE/2017</w:t>
      </w:r>
    </w:fldSimple>
    <w:r w:rsidR="00285BCF"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CF"/>
    <w:rsid w:val="00000B8B"/>
    <w:rsid w:val="00004BA3"/>
    <w:rsid w:val="00017F94"/>
    <w:rsid w:val="00023842"/>
    <w:rsid w:val="000334F9"/>
    <w:rsid w:val="00045FEB"/>
    <w:rsid w:val="0007796D"/>
    <w:rsid w:val="000B7790"/>
    <w:rsid w:val="00111548"/>
    <w:rsid w:val="00111F2F"/>
    <w:rsid w:val="0014365E"/>
    <w:rsid w:val="00143C66"/>
    <w:rsid w:val="00153122"/>
    <w:rsid w:val="00176178"/>
    <w:rsid w:val="001846EC"/>
    <w:rsid w:val="00191EF9"/>
    <w:rsid w:val="001B59FD"/>
    <w:rsid w:val="001C1324"/>
    <w:rsid w:val="001F525A"/>
    <w:rsid w:val="00223272"/>
    <w:rsid w:val="00246C2B"/>
    <w:rsid w:val="0024779E"/>
    <w:rsid w:val="00254D15"/>
    <w:rsid w:val="00257168"/>
    <w:rsid w:val="002744B8"/>
    <w:rsid w:val="002832AC"/>
    <w:rsid w:val="00285BCF"/>
    <w:rsid w:val="002D7C93"/>
    <w:rsid w:val="002F1228"/>
    <w:rsid w:val="00305801"/>
    <w:rsid w:val="00367664"/>
    <w:rsid w:val="003916DE"/>
    <w:rsid w:val="004128B2"/>
    <w:rsid w:val="00441C3B"/>
    <w:rsid w:val="00446FE5"/>
    <w:rsid w:val="00452396"/>
    <w:rsid w:val="004837D8"/>
    <w:rsid w:val="004E22F7"/>
    <w:rsid w:val="004E468C"/>
    <w:rsid w:val="005505B7"/>
    <w:rsid w:val="00573BE5"/>
    <w:rsid w:val="005869E8"/>
    <w:rsid w:val="00586ED3"/>
    <w:rsid w:val="00595490"/>
    <w:rsid w:val="00596AA9"/>
    <w:rsid w:val="0065165B"/>
    <w:rsid w:val="006C6ECF"/>
    <w:rsid w:val="0071601D"/>
    <w:rsid w:val="00773A0D"/>
    <w:rsid w:val="007A2501"/>
    <w:rsid w:val="007A62E6"/>
    <w:rsid w:val="007E2710"/>
    <w:rsid w:val="007F20FA"/>
    <w:rsid w:val="008046AC"/>
    <w:rsid w:val="008065D7"/>
    <w:rsid w:val="0080684C"/>
    <w:rsid w:val="00846A76"/>
    <w:rsid w:val="00871C75"/>
    <w:rsid w:val="008776DC"/>
    <w:rsid w:val="00885E85"/>
    <w:rsid w:val="008D10CB"/>
    <w:rsid w:val="009446C0"/>
    <w:rsid w:val="00963F54"/>
    <w:rsid w:val="009705C8"/>
    <w:rsid w:val="009911D6"/>
    <w:rsid w:val="009C1CF4"/>
    <w:rsid w:val="009F6B74"/>
    <w:rsid w:val="00A27BF7"/>
    <w:rsid w:val="00A30353"/>
    <w:rsid w:val="00AC16ED"/>
    <w:rsid w:val="00AC3823"/>
    <w:rsid w:val="00AC4D39"/>
    <w:rsid w:val="00AE323C"/>
    <w:rsid w:val="00AF0CB5"/>
    <w:rsid w:val="00B00181"/>
    <w:rsid w:val="00B00B0D"/>
    <w:rsid w:val="00B560CB"/>
    <w:rsid w:val="00B765F7"/>
    <w:rsid w:val="00B96620"/>
    <w:rsid w:val="00BA0CA9"/>
    <w:rsid w:val="00BE7650"/>
    <w:rsid w:val="00BF40F6"/>
    <w:rsid w:val="00C02897"/>
    <w:rsid w:val="00C8358F"/>
    <w:rsid w:val="00C97039"/>
    <w:rsid w:val="00CB7719"/>
    <w:rsid w:val="00D03FE4"/>
    <w:rsid w:val="00D13BF8"/>
    <w:rsid w:val="00D22466"/>
    <w:rsid w:val="00D3439C"/>
    <w:rsid w:val="00D92607"/>
    <w:rsid w:val="00DB1831"/>
    <w:rsid w:val="00DB5437"/>
    <w:rsid w:val="00DD3BFD"/>
    <w:rsid w:val="00DF6678"/>
    <w:rsid w:val="00E0299A"/>
    <w:rsid w:val="00E611AD"/>
    <w:rsid w:val="00E85C74"/>
    <w:rsid w:val="00EA6547"/>
    <w:rsid w:val="00EC3F4B"/>
    <w:rsid w:val="00ED1B29"/>
    <w:rsid w:val="00EE09D2"/>
    <w:rsid w:val="00EF2E22"/>
    <w:rsid w:val="00F35BAF"/>
    <w:rsid w:val="00F41176"/>
    <w:rsid w:val="00F42CC8"/>
    <w:rsid w:val="00F660DF"/>
    <w:rsid w:val="00F94664"/>
    <w:rsid w:val="00F9573C"/>
    <w:rsid w:val="00F95C08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7998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ECE/TRANS/WP.29/GRE/2017</vt:lpstr>
      <vt:lpstr>ECE/TRANS/WP.29/GRE/2017</vt:lpstr>
    </vt:vector>
  </TitlesOfParts>
  <Company>DCM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</dc:title>
  <dc:creator>Sylvie LAMY</dc:creator>
  <cp:lastModifiedBy>Benedicte Boudol</cp:lastModifiedBy>
  <cp:revision>2</cp:revision>
  <cp:lastPrinted>2017-08-31T13:02:00Z</cp:lastPrinted>
  <dcterms:created xsi:type="dcterms:W3CDTF">2017-09-04T13:38:00Z</dcterms:created>
  <dcterms:modified xsi:type="dcterms:W3CDTF">2017-09-04T13:38:00Z</dcterms:modified>
</cp:coreProperties>
</file>