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5761C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5761C5" w:rsidP="005761C5">
            <w:pPr>
              <w:jc w:val="right"/>
            </w:pPr>
            <w:r w:rsidRPr="005761C5">
              <w:rPr>
                <w:sz w:val="40"/>
              </w:rPr>
              <w:t>ECE</w:t>
            </w:r>
            <w:r>
              <w:t>/TRANS/WP.29/GRE/2017/25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5761C5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5761C5" w:rsidRDefault="005761C5" w:rsidP="005761C5">
            <w:pPr>
              <w:spacing w:line="240" w:lineRule="exact"/>
            </w:pPr>
            <w:r>
              <w:t>4 août 2017</w:t>
            </w:r>
          </w:p>
          <w:p w:rsidR="005761C5" w:rsidRDefault="005761C5" w:rsidP="005761C5">
            <w:pPr>
              <w:spacing w:line="240" w:lineRule="exact"/>
            </w:pPr>
            <w:r>
              <w:t>Français</w:t>
            </w:r>
          </w:p>
          <w:p w:rsidR="005761C5" w:rsidRPr="00DB58B5" w:rsidRDefault="005761C5" w:rsidP="005761C5">
            <w:pPr>
              <w:spacing w:line="240" w:lineRule="exact"/>
            </w:pPr>
            <w:r>
              <w:t>Original 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5471B1" w:rsidRDefault="005471B1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5471B1" w:rsidRDefault="005471B1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l’éclairage et de la signalisation lumineuse</w:t>
      </w:r>
    </w:p>
    <w:p w:rsidR="005471B1" w:rsidRDefault="005471B1" w:rsidP="00257168">
      <w:pPr>
        <w:spacing w:before="120" w:line="240" w:lineRule="exact"/>
        <w:rPr>
          <w:b/>
        </w:rPr>
      </w:pPr>
      <w:r>
        <w:rPr>
          <w:b/>
        </w:rPr>
        <w:t>Soixante-</w:t>
      </w:r>
      <w:r w:rsidR="00F7033E">
        <w:rPr>
          <w:b/>
        </w:rPr>
        <w:t>dix-</w:t>
      </w:r>
      <w:r>
        <w:rPr>
          <w:b/>
        </w:rPr>
        <w:t>huitième session</w:t>
      </w:r>
    </w:p>
    <w:p w:rsidR="005471B1" w:rsidRDefault="005471B1" w:rsidP="00257168">
      <w:pPr>
        <w:spacing w:line="240" w:lineRule="exact"/>
      </w:pPr>
      <w:r>
        <w:t>Genève, 24-27 octobre 2017</w:t>
      </w:r>
    </w:p>
    <w:p w:rsidR="005471B1" w:rsidRDefault="005471B1" w:rsidP="00257168">
      <w:pPr>
        <w:spacing w:line="240" w:lineRule="exact"/>
      </w:pPr>
      <w:r>
        <w:t>Point 7 b) de l’ordre du jour</w:t>
      </w:r>
      <w:r w:rsidR="00F7033E">
        <w:t xml:space="preserve"> provisoire</w:t>
      </w:r>
    </w:p>
    <w:p w:rsidR="00F7033E" w:rsidRPr="00DF418A" w:rsidRDefault="00F7033E" w:rsidP="00F7033E">
      <w:pPr>
        <w:rPr>
          <w:b/>
        </w:rPr>
      </w:pPr>
      <w:r>
        <w:rPr>
          <w:b/>
        </w:rPr>
        <w:t xml:space="preserve">Autres Règlements − Règlement </w:t>
      </w:r>
      <w:r w:rsidRPr="00F7033E">
        <w:rPr>
          <w:rFonts w:eastAsia="MS Mincho"/>
          <w:b/>
          <w:szCs w:val="22"/>
        </w:rPr>
        <w:t>n</w:t>
      </w:r>
      <w:r w:rsidRPr="00F7033E">
        <w:rPr>
          <w:rFonts w:eastAsia="MS Mincho"/>
          <w:b/>
          <w:szCs w:val="22"/>
          <w:vertAlign w:val="superscript"/>
        </w:rPr>
        <w:t>o</w:t>
      </w:r>
      <w:r>
        <w:rPr>
          <w:b/>
        </w:rPr>
        <w:t xml:space="preserve"> 53 (Installation des dispositifs d’éclairage </w:t>
      </w:r>
      <w:r>
        <w:rPr>
          <w:b/>
        </w:rPr>
        <w:br/>
        <w:t>et de signalisation lumineuse sur les véhicules de la catégorie L</w:t>
      </w:r>
      <w:r w:rsidRPr="0089790C">
        <w:rPr>
          <w:b/>
          <w:vertAlign w:val="subscript"/>
        </w:rPr>
        <w:t>3</w:t>
      </w:r>
      <w:r>
        <w:rPr>
          <w:b/>
        </w:rPr>
        <w:t>)</w:t>
      </w:r>
    </w:p>
    <w:p w:rsidR="00F7033E" w:rsidRPr="007435F8" w:rsidRDefault="001E6C01" w:rsidP="007435F8">
      <w:pPr>
        <w:pStyle w:val="HChG"/>
      </w:pPr>
      <w:r>
        <w:tab/>
      </w:r>
      <w:r>
        <w:tab/>
      </w:r>
      <w:r w:rsidR="00F7033E" w:rsidRPr="007435F8">
        <w:t>Proposition de complément</w:t>
      </w:r>
      <w:r w:rsidRPr="007435F8">
        <w:t> </w:t>
      </w:r>
      <w:r w:rsidR="00F7033E" w:rsidRPr="007435F8">
        <w:t>20 à la série</w:t>
      </w:r>
      <w:r w:rsidRPr="007435F8">
        <w:t> </w:t>
      </w:r>
      <w:r w:rsidR="00F7033E" w:rsidRPr="007435F8">
        <w:t>01 d’amendements au</w:t>
      </w:r>
      <w:r w:rsidR="007435F8" w:rsidRPr="007435F8">
        <w:t xml:space="preserve"> </w:t>
      </w:r>
      <w:r w:rsidR="00F7033E" w:rsidRPr="007435F8">
        <w:t xml:space="preserve">Règlement </w:t>
      </w:r>
      <w:r w:rsidR="007435F8" w:rsidRPr="007435F8">
        <w:t>n</w:t>
      </w:r>
      <w:r w:rsidR="007435F8" w:rsidRPr="00583A3C">
        <w:rPr>
          <w:vertAlign w:val="superscript"/>
        </w:rPr>
        <w:t>o</w:t>
      </w:r>
      <w:r w:rsidR="007435F8" w:rsidRPr="007435F8">
        <w:t> </w:t>
      </w:r>
      <w:r w:rsidR="00F7033E" w:rsidRPr="007435F8">
        <w:t xml:space="preserve">53 </w:t>
      </w:r>
      <w:r w:rsidR="007B7281" w:rsidRPr="007435F8">
        <w:t>et de complément 2 à la série d’amendements 02 au Règlement n</w:t>
      </w:r>
      <w:r w:rsidR="007B7281" w:rsidRPr="0042375B">
        <w:rPr>
          <w:vertAlign w:val="superscript"/>
        </w:rPr>
        <w:t>o</w:t>
      </w:r>
      <w:r w:rsidR="007B7281" w:rsidRPr="007435F8">
        <w:t xml:space="preserve"> 53 </w:t>
      </w:r>
      <w:r w:rsidR="00F7033E" w:rsidRPr="007435F8">
        <w:t xml:space="preserve">(Installation </w:t>
      </w:r>
      <w:r w:rsidR="007435F8" w:rsidRPr="007435F8">
        <w:br/>
      </w:r>
      <w:r w:rsidR="00F7033E" w:rsidRPr="007435F8">
        <w:t xml:space="preserve">des dispositifs d’éclairage et de signalisation </w:t>
      </w:r>
      <w:r w:rsidR="007435F8" w:rsidRPr="007435F8">
        <w:br/>
      </w:r>
      <w:r w:rsidR="00F7033E" w:rsidRPr="007435F8">
        <w:t>lumineuse sur les véhicules de la catégorie L3</w:t>
      </w:r>
      <w:r w:rsidRPr="007435F8">
        <w:t>)</w:t>
      </w:r>
    </w:p>
    <w:p w:rsidR="00F7033E" w:rsidRPr="00DF418A" w:rsidRDefault="00DE156A" w:rsidP="00DE156A">
      <w:pPr>
        <w:pStyle w:val="H1G"/>
        <w:rPr>
          <w:vertAlign w:val="superscript"/>
        </w:rPr>
      </w:pPr>
      <w:r>
        <w:tab/>
      </w:r>
      <w:r>
        <w:tab/>
      </w:r>
      <w:r w:rsidR="00F7033E">
        <w:t>Communication de l’expert de l’Association internationale des constructeurs de motocycles (IMMA)</w:t>
      </w:r>
      <w:r w:rsidRPr="00DE156A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F9573C" w:rsidRDefault="00F7033E" w:rsidP="00DE156A">
      <w:pPr>
        <w:pStyle w:val="SingleTxtG"/>
        <w:ind w:firstLine="567"/>
      </w:pPr>
      <w:r>
        <w:t>Le texte reproduit ci-après, établi par l’expert de l’IMMA, vise à autoriser l’application de différentes méthodes pour l’activation des feux stop et à aligner les prescriptions relatives à ces feux sur les dispositions applicables aux véhicules à quatre roues. Les modifications qu’il est proposé d’apporter au texte actuel du Règlement sont signalées en caractères gras pour les ajouts ou biffés pour les suppressions.</w:t>
      </w:r>
    </w:p>
    <w:p w:rsidR="0016371F" w:rsidRPr="00DF418A" w:rsidRDefault="0061194F" w:rsidP="000C1C5E">
      <w:pPr>
        <w:pStyle w:val="HChG"/>
      </w:pPr>
      <w:r>
        <w:br w:type="page"/>
      </w:r>
      <w:r w:rsidR="000C1C5E">
        <w:lastRenderedPageBreak/>
        <w:tab/>
      </w:r>
      <w:r w:rsidR="0016371F">
        <w:t>I.</w:t>
      </w:r>
      <w:r w:rsidR="0016371F">
        <w:tab/>
        <w:t>Proposition</w:t>
      </w:r>
    </w:p>
    <w:p w:rsidR="0016371F" w:rsidRPr="00D15D71" w:rsidRDefault="0016371F" w:rsidP="0016371F">
      <w:pPr>
        <w:pStyle w:val="SingleTxtG"/>
        <w:rPr>
          <w:i/>
          <w:iCs/>
        </w:rPr>
      </w:pPr>
      <w:r>
        <w:rPr>
          <w:i/>
          <w:iCs/>
        </w:rPr>
        <w:t>Paragraphe 2.5.9</w:t>
      </w:r>
      <w:r>
        <w:t>,</w:t>
      </w:r>
      <w:r>
        <w:rPr>
          <w:i/>
          <w:iCs/>
        </w:rPr>
        <w:t xml:space="preserve"> </w:t>
      </w:r>
      <w:proofErr w:type="gramStart"/>
      <w:r>
        <w:t>modifier</w:t>
      </w:r>
      <w:proofErr w:type="gramEnd"/>
      <w:r>
        <w:t xml:space="preserve"> comme suit</w:t>
      </w:r>
      <w:r w:rsidR="000C1C5E">
        <w:t> </w:t>
      </w:r>
      <w:r>
        <w:t>:</w:t>
      </w:r>
    </w:p>
    <w:p w:rsidR="0016371F" w:rsidRPr="005A467E" w:rsidRDefault="000C1C5E" w:rsidP="000C1C5E">
      <w:pPr>
        <w:pStyle w:val="SingleTxtG"/>
        <w:ind w:left="2268" w:hanging="1134"/>
        <w:rPr>
          <w:rFonts w:eastAsia="MS Mincho"/>
        </w:rPr>
      </w:pPr>
      <w:r>
        <w:t>« </w:t>
      </w:r>
      <w:r w:rsidR="0016371F">
        <w:t>2.5.9</w:t>
      </w:r>
      <w:r w:rsidR="0016371F">
        <w:tab/>
      </w:r>
      <w:r w:rsidRPr="000C1C5E">
        <w:t>“</w:t>
      </w:r>
      <w:r w:rsidR="0016371F" w:rsidRPr="000C1C5E">
        <w:t>Feu-stop</w:t>
      </w:r>
      <w:r w:rsidRPr="000C1C5E">
        <w:t>”</w:t>
      </w:r>
      <w:r w:rsidR="0016371F">
        <w:t>, le feu servant à indiquer aux autres usagers de la route qui se trouvent derrière le véhicule que son conducteur actionne le frein de service</w:t>
      </w:r>
      <w:r w:rsidR="002F0868">
        <w:t> </w:t>
      </w:r>
      <w:r w:rsidR="0016371F">
        <w:t xml:space="preserve">; </w:t>
      </w:r>
      <w:r w:rsidR="0016371F" w:rsidRPr="002F0868">
        <w:rPr>
          <w:b/>
          <w:bCs/>
        </w:rPr>
        <w:t>les feux-stop peuvent être activés par l’action d’un ralentisseur ou d’un dispositif analogue</w:t>
      </w:r>
      <w:r>
        <w:rPr>
          <w:bCs/>
        </w:rPr>
        <w:t> ; »</w:t>
      </w:r>
      <w:r w:rsidR="0016371F">
        <w:t>.</w:t>
      </w:r>
    </w:p>
    <w:p w:rsidR="0016371F" w:rsidRPr="00D15D71" w:rsidRDefault="0016371F" w:rsidP="0016371F">
      <w:pPr>
        <w:pStyle w:val="SingleTxtG"/>
        <w:rPr>
          <w:i/>
          <w:iCs/>
        </w:rPr>
      </w:pPr>
      <w:r>
        <w:rPr>
          <w:i/>
          <w:iCs/>
        </w:rPr>
        <w:t>Paragraphe 6.4.6</w:t>
      </w:r>
      <w:r>
        <w:t>,</w:t>
      </w:r>
      <w:r>
        <w:rPr>
          <w:i/>
          <w:iCs/>
        </w:rPr>
        <w:t xml:space="preserve"> </w:t>
      </w:r>
      <w:proofErr w:type="gramStart"/>
      <w:r>
        <w:t>modifier</w:t>
      </w:r>
      <w:proofErr w:type="gramEnd"/>
      <w:r>
        <w:t xml:space="preserve"> comme suit</w:t>
      </w:r>
      <w:r w:rsidR="000C1C5E">
        <w:t> </w:t>
      </w:r>
      <w:r>
        <w:t>:</w:t>
      </w:r>
    </w:p>
    <w:p w:rsidR="0016371F" w:rsidRPr="005A467E" w:rsidRDefault="000C1C5E" w:rsidP="000C1C5E">
      <w:pPr>
        <w:pStyle w:val="SingleTxtG"/>
        <w:ind w:left="2268" w:hanging="1134"/>
        <w:rPr>
          <w:color w:val="000000"/>
        </w:rPr>
      </w:pPr>
      <w:r>
        <w:rPr>
          <w:color w:val="000000"/>
        </w:rPr>
        <w:t>« </w:t>
      </w:r>
      <w:r w:rsidR="0016371F">
        <w:rPr>
          <w:color w:val="000000"/>
        </w:rPr>
        <w:t>6.4.6</w:t>
      </w:r>
      <w:r w:rsidR="0016371F">
        <w:rPr>
          <w:color w:val="000000"/>
        </w:rPr>
        <w:tab/>
        <w:t>Branchements électriques</w:t>
      </w:r>
    </w:p>
    <w:p w:rsidR="0016371F" w:rsidRPr="005A467E" w:rsidRDefault="0016371F" w:rsidP="000C1C5E">
      <w:pPr>
        <w:pStyle w:val="SingleTxtG"/>
        <w:ind w:left="2268" w:hanging="1134"/>
        <w:rPr>
          <w:color w:val="000000"/>
        </w:rPr>
      </w:pPr>
      <w:r>
        <w:rPr>
          <w:color w:val="000000"/>
        </w:rPr>
        <w:t>6.4.6.1</w:t>
      </w:r>
      <w:r>
        <w:rPr>
          <w:color w:val="000000"/>
        </w:rPr>
        <w:tab/>
      </w:r>
      <w:r>
        <w:t xml:space="preserve">Tous </w:t>
      </w:r>
      <w:r w:rsidRPr="002F0868">
        <w:rPr>
          <w:b/>
        </w:rPr>
        <w:t>les</w:t>
      </w:r>
      <w:r>
        <w:t xml:space="preserve"> feux-stop doivent s’allumer simultanément</w:t>
      </w:r>
      <w:r>
        <w:rPr>
          <w:strike/>
        </w:rPr>
        <w:t xml:space="preserve"> à toute application de l’un quelconque des freins de service. </w:t>
      </w:r>
      <w:r>
        <w:rPr>
          <w:strike/>
          <w:color w:val="000000"/>
        </w:rPr>
        <w:t>Doit s’allumer à toute application de l’un quelconque des freins de service.</w:t>
      </w:r>
      <w:r>
        <w:rPr>
          <w:color w:val="000000"/>
        </w:rPr>
        <w:t xml:space="preserve"> </w:t>
      </w:r>
      <w:proofErr w:type="gramStart"/>
      <w:r w:rsidRPr="002F0868">
        <w:rPr>
          <w:b/>
          <w:bCs/>
          <w:color w:val="000000"/>
        </w:rPr>
        <w:t>lorsque</w:t>
      </w:r>
      <w:proofErr w:type="gramEnd"/>
      <w:r w:rsidRPr="002F0868">
        <w:rPr>
          <w:b/>
          <w:bCs/>
          <w:color w:val="000000"/>
        </w:rPr>
        <w:t xml:space="preserve"> le système de freinage émet le signal de freinage défini dans le Règlement</w:t>
      </w:r>
      <w:r w:rsidR="002F0868" w:rsidRPr="002F0868">
        <w:rPr>
          <w:b/>
          <w:bCs/>
          <w:color w:val="000000"/>
        </w:rPr>
        <w:t xml:space="preserve"> </w:t>
      </w:r>
      <w:r w:rsidR="002F0868" w:rsidRPr="002F0868">
        <w:rPr>
          <w:rFonts w:eastAsia="MS Mincho"/>
          <w:b/>
          <w:bCs/>
          <w:color w:val="000000"/>
          <w:szCs w:val="22"/>
        </w:rPr>
        <w:t>n</w:t>
      </w:r>
      <w:r w:rsidR="002F0868" w:rsidRPr="002F0868">
        <w:rPr>
          <w:rFonts w:eastAsia="MS Mincho"/>
          <w:b/>
          <w:bCs/>
          <w:color w:val="000000"/>
          <w:szCs w:val="22"/>
          <w:vertAlign w:val="superscript"/>
        </w:rPr>
        <w:t>o</w:t>
      </w:r>
      <w:r w:rsidR="002F0868" w:rsidRPr="002F0868">
        <w:rPr>
          <w:b/>
          <w:bCs/>
          <w:color w:val="000000"/>
        </w:rPr>
        <w:t> </w:t>
      </w:r>
      <w:r w:rsidRPr="002F0868">
        <w:rPr>
          <w:b/>
          <w:bCs/>
          <w:color w:val="000000"/>
        </w:rPr>
        <w:t>78</w:t>
      </w:r>
      <w:r>
        <w:rPr>
          <w:bCs/>
          <w:color w:val="000000"/>
        </w:rPr>
        <w:t>.</w:t>
      </w:r>
    </w:p>
    <w:p w:rsidR="0016371F" w:rsidRPr="005A467E" w:rsidRDefault="0016371F" w:rsidP="000C1C5E">
      <w:pPr>
        <w:pStyle w:val="SingleTxtG"/>
        <w:ind w:left="2268" w:hanging="1134"/>
        <w:rPr>
          <w:i/>
        </w:rPr>
      </w:pPr>
      <w:r w:rsidRPr="002F0868">
        <w:rPr>
          <w:b/>
          <w:bCs/>
          <w:color w:val="000000"/>
        </w:rPr>
        <w:t>6.4.6.2</w:t>
      </w:r>
      <w:r w:rsidRPr="002F0868">
        <w:rPr>
          <w:b/>
          <w:bCs/>
          <w:color w:val="000000"/>
        </w:rPr>
        <w:tab/>
        <w:t>Il n’est pas nécessaire que les feux-stop s’allument si le dispositif commandant le démarrage et/ou l’arrêt du moteur se trouve dans une position qui rend impossible le fonctionnement du moteur.</w:t>
      </w:r>
      <w:r w:rsidR="002F0868">
        <w:rPr>
          <w:bCs/>
          <w:color w:val="000000"/>
        </w:rPr>
        <w:t> »</w:t>
      </w:r>
      <w:r>
        <w:rPr>
          <w:bCs/>
          <w:color w:val="000000"/>
        </w:rPr>
        <w:t>.</w:t>
      </w:r>
    </w:p>
    <w:p w:rsidR="0016371F" w:rsidRPr="00DF418A" w:rsidRDefault="0016371F" w:rsidP="000C1C5E">
      <w:pPr>
        <w:pStyle w:val="HChG"/>
      </w:pPr>
      <w:r>
        <w:tab/>
        <w:t>II.</w:t>
      </w:r>
      <w:r>
        <w:tab/>
        <w:t>Justification</w:t>
      </w:r>
    </w:p>
    <w:p w:rsidR="0016371F" w:rsidRDefault="0016371F" w:rsidP="0016371F">
      <w:pPr>
        <w:pStyle w:val="SingleTxtG"/>
      </w:pPr>
      <w:r>
        <w:t>1.</w:t>
      </w:r>
      <w:r>
        <w:tab/>
        <w:t>La présente proposition est une version révisée du document ECE/TRANS/GRE/2015/42 qui tient compte des observations formulées par les parties prenantes à la session d’octobre</w:t>
      </w:r>
      <w:r w:rsidR="00332659">
        <w:t xml:space="preserve"> </w:t>
      </w:r>
      <w:r>
        <w:t>2015 du GRE.</w:t>
      </w:r>
    </w:p>
    <w:p w:rsidR="0016371F" w:rsidRPr="00F2422D" w:rsidRDefault="0016371F" w:rsidP="0016371F">
      <w:pPr>
        <w:pStyle w:val="SingleTxtG"/>
      </w:pPr>
      <w:r>
        <w:t>2.</w:t>
      </w:r>
      <w:r>
        <w:tab/>
        <w:t>Il s’agit d’actualiser la définition des feux-stop de sorte à autoriser l’application de diverses méthodes d’activation pour les deux-roues motorisés, qui s’appliquent actuellement aux véhicules à quatre roues</w:t>
      </w:r>
      <w:r w:rsidR="006A4630">
        <w:t> </w:t>
      </w:r>
      <w:r>
        <w:t>; par exemple, par l’action d’un ralentisseur ou d’un dispositif analogue.</w:t>
      </w:r>
    </w:p>
    <w:p w:rsidR="0016371F" w:rsidRPr="00332659" w:rsidRDefault="0016371F" w:rsidP="0016371F">
      <w:pPr>
        <w:pStyle w:val="SingleTxtG"/>
      </w:pPr>
      <w:r w:rsidRPr="00332659">
        <w:t>3.</w:t>
      </w:r>
      <w:r w:rsidRPr="00332659">
        <w:tab/>
        <w:t>La nouvelle définition proposée est alignée sur les définitions qui figurent dans les Règlements n</w:t>
      </w:r>
      <w:r w:rsidRPr="00332659">
        <w:rPr>
          <w:vertAlign w:val="superscript"/>
        </w:rPr>
        <w:t>os</w:t>
      </w:r>
      <w:r w:rsidRPr="00332659">
        <w:t> 7 et 48. En particulier, le paragraphe 6.4.6.1 est fondé sur le paragraphe 6.7.7.1 du Règlement n° 48 et le paragraphe 6.4.6.2 est similaire au paragraphe 6.7.7.2 du même Règlement.</w:t>
      </w:r>
    </w:p>
    <w:p w:rsidR="0061194F" w:rsidRDefault="0016371F" w:rsidP="0016371F">
      <w:pPr>
        <w:pStyle w:val="SingleTxtG"/>
      </w:pPr>
      <w:r>
        <w:t>4.</w:t>
      </w:r>
      <w:r>
        <w:tab/>
        <w:t xml:space="preserve">Une proposition correspondante d’amendements au Règlement </w:t>
      </w:r>
      <w:r w:rsidR="00332659" w:rsidRPr="002D76F4">
        <w:rPr>
          <w:rFonts w:eastAsia="MS Mincho"/>
          <w:szCs w:val="22"/>
        </w:rPr>
        <w:t>n</w:t>
      </w:r>
      <w:r w:rsidR="00332659" w:rsidRPr="002D76F4">
        <w:rPr>
          <w:rFonts w:eastAsia="MS Mincho"/>
          <w:szCs w:val="22"/>
          <w:vertAlign w:val="superscript"/>
        </w:rPr>
        <w:t>o</w:t>
      </w:r>
      <w:r w:rsidR="00332659">
        <w:t> </w:t>
      </w:r>
      <w:r>
        <w:t>78 a été soumise à la session de septembre 2017 du Groupe de travail en matière de roulement et de freinage (GRRF) (ECE/TRANS/GRRF/2017/14).</w:t>
      </w:r>
    </w:p>
    <w:p w:rsidR="0016371F" w:rsidRPr="0016371F" w:rsidRDefault="0016371F" w:rsidP="0016371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6371F" w:rsidRPr="0016371F" w:rsidSect="005761C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A4F" w:rsidRDefault="001A5A4F" w:rsidP="00F95C08">
      <w:pPr>
        <w:spacing w:line="240" w:lineRule="auto"/>
      </w:pPr>
    </w:p>
  </w:endnote>
  <w:endnote w:type="continuationSeparator" w:id="0">
    <w:p w:rsidR="001A5A4F" w:rsidRPr="00AC3823" w:rsidRDefault="001A5A4F" w:rsidP="00AC3823">
      <w:pPr>
        <w:pStyle w:val="Footer"/>
      </w:pPr>
    </w:p>
  </w:endnote>
  <w:endnote w:type="continuationNotice" w:id="1">
    <w:p w:rsidR="001A5A4F" w:rsidRDefault="001A5A4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C5" w:rsidRPr="005761C5" w:rsidRDefault="005761C5" w:rsidP="005761C5">
    <w:pPr>
      <w:pStyle w:val="Footer"/>
      <w:tabs>
        <w:tab w:val="right" w:pos="9638"/>
      </w:tabs>
    </w:pPr>
    <w:r w:rsidRPr="005761C5">
      <w:rPr>
        <w:b/>
        <w:sz w:val="18"/>
      </w:rPr>
      <w:fldChar w:fldCharType="begin"/>
    </w:r>
    <w:r w:rsidRPr="005761C5">
      <w:rPr>
        <w:b/>
        <w:sz w:val="18"/>
      </w:rPr>
      <w:instrText xml:space="preserve"> PAGE  \* MERGEFORMAT </w:instrText>
    </w:r>
    <w:r w:rsidRPr="005761C5">
      <w:rPr>
        <w:b/>
        <w:sz w:val="18"/>
      </w:rPr>
      <w:fldChar w:fldCharType="separate"/>
    </w:r>
    <w:r w:rsidR="00BF7555">
      <w:rPr>
        <w:b/>
        <w:noProof/>
        <w:sz w:val="18"/>
      </w:rPr>
      <w:t>2</w:t>
    </w:r>
    <w:r w:rsidRPr="005761C5">
      <w:rPr>
        <w:b/>
        <w:sz w:val="18"/>
      </w:rPr>
      <w:fldChar w:fldCharType="end"/>
    </w:r>
    <w:r>
      <w:rPr>
        <w:b/>
        <w:sz w:val="18"/>
      </w:rPr>
      <w:tab/>
    </w:r>
    <w:r>
      <w:t>GE.17-13407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C5" w:rsidRPr="005761C5" w:rsidRDefault="005761C5" w:rsidP="005761C5">
    <w:pPr>
      <w:pStyle w:val="Footer"/>
      <w:tabs>
        <w:tab w:val="right" w:pos="9638"/>
      </w:tabs>
      <w:rPr>
        <w:b/>
        <w:sz w:val="18"/>
      </w:rPr>
    </w:pPr>
    <w:r>
      <w:t>GE.17-13407</w:t>
    </w:r>
    <w:r>
      <w:tab/>
    </w:r>
    <w:r w:rsidRPr="005761C5">
      <w:rPr>
        <w:b/>
        <w:sz w:val="18"/>
      </w:rPr>
      <w:fldChar w:fldCharType="begin"/>
    </w:r>
    <w:r w:rsidRPr="005761C5">
      <w:rPr>
        <w:b/>
        <w:sz w:val="18"/>
      </w:rPr>
      <w:instrText xml:space="preserve"> PAGE  \* MERGEFORMAT </w:instrText>
    </w:r>
    <w:r w:rsidRPr="005761C5">
      <w:rPr>
        <w:b/>
        <w:sz w:val="18"/>
      </w:rPr>
      <w:fldChar w:fldCharType="separate"/>
    </w:r>
    <w:r w:rsidR="007B7281">
      <w:rPr>
        <w:b/>
        <w:noProof/>
        <w:sz w:val="18"/>
      </w:rPr>
      <w:t>2</w:t>
    </w:r>
    <w:r w:rsidRPr="005761C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5761C5" w:rsidRDefault="005761C5" w:rsidP="005761C5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17-13407  (F)    070917    080917</w:t>
    </w:r>
    <w:r>
      <w:rPr>
        <w:sz w:val="20"/>
      </w:rPr>
      <w:br/>
    </w:r>
    <w:r w:rsidRPr="005761C5">
      <w:rPr>
        <w:rFonts w:ascii="C39T30Lfz" w:hAnsi="C39T30Lfz"/>
        <w:sz w:val="56"/>
      </w:rPr>
      <w:t></w:t>
    </w:r>
    <w:r w:rsidRPr="005761C5">
      <w:rPr>
        <w:rFonts w:ascii="C39T30Lfz" w:hAnsi="C39T30Lfz"/>
        <w:sz w:val="56"/>
      </w:rPr>
      <w:t></w:t>
    </w:r>
    <w:r w:rsidRPr="005761C5">
      <w:rPr>
        <w:rFonts w:ascii="C39T30Lfz" w:hAnsi="C39T30Lfz"/>
        <w:sz w:val="56"/>
      </w:rPr>
      <w:t></w:t>
    </w:r>
    <w:r w:rsidRPr="005761C5">
      <w:rPr>
        <w:rFonts w:ascii="C39T30Lfz" w:hAnsi="C39T30Lfz"/>
        <w:sz w:val="56"/>
      </w:rPr>
      <w:t></w:t>
    </w:r>
    <w:r w:rsidRPr="005761C5">
      <w:rPr>
        <w:rFonts w:ascii="C39T30Lfz" w:hAnsi="C39T30Lfz"/>
        <w:sz w:val="56"/>
      </w:rPr>
      <w:t></w:t>
    </w:r>
    <w:r w:rsidRPr="005761C5">
      <w:rPr>
        <w:rFonts w:ascii="C39T30Lfz" w:hAnsi="C39T30Lfz"/>
        <w:sz w:val="56"/>
      </w:rPr>
      <w:t></w:t>
    </w:r>
    <w:r w:rsidRPr="005761C5">
      <w:rPr>
        <w:rFonts w:ascii="C39T30Lfz" w:hAnsi="C39T30Lfz"/>
        <w:sz w:val="56"/>
      </w:rPr>
      <w:t></w:t>
    </w:r>
    <w:r w:rsidRPr="005761C5">
      <w:rPr>
        <w:rFonts w:ascii="C39T30Lfz" w:hAnsi="C39T30Lfz"/>
        <w:sz w:val="56"/>
      </w:rPr>
      <w:t></w:t>
    </w:r>
    <w:r w:rsidRPr="005761C5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E/2017/2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7/2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A4F" w:rsidRPr="00AC3823" w:rsidRDefault="001A5A4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A5A4F" w:rsidRPr="00AC3823" w:rsidRDefault="001A5A4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A5A4F" w:rsidRPr="00AC3823" w:rsidRDefault="001A5A4F">
      <w:pPr>
        <w:spacing w:line="240" w:lineRule="auto"/>
        <w:rPr>
          <w:sz w:val="2"/>
          <w:szCs w:val="2"/>
        </w:rPr>
      </w:pPr>
    </w:p>
  </w:footnote>
  <w:footnote w:id="2">
    <w:p w:rsidR="00DE156A" w:rsidRPr="00DE156A" w:rsidRDefault="00DE156A">
      <w:pPr>
        <w:pStyle w:val="FootnoteText"/>
      </w:pPr>
      <w:r w:rsidRPr="00DE156A">
        <w:rPr>
          <w:rStyle w:val="FootnoteReference"/>
          <w:spacing w:val="-1"/>
        </w:rPr>
        <w:tab/>
      </w:r>
      <w:r w:rsidRPr="00DE156A">
        <w:rPr>
          <w:rStyle w:val="FootnoteReference"/>
          <w:spacing w:val="-1"/>
          <w:sz w:val="20"/>
          <w:vertAlign w:val="baseline"/>
        </w:rPr>
        <w:t>*</w:t>
      </w:r>
      <w:r w:rsidRPr="00DE156A">
        <w:rPr>
          <w:rStyle w:val="FootnoteReference"/>
          <w:spacing w:val="-1"/>
          <w:sz w:val="20"/>
          <w:vertAlign w:val="baseline"/>
        </w:rPr>
        <w:tab/>
      </w:r>
      <w:r w:rsidRPr="00DE156A">
        <w:rPr>
          <w:spacing w:val="-1"/>
        </w:rPr>
        <w:t>Conformément au programme de travail du Comité des transports intérieurs pour la période 2016-2017</w:t>
      </w:r>
      <w:r>
        <w:t xml:space="preserve"> (ECE/TRANS/254, par. 159, et ECE/TRANS/2016/28/Add.1, module 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C5" w:rsidRPr="005761C5" w:rsidRDefault="00BF755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2375B">
      <w:t>ECE/TRANS/WP.29/GRE/2017/25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C5" w:rsidRPr="005761C5" w:rsidRDefault="00BF7555" w:rsidP="005761C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2375B">
      <w:t>ECE/TRANS/WP.29/GRE/2017/25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4F"/>
    <w:rsid w:val="00017F94"/>
    <w:rsid w:val="00023842"/>
    <w:rsid w:val="000334F9"/>
    <w:rsid w:val="00045FEB"/>
    <w:rsid w:val="0007796D"/>
    <w:rsid w:val="000B7790"/>
    <w:rsid w:val="000C1C5E"/>
    <w:rsid w:val="00111F2F"/>
    <w:rsid w:val="0014365E"/>
    <w:rsid w:val="00143C66"/>
    <w:rsid w:val="0016371F"/>
    <w:rsid w:val="00176178"/>
    <w:rsid w:val="001A5A4F"/>
    <w:rsid w:val="001E6C01"/>
    <w:rsid w:val="001F525A"/>
    <w:rsid w:val="00223272"/>
    <w:rsid w:val="0024779E"/>
    <w:rsid w:val="00257168"/>
    <w:rsid w:val="002744B8"/>
    <w:rsid w:val="002832AC"/>
    <w:rsid w:val="002D7C93"/>
    <w:rsid w:val="002F0868"/>
    <w:rsid w:val="00305801"/>
    <w:rsid w:val="00332659"/>
    <w:rsid w:val="003916DE"/>
    <w:rsid w:val="0042375B"/>
    <w:rsid w:val="00441C3B"/>
    <w:rsid w:val="00446FE5"/>
    <w:rsid w:val="00452396"/>
    <w:rsid w:val="004837D8"/>
    <w:rsid w:val="004E468C"/>
    <w:rsid w:val="005471B1"/>
    <w:rsid w:val="005505B7"/>
    <w:rsid w:val="00573BE5"/>
    <w:rsid w:val="005761C5"/>
    <w:rsid w:val="00583A3C"/>
    <w:rsid w:val="00586ED3"/>
    <w:rsid w:val="00596AA9"/>
    <w:rsid w:val="00601E17"/>
    <w:rsid w:val="0061194F"/>
    <w:rsid w:val="006A4630"/>
    <w:rsid w:val="00714557"/>
    <w:rsid w:val="0071601D"/>
    <w:rsid w:val="007435F8"/>
    <w:rsid w:val="007A62E6"/>
    <w:rsid w:val="007B7281"/>
    <w:rsid w:val="007F20FA"/>
    <w:rsid w:val="0080684C"/>
    <w:rsid w:val="00871C75"/>
    <w:rsid w:val="008776DC"/>
    <w:rsid w:val="008D608D"/>
    <w:rsid w:val="009446C0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1789F"/>
    <w:rsid w:val="00B765F7"/>
    <w:rsid w:val="00BA0CA9"/>
    <w:rsid w:val="00BF7555"/>
    <w:rsid w:val="00C02897"/>
    <w:rsid w:val="00C360EB"/>
    <w:rsid w:val="00C97039"/>
    <w:rsid w:val="00D3439C"/>
    <w:rsid w:val="00DB1831"/>
    <w:rsid w:val="00DD3BFD"/>
    <w:rsid w:val="00DE156A"/>
    <w:rsid w:val="00DF6678"/>
    <w:rsid w:val="00E0299A"/>
    <w:rsid w:val="00E85C74"/>
    <w:rsid w:val="00EA6547"/>
    <w:rsid w:val="00EF2E22"/>
    <w:rsid w:val="00F35BAF"/>
    <w:rsid w:val="00F660DF"/>
    <w:rsid w:val="00F7033E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56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DE156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DE156A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DE156A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DE156A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DE156A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DE156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DE156A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E156A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DE156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DE156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DE156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DE156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DE156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DE156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DE156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DE156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DE156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E156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DE156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DE156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E156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E156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E156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E156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E156A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E156A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E156A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DE156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DE156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DE156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DE156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DE156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DE156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DE156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DE156A"/>
  </w:style>
  <w:style w:type="character" w:customStyle="1" w:styleId="EndnoteTextChar">
    <w:name w:val="Endnote Text Char"/>
    <w:aliases w:val="2_G Char"/>
    <w:basedOn w:val="DefaultParagraphFont"/>
    <w:link w:val="EndnoteText"/>
    <w:rsid w:val="00DE156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DE156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DE156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DE156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DE156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DE156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DE156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DE156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DE156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DE156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DE156A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5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6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56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DE156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DE156A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DE156A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DE156A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DE156A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DE156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DE156A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E156A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DE156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DE156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DE156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DE156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DE156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DE156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DE156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DE156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DE156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E156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DE156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DE156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E156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E156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E156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E156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E156A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E156A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E156A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DE156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DE156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DE156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DE156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DE156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DE156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DE156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DE156A"/>
  </w:style>
  <w:style w:type="character" w:customStyle="1" w:styleId="EndnoteTextChar">
    <w:name w:val="Endnote Text Char"/>
    <w:aliases w:val="2_G Char"/>
    <w:basedOn w:val="DefaultParagraphFont"/>
    <w:link w:val="EndnoteText"/>
    <w:rsid w:val="00DE156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DE156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DE156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DE156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DE156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DE156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DE156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DE156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DE156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DE156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DE156A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5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6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2759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ECE/TRANS/WP.29/GRE/2017/25</vt:lpstr>
      <vt:lpstr>ECE/TRANS/WP.29/GRE/2017/25</vt:lpstr>
    </vt:vector>
  </TitlesOfParts>
  <Company>DCM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ECE/TRANS/WP.29/GRE/2017/25</dc:title>
  <dc:creator>Marie DESCHAMPS</dc:creator>
  <cp:lastModifiedBy>Benedicte Boudol</cp:lastModifiedBy>
  <cp:revision>2</cp:revision>
  <cp:lastPrinted>2017-09-08T12:46:00Z</cp:lastPrinted>
  <dcterms:created xsi:type="dcterms:W3CDTF">2017-09-13T14:28:00Z</dcterms:created>
  <dcterms:modified xsi:type="dcterms:W3CDTF">2017-09-13T14:28:00Z</dcterms:modified>
</cp:coreProperties>
</file>