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662A8">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662A8" w:rsidP="00E662A8">
            <w:pPr>
              <w:jc w:val="right"/>
            </w:pPr>
            <w:r w:rsidRPr="00E662A8">
              <w:rPr>
                <w:sz w:val="40"/>
              </w:rPr>
              <w:t>ECE</w:t>
            </w:r>
            <w:r>
              <w:t>/TRANS/WP.29/GRRF/2017/8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662A8" w:rsidP="00892A2F">
            <w:pPr>
              <w:spacing w:before="240"/>
            </w:pPr>
            <w:r>
              <w:t>Distr. générale</w:t>
            </w:r>
          </w:p>
          <w:p w:rsidR="00E662A8" w:rsidRDefault="00E662A8" w:rsidP="00E662A8">
            <w:pPr>
              <w:spacing w:line="240" w:lineRule="exact"/>
            </w:pPr>
            <w:r>
              <w:t>10 novembre 2016</w:t>
            </w:r>
          </w:p>
          <w:p w:rsidR="00E662A8" w:rsidRDefault="00E662A8" w:rsidP="00E662A8">
            <w:pPr>
              <w:spacing w:line="240" w:lineRule="exact"/>
            </w:pPr>
            <w:r>
              <w:t>Français</w:t>
            </w:r>
          </w:p>
          <w:p w:rsidR="00E662A8" w:rsidRPr="00DB58B5" w:rsidRDefault="00E662A8" w:rsidP="00E662A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662A8" w:rsidRPr="0033346C" w:rsidRDefault="00E662A8" w:rsidP="00E662A8">
      <w:pPr>
        <w:spacing w:before="120" w:after="120"/>
        <w:rPr>
          <w:b/>
          <w:bCs/>
          <w:sz w:val="24"/>
          <w:szCs w:val="24"/>
        </w:rPr>
      </w:pPr>
      <w:r w:rsidRPr="0033346C">
        <w:rPr>
          <w:b/>
          <w:bCs/>
          <w:sz w:val="24"/>
          <w:szCs w:val="24"/>
        </w:rPr>
        <w:t xml:space="preserve">Forum mondial de l’harmonisation des Règlements </w:t>
      </w:r>
      <w:r w:rsidRPr="0033346C">
        <w:rPr>
          <w:b/>
          <w:bCs/>
          <w:sz w:val="24"/>
          <w:szCs w:val="24"/>
        </w:rPr>
        <w:br/>
        <w:t>concernant les véhicules</w:t>
      </w:r>
    </w:p>
    <w:p w:rsidR="00E662A8" w:rsidRPr="005619F1" w:rsidRDefault="00E662A8" w:rsidP="00E662A8">
      <w:pPr>
        <w:spacing w:after="120"/>
        <w:rPr>
          <w:b/>
          <w:bCs/>
        </w:rPr>
      </w:pPr>
      <w:r w:rsidRPr="005619F1">
        <w:rPr>
          <w:b/>
          <w:bCs/>
        </w:rPr>
        <w:t>Groupe de travail en matière de roulement et de freinage</w:t>
      </w:r>
    </w:p>
    <w:p w:rsidR="00E662A8" w:rsidRPr="00260EE0" w:rsidRDefault="00E662A8" w:rsidP="00E662A8">
      <w:pPr>
        <w:spacing w:before="120"/>
        <w:jc w:val="both"/>
        <w:rPr>
          <w:b/>
          <w:lang w:val="en-US"/>
        </w:rPr>
      </w:pPr>
      <w:r w:rsidRPr="005619F1">
        <w:rPr>
          <w:b/>
          <w:bCs/>
        </w:rPr>
        <w:t>Quatre-vingt-</w:t>
      </w:r>
      <w:r>
        <w:rPr>
          <w:b/>
          <w:bCs/>
        </w:rPr>
        <w:t>trois</w:t>
      </w:r>
      <w:r w:rsidRPr="005619F1">
        <w:rPr>
          <w:b/>
          <w:bCs/>
        </w:rPr>
        <w:t>ième session</w:t>
      </w:r>
    </w:p>
    <w:p w:rsidR="00E662A8" w:rsidRPr="00E662A8" w:rsidRDefault="00E662A8" w:rsidP="00E662A8">
      <w:pPr>
        <w:jc w:val="both"/>
      </w:pPr>
      <w:r w:rsidRPr="00E662A8">
        <w:t>Genève, 2</w:t>
      </w:r>
      <w:r w:rsidR="008C708F">
        <w:t>3</w:t>
      </w:r>
      <w:r w:rsidRPr="00E662A8">
        <w:t>-2</w:t>
      </w:r>
      <w:r w:rsidR="008C708F">
        <w:t>7</w:t>
      </w:r>
      <w:r w:rsidRPr="00E662A8">
        <w:t xml:space="preserve"> j</w:t>
      </w:r>
      <w:r w:rsidRPr="00E662A8">
        <w:rPr>
          <w:lang w:eastAsia="ja-JP"/>
        </w:rPr>
        <w:t xml:space="preserve">anvier </w:t>
      </w:r>
      <w:r w:rsidRPr="00E662A8">
        <w:t>201</w:t>
      </w:r>
      <w:r w:rsidRPr="00E662A8">
        <w:rPr>
          <w:lang w:eastAsia="ja-JP"/>
        </w:rPr>
        <w:t>7</w:t>
      </w:r>
    </w:p>
    <w:p w:rsidR="00E662A8" w:rsidRPr="00E662A8" w:rsidRDefault="00E662A8" w:rsidP="00E662A8">
      <w:pPr>
        <w:jc w:val="both"/>
      </w:pPr>
      <w:r w:rsidRPr="00E662A8">
        <w:t>Point 9</w:t>
      </w:r>
      <w:r w:rsidR="00596552">
        <w:t> </w:t>
      </w:r>
      <w:r w:rsidRPr="00E662A8">
        <w:t>a) de l’ordre du jour provisoire</w:t>
      </w:r>
    </w:p>
    <w:p w:rsidR="00E662A8" w:rsidRPr="00E662A8" w:rsidRDefault="00E662A8" w:rsidP="00E662A8">
      <w:pPr>
        <w:rPr>
          <w:b/>
        </w:rPr>
      </w:pPr>
      <w:r w:rsidRPr="00E662A8">
        <w:rPr>
          <w:b/>
        </w:rPr>
        <w:t>Équipement</w:t>
      </w:r>
      <w:r>
        <w:rPr>
          <w:b/>
        </w:rPr>
        <w:t xml:space="preserve"> de direction </w:t>
      </w:r>
      <w:r w:rsidRPr="00E662A8">
        <w:rPr>
          <w:b/>
        </w:rPr>
        <w:t>: Règlement n</w:t>
      </w:r>
      <w:r w:rsidRPr="008C708F">
        <w:rPr>
          <w:b/>
          <w:vertAlign w:val="superscript"/>
        </w:rPr>
        <w:t>o</w:t>
      </w:r>
      <w:r w:rsidR="008C708F">
        <w:rPr>
          <w:b/>
        </w:rPr>
        <w:t> </w:t>
      </w:r>
      <w:r w:rsidRPr="00E662A8">
        <w:rPr>
          <w:b/>
        </w:rPr>
        <w:t>79</w:t>
      </w:r>
    </w:p>
    <w:p w:rsidR="00E662A8" w:rsidRPr="00CF20B1" w:rsidRDefault="00E662A8" w:rsidP="00E662A8">
      <w:pPr>
        <w:pStyle w:val="HChG"/>
      </w:pPr>
      <w:r>
        <w:tab/>
      </w:r>
      <w:r>
        <w:tab/>
      </w:r>
      <w:r w:rsidRPr="000F0F81">
        <w:t>Proposition d</w:t>
      </w:r>
      <w:r>
        <w:t>’</w:t>
      </w:r>
      <w:r w:rsidRPr="000F0F81">
        <w:t>amendements au Règlement n</w:t>
      </w:r>
      <w:r w:rsidRPr="00E662A8">
        <w:rPr>
          <w:vertAlign w:val="superscript"/>
        </w:rPr>
        <w:t>o</w:t>
      </w:r>
      <w:r>
        <w:t> 79</w:t>
      </w:r>
      <w:r>
        <w:br/>
        <w:t>(Équipement de direction)</w:t>
      </w:r>
    </w:p>
    <w:p w:rsidR="00E662A8" w:rsidRPr="008C708F" w:rsidRDefault="00E662A8" w:rsidP="00E662A8">
      <w:pPr>
        <w:pStyle w:val="H1G"/>
        <w:rPr>
          <w:b w:val="0"/>
          <w:sz w:val="20"/>
        </w:rPr>
      </w:pPr>
      <w:r>
        <w:tab/>
      </w:r>
      <w:r>
        <w:tab/>
        <w:t>Communication de l’expert de la Commission européenne</w:t>
      </w:r>
      <w:r w:rsidRPr="008C708F">
        <w:rPr>
          <w:rStyle w:val="Appelnotedebasdep"/>
          <w:b w:val="0"/>
          <w:sz w:val="20"/>
          <w:vertAlign w:val="baseline"/>
        </w:rPr>
        <w:footnoteReference w:customMarkFollows="1" w:id="2"/>
        <w:t>*</w:t>
      </w:r>
    </w:p>
    <w:p w:rsidR="00E662A8" w:rsidRPr="00CF20B1" w:rsidRDefault="00E662A8" w:rsidP="00E662A8">
      <w:pPr>
        <w:pStyle w:val="SingleTxtG"/>
        <w:ind w:firstLine="567"/>
      </w:pPr>
      <w:r w:rsidRPr="00E662A8">
        <w:t>Le texte reproduit ci-après a été établi par l’expert de la Commission européenne et déjà proposé pour examen à la quatre-vingt-deuxième session du Groupe de travail en matière de roulement et de freinage (GRRF). La proposition vise à clarifier les prescriptions énoncées à l’annexe 6 du Règlement n</w:t>
      </w:r>
      <w:r w:rsidRPr="008C708F">
        <w:rPr>
          <w:vertAlign w:val="superscript"/>
        </w:rPr>
        <w:t>o</w:t>
      </w:r>
      <w:r w:rsidR="008C708F">
        <w:t> </w:t>
      </w:r>
      <w:r w:rsidRPr="00E662A8">
        <w:t>79. Les modifications qu’il est proposé d’apporter au texte actuel du Règlement sont signalées en caractères gras pour les ajouts ou biffés pour les suppressions</w:t>
      </w:r>
      <w:r>
        <w:t>.</w:t>
      </w:r>
    </w:p>
    <w:p w:rsidR="00E662A8" w:rsidRDefault="00E662A8" w:rsidP="00E662A8">
      <w:pPr>
        <w:pStyle w:val="HChG"/>
      </w:pPr>
      <w:r w:rsidRPr="00CF20B1">
        <w:br w:type="page"/>
      </w:r>
      <w:r>
        <w:lastRenderedPageBreak/>
        <w:tab/>
        <w:t>I.</w:t>
      </w:r>
      <w:r>
        <w:tab/>
      </w:r>
      <w:r w:rsidRPr="00E662A8">
        <w:t>Proposition</w:t>
      </w:r>
    </w:p>
    <w:p w:rsidR="00E662A8" w:rsidRDefault="00E662A8" w:rsidP="00DF69C0">
      <w:pPr>
        <w:pStyle w:val="SingleTxtG"/>
        <w:keepNext/>
        <w:tabs>
          <w:tab w:val="left" w:leader="dot" w:pos="8080"/>
        </w:tabs>
        <w:spacing w:before="120"/>
        <w:ind w:left="2268" w:hanging="1134"/>
        <w:rPr>
          <w:i/>
          <w:iCs/>
        </w:rPr>
      </w:pPr>
      <w:r w:rsidRPr="003C42AF">
        <w:rPr>
          <w:i/>
          <w:iCs/>
        </w:rPr>
        <w:t>Annexe 6</w:t>
      </w:r>
    </w:p>
    <w:p w:rsidR="00E662A8" w:rsidRDefault="00E662A8" w:rsidP="00DF69C0">
      <w:pPr>
        <w:pStyle w:val="SingleTxtG"/>
        <w:keepNext/>
        <w:tabs>
          <w:tab w:val="left" w:leader="dot" w:pos="8080"/>
        </w:tabs>
        <w:spacing w:before="120"/>
        <w:ind w:left="2268" w:hanging="1134"/>
        <w:rPr>
          <w:i/>
          <w:iCs/>
        </w:rPr>
      </w:pPr>
      <w:r w:rsidRPr="003C42AF">
        <w:rPr>
          <w:i/>
          <w:iCs/>
        </w:rPr>
        <w:t xml:space="preserve">Paragraphe 1, </w:t>
      </w:r>
      <w:r w:rsidRPr="008C708F">
        <w:rPr>
          <w:iCs/>
        </w:rPr>
        <w:t>modifier comme suit (insérer un dernier alinéa)</w:t>
      </w:r>
      <w:r>
        <w:rPr>
          <w:i/>
          <w:iCs/>
        </w:rPr>
        <w:t> </w:t>
      </w:r>
      <w:r w:rsidRPr="008C708F">
        <w:rPr>
          <w:iCs/>
        </w:rPr>
        <w:t>:</w:t>
      </w:r>
    </w:p>
    <w:p w:rsidR="00E662A8" w:rsidRDefault="00E662A8" w:rsidP="00DF69C0">
      <w:pPr>
        <w:pStyle w:val="SingleTxtG"/>
        <w:keepNext/>
        <w:tabs>
          <w:tab w:val="left" w:leader="dot" w:pos="8080"/>
        </w:tabs>
        <w:spacing w:before="120"/>
        <w:ind w:left="2268" w:hanging="1134"/>
      </w:pPr>
      <w:r>
        <w:t>« 1.</w:t>
      </w:r>
      <w:r>
        <w:tab/>
      </w:r>
      <w:r>
        <w:rPr>
          <w:lang w:val="fr-FR"/>
        </w:rPr>
        <w:t>Généralités</w:t>
      </w:r>
    </w:p>
    <w:p w:rsidR="00E662A8" w:rsidRDefault="00E662A8" w:rsidP="00E662A8">
      <w:pPr>
        <w:pStyle w:val="SingleTxtG"/>
        <w:tabs>
          <w:tab w:val="left" w:leader="dot" w:pos="1134"/>
          <w:tab w:val="left" w:pos="2268"/>
          <w:tab w:val="left" w:leader="dot" w:pos="8080"/>
        </w:tabs>
        <w:spacing w:before="120"/>
      </w:pPr>
      <w:r>
        <w:tab/>
        <w:t>…</w:t>
      </w:r>
    </w:p>
    <w:p w:rsidR="00E662A8" w:rsidRPr="00FE5465" w:rsidRDefault="00E662A8" w:rsidP="00E662A8">
      <w:pPr>
        <w:pStyle w:val="SingleTxtG"/>
        <w:ind w:left="2268"/>
      </w:pPr>
      <w:r w:rsidRPr="00FE5465">
        <w:rPr>
          <w:b/>
        </w:rPr>
        <w:tab/>
      </w:r>
      <w:r w:rsidRPr="00B12BA6">
        <w:rPr>
          <w:b/>
        </w:rPr>
        <w:t xml:space="preserve">Il est recommandé que le service technique soit associé </w:t>
      </w:r>
      <w:r>
        <w:rPr>
          <w:b/>
        </w:rPr>
        <w:t xml:space="preserve">dès le </w:t>
      </w:r>
      <w:r w:rsidRPr="00B12BA6">
        <w:rPr>
          <w:b/>
        </w:rPr>
        <w:t>stade précoce au processus de conception, en vue d</w:t>
      </w:r>
      <w:r>
        <w:rPr>
          <w:b/>
        </w:rPr>
        <w:t>’</w:t>
      </w:r>
      <w:r w:rsidRPr="00B12BA6">
        <w:rPr>
          <w:b/>
        </w:rPr>
        <w:t xml:space="preserve">une évaluation effective du </w:t>
      </w:r>
      <w:r w:rsidR="008C708F">
        <w:rPr>
          <w:b/>
        </w:rPr>
        <w:t>“</w:t>
      </w:r>
      <w:r w:rsidRPr="00B12BA6">
        <w:rPr>
          <w:b/>
        </w:rPr>
        <w:t>système</w:t>
      </w:r>
      <w:r w:rsidR="008C708F">
        <w:rPr>
          <w:b/>
        </w:rPr>
        <w:t>”</w:t>
      </w:r>
      <w:r w:rsidRPr="00B12BA6">
        <w:rPr>
          <w:b/>
        </w:rPr>
        <w:t xml:space="preserve"> en fonction des exigences de la présente annexe.</w:t>
      </w:r>
      <w:r w:rsidR="008C708F">
        <w:rPr>
          <w:b/>
        </w:rPr>
        <w:t> </w:t>
      </w:r>
      <w:r w:rsidR="008C708F" w:rsidRPr="008C708F">
        <w:t>».</w:t>
      </w:r>
    </w:p>
    <w:p w:rsidR="00E662A8" w:rsidRPr="00FE5465" w:rsidRDefault="00E662A8" w:rsidP="00DF69C0">
      <w:pPr>
        <w:keepNext/>
        <w:spacing w:after="120"/>
        <w:ind w:left="1134"/>
        <w:rPr>
          <w:rStyle w:val="SingleTxtGChar"/>
        </w:rPr>
      </w:pPr>
      <w:r>
        <w:rPr>
          <w:i/>
          <w:iCs/>
        </w:rPr>
        <w:t xml:space="preserve">Paragraphe 3.2, </w:t>
      </w:r>
      <w:r>
        <w:rPr>
          <w:iCs/>
        </w:rPr>
        <w:t>modifier comme suit :</w:t>
      </w:r>
    </w:p>
    <w:p w:rsidR="00E662A8" w:rsidRPr="00FE5465" w:rsidRDefault="00E662A8" w:rsidP="00DF69C0">
      <w:pPr>
        <w:keepNext/>
        <w:spacing w:after="120"/>
        <w:ind w:left="2268" w:right="1134" w:hanging="1134"/>
        <w:jc w:val="both"/>
        <w:rPr>
          <w:rStyle w:val="SingleTxtGChar"/>
        </w:rPr>
      </w:pPr>
      <w:r>
        <w:t>« </w:t>
      </w:r>
      <w:r w:rsidR="008C708F">
        <w:t>3.2</w:t>
      </w:r>
      <w:r>
        <w:tab/>
      </w:r>
      <w:r>
        <w:rPr>
          <w:lang w:val="fr-FR"/>
        </w:rPr>
        <w:t xml:space="preserve">Description de la </w:t>
      </w:r>
      <w:r>
        <w:rPr>
          <w:b/>
        </w:rPr>
        <w:t>mé</w:t>
      </w:r>
      <w:r w:rsidRPr="000227ED">
        <w:rPr>
          <w:b/>
        </w:rPr>
        <w:t>thodolog</w:t>
      </w:r>
      <w:r>
        <w:rPr>
          <w:b/>
        </w:rPr>
        <w:t>ie</w:t>
      </w:r>
      <w:r w:rsidRPr="000227ED">
        <w:rPr>
          <w:b/>
        </w:rPr>
        <w:t xml:space="preserve"> </w:t>
      </w:r>
      <w:r>
        <w:rPr>
          <w:b/>
        </w:rPr>
        <w:t xml:space="preserve">du </w:t>
      </w:r>
      <w:r w:rsidRPr="000227ED">
        <w:rPr>
          <w:b/>
        </w:rPr>
        <w:t>process</w:t>
      </w:r>
      <w:r>
        <w:rPr>
          <w:b/>
        </w:rPr>
        <w:t>us de conception et</w:t>
      </w:r>
      <w:r w:rsidRPr="000227ED">
        <w:rPr>
          <w:b/>
        </w:rPr>
        <w:t xml:space="preserve"> </w:t>
      </w:r>
      <w:r>
        <w:rPr>
          <w:lang w:val="fr-FR"/>
        </w:rPr>
        <w:t xml:space="preserve">des fonctions du </w:t>
      </w:r>
      <w:r w:rsidRPr="00E662A8">
        <w:t>“</w:t>
      </w:r>
      <w:r>
        <w:rPr>
          <w:lang w:val="fr-FR"/>
        </w:rPr>
        <w:t>système</w:t>
      </w:r>
      <w:r w:rsidRPr="00E662A8">
        <w:t>”</w:t>
      </w:r>
    </w:p>
    <w:p w:rsidR="00E662A8" w:rsidRPr="00FE5465" w:rsidRDefault="00E662A8" w:rsidP="00E662A8">
      <w:pPr>
        <w:pStyle w:val="SingleTxtG"/>
        <w:ind w:left="2268"/>
        <w:rPr>
          <w:b/>
        </w:rPr>
      </w:pPr>
      <w:r>
        <w:rPr>
          <w:b/>
        </w:rPr>
        <w:t xml:space="preserve">Il devrait être présenté </w:t>
      </w:r>
      <w:r w:rsidRPr="00B12BA6">
        <w:rPr>
          <w:b/>
        </w:rPr>
        <w:t xml:space="preserve">une description de la méthodologie appliquée pour la conception du </w:t>
      </w:r>
      <w:r>
        <w:rPr>
          <w:b/>
        </w:rPr>
        <w:t>“</w:t>
      </w:r>
      <w:r w:rsidRPr="00B12BA6">
        <w:rPr>
          <w:b/>
        </w:rPr>
        <w:t>système</w:t>
      </w:r>
      <w:r>
        <w:rPr>
          <w:b/>
        </w:rPr>
        <w:t>”</w:t>
      </w:r>
      <w:r w:rsidRPr="00B12BA6">
        <w:rPr>
          <w:b/>
        </w:rPr>
        <w:t>, qui comprenne les processus et les normes appliqués dans le cycle de conception et de développement, par exemple pour l</w:t>
      </w:r>
      <w:r>
        <w:rPr>
          <w:b/>
        </w:rPr>
        <w:t>’</w:t>
      </w:r>
      <w:r w:rsidRPr="00B12BA6">
        <w:rPr>
          <w:b/>
        </w:rPr>
        <w:t>industrie automobile des normes telles que: ISO 26262, MISRA C et Automotive SPICE. L</w:t>
      </w:r>
      <w:r>
        <w:rPr>
          <w:b/>
        </w:rPr>
        <w:t>’</w:t>
      </w:r>
      <w:r w:rsidRPr="00B12BA6">
        <w:rPr>
          <w:b/>
        </w:rPr>
        <w:t>application de la méthodologie doit être démontrée par un rapport d</w:t>
      </w:r>
      <w:r>
        <w:rPr>
          <w:b/>
        </w:rPr>
        <w:t>’</w:t>
      </w:r>
      <w:r w:rsidRPr="00B12BA6">
        <w:rPr>
          <w:b/>
        </w:rPr>
        <w:t>évaluation établi par une autorité compétente. Ce</w:t>
      </w:r>
      <w:r>
        <w:rPr>
          <w:b/>
        </w:rPr>
        <w:t>tte</w:t>
      </w:r>
      <w:r w:rsidRPr="00B12BA6">
        <w:rPr>
          <w:b/>
        </w:rPr>
        <w:t xml:space="preserve"> </w:t>
      </w:r>
      <w:r>
        <w:rPr>
          <w:b/>
        </w:rPr>
        <w:t xml:space="preserve">procédure </w:t>
      </w:r>
      <w:r w:rsidRPr="00B12BA6">
        <w:rPr>
          <w:b/>
        </w:rPr>
        <w:t>peut inclure un certificat d</w:t>
      </w:r>
      <w:r>
        <w:rPr>
          <w:b/>
        </w:rPr>
        <w:t>’</w:t>
      </w:r>
      <w:r w:rsidRPr="00B12BA6">
        <w:rPr>
          <w:b/>
        </w:rPr>
        <w:t>accréditation délivré par un organisme d</w:t>
      </w:r>
      <w:r>
        <w:rPr>
          <w:b/>
        </w:rPr>
        <w:t>’</w:t>
      </w:r>
      <w:r w:rsidRPr="00B12BA6">
        <w:rPr>
          <w:b/>
        </w:rPr>
        <w:t>accréditation.</w:t>
      </w:r>
      <w:r>
        <w:t> ».</w:t>
      </w:r>
    </w:p>
    <w:p w:rsidR="00E662A8" w:rsidRDefault="00E662A8" w:rsidP="00DF69C0">
      <w:pPr>
        <w:pStyle w:val="SingleTxtG"/>
        <w:keepNext/>
      </w:pPr>
      <w:r>
        <w:rPr>
          <w:i/>
          <w:iCs/>
        </w:rPr>
        <w:t xml:space="preserve">Paragraphe 3.4.4, </w:t>
      </w:r>
      <w:r>
        <w:rPr>
          <w:iCs/>
        </w:rPr>
        <w:t>modifier comme suit :</w:t>
      </w:r>
    </w:p>
    <w:p w:rsidR="00E662A8" w:rsidRDefault="00E662A8" w:rsidP="00DF69C0">
      <w:pPr>
        <w:pStyle w:val="SingleTxtG"/>
        <w:keepNext/>
        <w:ind w:left="2268" w:hanging="1134"/>
      </w:pPr>
      <w:r>
        <w:t>« </w:t>
      </w:r>
      <w:r w:rsidR="008C708F">
        <w:t>3.4.4</w:t>
      </w:r>
      <w:r>
        <w:tab/>
      </w:r>
      <w:r>
        <w:rPr>
          <w:lang w:val="fr-FR"/>
        </w:rPr>
        <w:t xml:space="preserve">La documentation doit être accompagnée d’une analyse qui montre globalement comment le système se comportera lorsque surviendra l’un quelconque des </w:t>
      </w:r>
      <w:r w:rsidRPr="00E662A8">
        <w:t>dangers</w:t>
      </w:r>
      <w:r>
        <w:rPr>
          <w:lang w:val="fr-FR"/>
        </w:rPr>
        <w:t xml:space="preserve"> </w:t>
      </w:r>
      <w:r w:rsidRPr="00250987">
        <w:rPr>
          <w:b/>
          <w:lang w:val="fr-FR"/>
        </w:rPr>
        <w:t>ou</w:t>
      </w:r>
      <w:r>
        <w:rPr>
          <w:lang w:val="fr-FR"/>
        </w:rPr>
        <w:t xml:space="preserve"> défauts </w:t>
      </w:r>
      <w:r w:rsidRPr="00250987">
        <w:rPr>
          <w:strike/>
          <w:lang w:val="fr-FR"/>
        </w:rPr>
        <w:t>spécifiés</w:t>
      </w:r>
      <w:r>
        <w:rPr>
          <w:lang w:val="fr-FR"/>
        </w:rPr>
        <w:t xml:space="preserve"> </w:t>
      </w:r>
      <w:r w:rsidRPr="00250987">
        <w:rPr>
          <w:b/>
          <w:lang w:val="fr-FR"/>
        </w:rPr>
        <w:t>identifiés</w:t>
      </w:r>
      <w:r>
        <w:rPr>
          <w:lang w:val="fr-FR"/>
        </w:rPr>
        <w:t xml:space="preserve"> ayant une incidence sur l’efficacité ou la sécurité de la conduite du véhicule.</w:t>
      </w:r>
    </w:p>
    <w:p w:rsidR="00E662A8" w:rsidRPr="00250987" w:rsidRDefault="00E662A8" w:rsidP="00E662A8">
      <w:pPr>
        <w:pStyle w:val="SingleTxtG"/>
        <w:ind w:left="2268"/>
        <w:rPr>
          <w:strike/>
          <w:lang w:val="fr-FR"/>
        </w:rPr>
      </w:pPr>
      <w:r w:rsidRPr="00250987">
        <w:rPr>
          <w:strike/>
          <w:lang w:val="fr-FR"/>
        </w:rPr>
        <w:t>Pour ce faire, on peut s</w:t>
      </w:r>
      <w:r>
        <w:rPr>
          <w:strike/>
          <w:lang w:val="fr-FR"/>
        </w:rPr>
        <w:t>’</w:t>
      </w:r>
      <w:r w:rsidRPr="00250987">
        <w:rPr>
          <w:strike/>
          <w:lang w:val="fr-FR"/>
        </w:rPr>
        <w:t>appuyer sur une analyse des modes de défaillance et de leurs effets, une analyse par arbre de défaillance ou toute procédure similaire adaptée aux considérations de sécurité du système.</w:t>
      </w:r>
    </w:p>
    <w:p w:rsidR="00E662A8" w:rsidRDefault="00E662A8" w:rsidP="00E662A8">
      <w:pPr>
        <w:pStyle w:val="SingleTxtG"/>
        <w:ind w:left="2268"/>
      </w:pPr>
      <w:r>
        <w:rPr>
          <w:lang w:val="fr-FR"/>
        </w:rPr>
        <w:t>L’approche ou les approches analytiques choisies doivent être mises au point et gérées par le constructeur et soumises pour inspection du service technique au moment de l’homologation de type.</w:t>
      </w:r>
      <w:r>
        <w:t xml:space="preserve"> </w:t>
      </w:r>
    </w:p>
    <w:p w:rsidR="00E662A8" w:rsidRDefault="00E662A8" w:rsidP="00E662A8">
      <w:pPr>
        <w:spacing w:after="120" w:line="240" w:lineRule="auto"/>
        <w:ind w:left="2268" w:right="1134"/>
        <w:contextualSpacing/>
        <w:jc w:val="both"/>
        <w:rPr>
          <w:b/>
        </w:rPr>
      </w:pPr>
      <w:r w:rsidRPr="0017136E">
        <w:rPr>
          <w:b/>
        </w:rPr>
        <w:t>Le service technique doit effectuer un audit de l</w:t>
      </w:r>
      <w:r>
        <w:rPr>
          <w:b/>
        </w:rPr>
        <w:t>’</w:t>
      </w:r>
      <w:r w:rsidRPr="0017136E">
        <w:rPr>
          <w:b/>
        </w:rPr>
        <w:t>application de la ou des approches d</w:t>
      </w:r>
      <w:r>
        <w:rPr>
          <w:b/>
        </w:rPr>
        <w:t>’</w:t>
      </w:r>
      <w:r w:rsidRPr="0017136E">
        <w:rPr>
          <w:b/>
        </w:rPr>
        <w:t>analyse. L</w:t>
      </w:r>
      <w:r>
        <w:rPr>
          <w:b/>
        </w:rPr>
        <w:t>’</w:t>
      </w:r>
      <w:r w:rsidRPr="0017136E">
        <w:rPr>
          <w:b/>
        </w:rPr>
        <w:t xml:space="preserve">audit doit </w:t>
      </w:r>
      <w:r>
        <w:rPr>
          <w:b/>
        </w:rPr>
        <w:t>inclure les éléments suivants </w:t>
      </w:r>
      <w:r w:rsidRPr="0017136E">
        <w:rPr>
          <w:b/>
        </w:rPr>
        <w:t>:</w:t>
      </w:r>
    </w:p>
    <w:p w:rsidR="00E662A8" w:rsidRPr="00E662A8" w:rsidRDefault="00E662A8" w:rsidP="00E662A8">
      <w:pPr>
        <w:pStyle w:val="Bullet2G"/>
        <w:rPr>
          <w:b/>
        </w:rPr>
      </w:pPr>
      <w:r w:rsidRPr="00E662A8">
        <w:rPr>
          <w:b/>
        </w:rPr>
        <w:t>Vérification de l’approche de sécurité au niveau du concept (véhicule) avec la confirmation qu’elle inclut l’examen des interactions avec d’autres systèmes du véhicule. Ce contrôle peut être fondé sur une analyse Risques et aptitude à l’exploitation (HAZOP) ou tout autre procédé semblable approprié à la sécurité du système</w:t>
      </w:r>
      <w:r w:rsidR="008C708F">
        <w:rPr>
          <w:b/>
        </w:rPr>
        <w:t> ;</w:t>
      </w:r>
    </w:p>
    <w:p w:rsidR="00E662A8" w:rsidRPr="00E662A8" w:rsidRDefault="00E662A8" w:rsidP="00E662A8">
      <w:pPr>
        <w:pStyle w:val="Bullet2G"/>
        <w:rPr>
          <w:b/>
        </w:rPr>
      </w:pPr>
      <w:r w:rsidRPr="00E662A8">
        <w:rPr>
          <w:b/>
        </w:rPr>
        <w:t>Vérification de l’approche de sécurité au niveau du système. Ce contrôle peut être fondé sur une analyse Mode de défaillance et effets (FMEA), une analyse Arbre de défaillance (FTA) ou tout autre procédé semblable approprié à la sécurité du système</w:t>
      </w:r>
      <w:r w:rsidR="008C708F">
        <w:rPr>
          <w:b/>
        </w:rPr>
        <w:t> ;</w:t>
      </w:r>
    </w:p>
    <w:p w:rsidR="00E662A8" w:rsidRPr="008C708F" w:rsidRDefault="00E662A8" w:rsidP="008C708F">
      <w:pPr>
        <w:pStyle w:val="Bullet2G"/>
        <w:keepNext/>
        <w:keepLines/>
        <w:rPr>
          <w:b/>
        </w:rPr>
      </w:pPr>
      <w:r w:rsidRPr="008C708F">
        <w:rPr>
          <w:b/>
        </w:rPr>
        <w:lastRenderedPageBreak/>
        <w:t xml:space="preserve">Vérification des plans de validation. Ce contrôle peut inclure la simulation Matériel dans la boucle (HIL) et des essais pratiques sur route avec des conducteurs experts et/ou non experts ou tout autre essai similaire approprié pour la validation. </w:t>
      </w:r>
    </w:p>
    <w:p w:rsidR="00E662A8" w:rsidRDefault="00E662A8" w:rsidP="00E662A8">
      <w:pPr>
        <w:pStyle w:val="SingleTxtG"/>
        <w:ind w:left="2268"/>
        <w:rPr>
          <w:b/>
        </w:rPr>
      </w:pPr>
      <w:r w:rsidRPr="00E11E46">
        <w:rPr>
          <w:b/>
        </w:rPr>
        <w:t>La vérification consiste en des contrôles ponctuels des risques et des défauts sélectionnés pour démontrer que l</w:t>
      </w:r>
      <w:r>
        <w:rPr>
          <w:b/>
        </w:rPr>
        <w:t>’</w:t>
      </w:r>
      <w:r w:rsidRPr="00E11E46">
        <w:rPr>
          <w:b/>
        </w:rPr>
        <w:t xml:space="preserve">argumentation sur laquelle </w:t>
      </w:r>
      <w:r>
        <w:rPr>
          <w:b/>
        </w:rPr>
        <w:t>est</w:t>
      </w:r>
      <w:r w:rsidRPr="00E11E46">
        <w:rPr>
          <w:b/>
        </w:rPr>
        <w:t xml:space="preserve"> bas</w:t>
      </w:r>
      <w:r>
        <w:rPr>
          <w:b/>
        </w:rPr>
        <w:t>é</w:t>
      </w:r>
      <w:r w:rsidRPr="00E11E46">
        <w:rPr>
          <w:b/>
        </w:rPr>
        <w:t xml:space="preserve"> le concept de sécurité est compréhensible et logique et que les plans de validation sont appropriés et ont été exécutés.</w:t>
      </w:r>
    </w:p>
    <w:p w:rsidR="00E662A8" w:rsidRPr="00E662A8" w:rsidRDefault="00E662A8" w:rsidP="00E662A8">
      <w:pPr>
        <w:pStyle w:val="SingleTxtG"/>
        <w:ind w:left="2268"/>
      </w:pPr>
      <w:r w:rsidRPr="00E11E46">
        <w:rPr>
          <w:b/>
        </w:rPr>
        <w:t>Des recommandation</w:t>
      </w:r>
      <w:r>
        <w:rPr>
          <w:b/>
        </w:rPr>
        <w:t>s peuvent être faites pour que d</w:t>
      </w:r>
      <w:r w:rsidRPr="00E11E46">
        <w:rPr>
          <w:b/>
        </w:rPr>
        <w:t>es essais soient effec</w:t>
      </w:r>
      <w:r>
        <w:rPr>
          <w:b/>
        </w:rPr>
        <w:t>tués conformément au paragraphe </w:t>
      </w:r>
      <w:r w:rsidRPr="00E11E46">
        <w:rPr>
          <w:b/>
        </w:rPr>
        <w:t>4. afin de vérifier le concept</w:t>
      </w:r>
      <w:r>
        <w:rPr>
          <w:b/>
        </w:rPr>
        <w:t xml:space="preserve"> de sécurité. </w:t>
      </w:r>
      <w:r w:rsidRPr="00E662A8">
        <w:t>».</w:t>
      </w:r>
    </w:p>
    <w:p w:rsidR="00E662A8" w:rsidRDefault="00E662A8" w:rsidP="00DF69C0">
      <w:pPr>
        <w:pStyle w:val="SingleTxtG"/>
        <w:keepNext/>
      </w:pPr>
      <w:r w:rsidRPr="00C77E79">
        <w:rPr>
          <w:i/>
        </w:rPr>
        <w:t xml:space="preserve">Ajouter le nouveau paragraphe 3.4.4.2, </w:t>
      </w:r>
      <w:r w:rsidRPr="00C77E79">
        <w:t>comme suit</w:t>
      </w:r>
      <w:r>
        <w:t> :</w:t>
      </w:r>
    </w:p>
    <w:p w:rsidR="00E662A8" w:rsidRPr="000227ED" w:rsidRDefault="00E662A8" w:rsidP="00DF69C0">
      <w:pPr>
        <w:pStyle w:val="SingleTxtG"/>
        <w:keepNext/>
        <w:ind w:left="2268" w:hanging="1134"/>
      </w:pPr>
      <w:r>
        <w:t>« </w:t>
      </w:r>
      <w:r w:rsidRPr="009B0479">
        <w:rPr>
          <w:b/>
        </w:rPr>
        <w:t>3.4.4.2</w:t>
      </w:r>
      <w:r w:rsidRPr="009B0479">
        <w:rPr>
          <w:b/>
        </w:rPr>
        <w:tab/>
      </w:r>
      <w:r w:rsidRPr="00C77E79">
        <w:rPr>
          <w:b/>
        </w:rPr>
        <w:t xml:space="preserve">Cette documentation doit décrire la résistance du </w:t>
      </w:r>
      <w:r>
        <w:rPr>
          <w:b/>
        </w:rPr>
        <w:t>“</w:t>
      </w:r>
      <w:r w:rsidRPr="00C77E79">
        <w:rPr>
          <w:b/>
        </w:rPr>
        <w:t>système</w:t>
      </w:r>
      <w:r>
        <w:rPr>
          <w:b/>
        </w:rPr>
        <w:t>”</w:t>
      </w:r>
      <w:r w:rsidRPr="00C77E79">
        <w:rPr>
          <w:b/>
        </w:rPr>
        <w:t xml:space="preserve"> aux facteurs environnementaux, p</w:t>
      </w:r>
      <w:r w:rsidR="008C708F">
        <w:rPr>
          <w:b/>
        </w:rPr>
        <w:t xml:space="preserve">ar exemple, </w:t>
      </w:r>
      <w:r w:rsidRPr="00C77E79">
        <w:rPr>
          <w:b/>
        </w:rPr>
        <w:t>résistance aux effets climatiques, résistance mécanique et compatibilité électromagnétique</w:t>
      </w:r>
      <w:r w:rsidRPr="009B0479">
        <w:rPr>
          <w:b/>
        </w:rPr>
        <w:t>.</w:t>
      </w:r>
      <w:r>
        <w:t> ».</w:t>
      </w:r>
    </w:p>
    <w:p w:rsidR="00E662A8" w:rsidRDefault="00E662A8" w:rsidP="00DF69C0">
      <w:pPr>
        <w:pStyle w:val="SingleTxtG"/>
        <w:keepNext/>
        <w:ind w:left="2268" w:hanging="1134"/>
      </w:pPr>
      <w:r w:rsidRPr="006F7036">
        <w:rPr>
          <w:i/>
        </w:rPr>
        <w:t>Paragraph</w:t>
      </w:r>
      <w:r>
        <w:rPr>
          <w:i/>
        </w:rPr>
        <w:t>e</w:t>
      </w:r>
      <w:r w:rsidRPr="006F7036">
        <w:rPr>
          <w:i/>
        </w:rPr>
        <w:t xml:space="preserve"> 4.1.2</w:t>
      </w:r>
      <w:r>
        <w:t xml:space="preserve">, </w:t>
      </w:r>
      <w:r>
        <w:rPr>
          <w:iCs/>
        </w:rPr>
        <w:t>modifier comme suit </w:t>
      </w:r>
      <w:r>
        <w:t>:</w:t>
      </w:r>
    </w:p>
    <w:p w:rsidR="00E662A8" w:rsidRDefault="00E662A8" w:rsidP="00DF69C0">
      <w:pPr>
        <w:keepNext/>
        <w:spacing w:after="120"/>
        <w:ind w:left="2268" w:right="1134" w:hanging="1134"/>
        <w:jc w:val="both"/>
      </w:pPr>
      <w:r>
        <w:t>« 4.1.2</w:t>
      </w:r>
      <w:r>
        <w:tab/>
        <w:t>Vérification du concept de sécurité défini au paragraphe 3.4</w:t>
      </w:r>
    </w:p>
    <w:p w:rsidR="00E662A8" w:rsidRDefault="00E662A8" w:rsidP="00DF69C0">
      <w:pPr>
        <w:pStyle w:val="SingleTxtG"/>
        <w:keepNext/>
        <w:ind w:left="2268"/>
      </w:pPr>
      <w:r w:rsidRPr="00157AB3">
        <w:t>Il doit être procédé, au gré de l</w:t>
      </w:r>
      <w:r>
        <w:t>’</w:t>
      </w:r>
      <w:r w:rsidRPr="00157AB3">
        <w:t>autorité d</w:t>
      </w:r>
      <w:r>
        <w:t>’</w:t>
      </w:r>
      <w:r w:rsidRPr="00157AB3">
        <w:t xml:space="preserve">homologation de type, à une vérification de la réponse du </w:t>
      </w:r>
      <w:r>
        <w:t>“</w:t>
      </w:r>
      <w:r w:rsidRPr="00157AB3">
        <w:t>système</w:t>
      </w:r>
      <w:r>
        <w:t>”</w:t>
      </w:r>
      <w:r w:rsidRPr="00157AB3">
        <w:t xml:space="preserve"> dans des conditions de défaillance de tel ou tel module, en appliquant des signaux de sortie appropriés aux modules électriques ou aux </w:t>
      </w:r>
      <w:r>
        <w:t>composants</w:t>
      </w:r>
      <w:r w:rsidRPr="00157AB3">
        <w:t xml:space="preserve"> mécaniques </w:t>
      </w:r>
      <w:r>
        <w:t xml:space="preserve">situés en aval </w:t>
      </w:r>
      <w:r w:rsidRPr="00157AB3">
        <w:t>afin de simuler les effets de déf</w:t>
      </w:r>
      <w:r>
        <w:t>auts</w:t>
      </w:r>
      <w:r w:rsidRPr="00157AB3">
        <w:t xml:space="preserve"> internes dans ce module.</w:t>
      </w:r>
    </w:p>
    <w:p w:rsidR="00E662A8" w:rsidRPr="000227ED" w:rsidRDefault="00E662A8" w:rsidP="00E662A8">
      <w:pPr>
        <w:pStyle w:val="SingleTxtG"/>
        <w:ind w:left="2268"/>
        <w:rPr>
          <w:b/>
        </w:rPr>
      </w:pPr>
      <w:r w:rsidRPr="009048E8">
        <w:rPr>
          <w:b/>
        </w:rPr>
        <w:t>Il est recommandé que ces essais incluent les aspects qui ont un impact sur la maîtrise des véhicules et sur l</w:t>
      </w:r>
      <w:r>
        <w:rPr>
          <w:b/>
        </w:rPr>
        <w:t>’</w:t>
      </w:r>
      <w:r w:rsidRPr="009048E8">
        <w:rPr>
          <w:b/>
        </w:rPr>
        <w:t>information donnée à l</w:t>
      </w:r>
      <w:r>
        <w:rPr>
          <w:b/>
        </w:rPr>
        <w:t>’</w:t>
      </w:r>
      <w:r w:rsidRPr="009048E8">
        <w:rPr>
          <w:b/>
        </w:rPr>
        <w:t>utilisateur (aspects</w:t>
      </w:r>
      <w:r>
        <w:rPr>
          <w:b/>
        </w:rPr>
        <w:t xml:space="preserve"> IHM</w:t>
      </w:r>
      <w:r w:rsidRPr="009048E8">
        <w:rPr>
          <w:b/>
        </w:rPr>
        <w:t xml:space="preserve"> </w:t>
      </w:r>
      <w:r>
        <w:rPr>
          <w:b/>
        </w:rPr>
        <w:t>( </w:t>
      </w:r>
      <w:r w:rsidRPr="009048E8">
        <w:rPr>
          <w:b/>
        </w:rPr>
        <w:t>interface homme/machine</w:t>
      </w:r>
      <w:r>
        <w:rPr>
          <w:b/>
        </w:rPr>
        <w:t> ))</w:t>
      </w:r>
      <w:r w:rsidRPr="000227ED">
        <w:rPr>
          <w:b/>
        </w:rPr>
        <w:t>.</w:t>
      </w:r>
      <w:r>
        <w:t> ».</w:t>
      </w:r>
    </w:p>
    <w:p w:rsidR="00E662A8" w:rsidRDefault="00E662A8" w:rsidP="00DF69C0">
      <w:pPr>
        <w:pStyle w:val="SingleTxtG"/>
        <w:keepNext/>
        <w:ind w:left="2268" w:hanging="1134"/>
      </w:pPr>
      <w:r w:rsidRPr="00B624E4">
        <w:rPr>
          <w:i/>
        </w:rPr>
        <w:t>Paragraph</w:t>
      </w:r>
      <w:r>
        <w:rPr>
          <w:i/>
        </w:rPr>
        <w:t>e</w:t>
      </w:r>
      <w:r w:rsidRPr="00B624E4">
        <w:rPr>
          <w:i/>
        </w:rPr>
        <w:t xml:space="preserve"> 5,</w:t>
      </w:r>
      <w:r>
        <w:t xml:space="preserve"> </w:t>
      </w:r>
      <w:r>
        <w:rPr>
          <w:iCs/>
        </w:rPr>
        <w:t>modifier comme suit</w:t>
      </w:r>
      <w:r w:rsidR="00B80548">
        <w:rPr>
          <w:iCs/>
        </w:rPr>
        <w:t> </w:t>
      </w:r>
      <w:r>
        <w:t>:</w:t>
      </w:r>
    </w:p>
    <w:p w:rsidR="00E662A8" w:rsidRDefault="00E662A8" w:rsidP="00DF69C0">
      <w:pPr>
        <w:keepNext/>
        <w:spacing w:after="120"/>
        <w:ind w:left="2268" w:right="1134" w:hanging="1134"/>
        <w:jc w:val="both"/>
        <w:rPr>
          <w:b/>
        </w:rPr>
      </w:pPr>
      <w:r w:rsidRPr="000227ED">
        <w:rPr>
          <w:b/>
        </w:rPr>
        <w:t>5.</w:t>
      </w:r>
      <w:r>
        <w:rPr>
          <w:b/>
        </w:rPr>
        <w:tab/>
      </w:r>
      <w:r w:rsidRPr="007462E3">
        <w:rPr>
          <w:b/>
        </w:rPr>
        <w:t>Rapports du service technique</w:t>
      </w:r>
    </w:p>
    <w:p w:rsidR="00E662A8" w:rsidRDefault="00E662A8" w:rsidP="00DF69C0">
      <w:pPr>
        <w:pStyle w:val="SingleTxtG"/>
        <w:keepNext/>
        <w:ind w:left="2268"/>
        <w:rPr>
          <w:b/>
        </w:rPr>
      </w:pPr>
      <w:r>
        <w:rPr>
          <w:b/>
        </w:rPr>
        <w:tab/>
      </w:r>
      <w:r w:rsidRPr="007462E3">
        <w:rPr>
          <w:b/>
        </w:rPr>
        <w:t>La déclaration de la vérification par le service technique doit être effectuée de manière à permettre la traçabilité, p</w:t>
      </w:r>
      <w:r w:rsidR="00DF69C0">
        <w:rPr>
          <w:b/>
        </w:rPr>
        <w:t>ar exemple</w:t>
      </w:r>
      <w:r w:rsidRPr="007462E3">
        <w:rPr>
          <w:b/>
        </w:rPr>
        <w:t xml:space="preserve">. Les versions des documents vérifiés </w:t>
      </w:r>
      <w:r>
        <w:rPr>
          <w:b/>
        </w:rPr>
        <w:t>doivent être</w:t>
      </w:r>
      <w:r w:rsidRPr="007462E3">
        <w:rPr>
          <w:b/>
        </w:rPr>
        <w:t xml:space="preserve"> numérotées et répertoriées dans les registres du service technique.</w:t>
      </w:r>
    </w:p>
    <w:p w:rsidR="00E662A8" w:rsidRDefault="00E662A8" w:rsidP="00E662A8">
      <w:pPr>
        <w:pStyle w:val="SingleTxtG"/>
        <w:ind w:left="2268"/>
        <w:rPr>
          <w:b/>
        </w:rPr>
      </w:pPr>
      <w:r>
        <w:rPr>
          <w:b/>
        </w:rPr>
        <w:tab/>
      </w:r>
      <w:r w:rsidRPr="007462E3">
        <w:rPr>
          <w:b/>
        </w:rPr>
        <w:t>Le modèle de la partie II du présent document donne un exemple de présentation possible du rapport du service technique à l</w:t>
      </w:r>
      <w:r>
        <w:rPr>
          <w:b/>
        </w:rPr>
        <w:t>’</w:t>
      </w:r>
      <w:r w:rsidRPr="007462E3">
        <w:rPr>
          <w:b/>
        </w:rPr>
        <w:t>autorité d</w:t>
      </w:r>
      <w:r>
        <w:rPr>
          <w:b/>
        </w:rPr>
        <w:t>’</w:t>
      </w:r>
      <w:r w:rsidRPr="007462E3">
        <w:rPr>
          <w:b/>
        </w:rPr>
        <w:t>homologation de type.</w:t>
      </w:r>
    </w:p>
    <w:p w:rsidR="00E662A8" w:rsidRPr="00DF69C0" w:rsidRDefault="00E662A8" w:rsidP="00DF69C0">
      <w:pPr>
        <w:pStyle w:val="HChG"/>
      </w:pPr>
      <w:r w:rsidRPr="00DF69C0">
        <w:lastRenderedPageBreak/>
        <w:tab/>
        <w:t>II.</w:t>
      </w:r>
      <w:r w:rsidRPr="00DF69C0">
        <w:tab/>
        <w:t>Exemple de modèle de rapport</w:t>
      </w:r>
    </w:p>
    <w:p w:rsidR="00E42C1F" w:rsidRDefault="00E662A8" w:rsidP="00777D0F">
      <w:pPr>
        <w:pBdr>
          <w:bottom w:val="single" w:sz="6" w:space="1" w:color="auto"/>
        </w:pBdr>
        <w:rPr>
          <w:noProof/>
          <w:lang w:eastAsia="fr-CH"/>
        </w:rPr>
      </w:pPr>
      <w:r>
        <w:rPr>
          <w:noProof/>
          <w:lang w:val="fr-FR" w:eastAsia="fr-FR"/>
        </w:rPr>
        <w:drawing>
          <wp:inline distT="0" distB="0" distL="0" distR="0" wp14:anchorId="191D6B3F" wp14:editId="18A81785">
            <wp:extent cx="5425440" cy="4580902"/>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5923" cy="4581310"/>
                    </a:xfrm>
                    <a:prstGeom prst="rect">
                      <a:avLst/>
                    </a:prstGeom>
                  </pic:spPr>
                </pic:pic>
              </a:graphicData>
            </a:graphic>
          </wp:inline>
        </w:drawing>
      </w:r>
      <w:r>
        <w:br w:type="page"/>
      </w:r>
      <w:r w:rsidR="00793E0F">
        <w:rPr>
          <w:noProof/>
          <w:lang w:val="fr-FR" w:eastAsia="fr-FR"/>
        </w:rPr>
        <w:lastRenderedPageBreak/>
        <w:drawing>
          <wp:inline distT="0" distB="0" distL="0" distR="0" wp14:anchorId="039B15AC" wp14:editId="6F9B1E7B">
            <wp:extent cx="5719454" cy="7307580"/>
            <wp:effectExtent l="0" t="0" r="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0787" cy="7309283"/>
                    </a:xfrm>
                    <a:prstGeom prst="rect">
                      <a:avLst/>
                    </a:prstGeom>
                  </pic:spPr>
                </pic:pic>
              </a:graphicData>
            </a:graphic>
          </wp:inline>
        </w:drawing>
      </w:r>
      <w:r w:rsidR="008C708F">
        <w:rPr>
          <w:noProof/>
          <w:lang w:eastAsia="fr-CH"/>
        </w:rPr>
        <w:br w:type="page"/>
      </w:r>
      <w:r w:rsidR="00793E0F" w:rsidRPr="00C2029C">
        <w:rPr>
          <w:noProof/>
          <w:lang w:val="fr-FR" w:eastAsia="fr-FR"/>
        </w:rPr>
        <w:lastRenderedPageBreak/>
        <w:drawing>
          <wp:inline distT="0" distB="0" distL="0" distR="0" wp14:anchorId="2CED3AF6" wp14:editId="23FBC6F6">
            <wp:extent cx="5731510" cy="7079272"/>
            <wp:effectExtent l="0" t="0" r="254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7079272"/>
                    </a:xfrm>
                    <a:prstGeom prst="rect">
                      <a:avLst/>
                    </a:prstGeom>
                  </pic:spPr>
                </pic:pic>
              </a:graphicData>
            </a:graphic>
          </wp:inline>
        </w:drawing>
      </w:r>
    </w:p>
    <w:p w:rsidR="00E662A8" w:rsidRDefault="00E662A8" w:rsidP="00777D0F">
      <w:pPr>
        <w:pBdr>
          <w:bottom w:val="single" w:sz="6" w:space="1" w:color="auto"/>
        </w:pBdr>
      </w:pPr>
      <w:r>
        <w:br w:type="page"/>
      </w:r>
      <w:r w:rsidR="00E42C1F">
        <w:rPr>
          <w:noProof/>
          <w:lang w:val="fr-FR" w:eastAsia="fr-FR"/>
        </w:rPr>
        <w:lastRenderedPageBreak/>
        <w:drawing>
          <wp:inline distT="0" distB="0" distL="0" distR="0" wp14:anchorId="08FCB8E7" wp14:editId="624E3B99">
            <wp:extent cx="5731510" cy="6747383"/>
            <wp:effectExtent l="0" t="0" r="254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6747383"/>
                    </a:xfrm>
                    <a:prstGeom prst="rect">
                      <a:avLst/>
                    </a:prstGeom>
                  </pic:spPr>
                </pic:pic>
              </a:graphicData>
            </a:graphic>
          </wp:inline>
        </w:drawing>
      </w:r>
    </w:p>
    <w:p w:rsidR="00E662A8" w:rsidRDefault="00E662A8" w:rsidP="00DF69C0">
      <w:pPr>
        <w:pStyle w:val="HChG"/>
      </w:pPr>
      <w:r>
        <w:lastRenderedPageBreak/>
        <w:tab/>
        <w:t>III.</w:t>
      </w:r>
      <w:r>
        <w:tab/>
        <w:t>Justification</w:t>
      </w:r>
    </w:p>
    <w:p w:rsidR="00E662A8" w:rsidRPr="00DF69C0" w:rsidRDefault="00E662A8" w:rsidP="00DF69C0">
      <w:pPr>
        <w:pStyle w:val="SingleTxtG"/>
        <w:keepNext/>
        <w:keepLines/>
        <w:ind w:firstLine="567"/>
      </w:pPr>
      <w:r w:rsidRPr="00DF69C0">
        <w:t>Le GRRF a examiné cette proposition dans le document informel GRRF-82-19 à sa quatre-vingt-deuxième session, et il a décidé de reprendre l’examen de cette proposition à sa quatre-vingt-troisième session sous la forme d’un document officiel diffusé par le secrétariat.</w:t>
      </w:r>
    </w:p>
    <w:p w:rsidR="00F9573C" w:rsidRPr="00DF69C0" w:rsidRDefault="00DF69C0" w:rsidP="00DF69C0">
      <w:pPr>
        <w:pStyle w:val="SingleTxtG"/>
        <w:spacing w:before="240" w:after="0"/>
        <w:jc w:val="center"/>
        <w:rPr>
          <w:u w:val="single"/>
        </w:rPr>
      </w:pPr>
      <w:r>
        <w:rPr>
          <w:u w:val="single"/>
        </w:rPr>
        <w:tab/>
      </w:r>
      <w:r>
        <w:rPr>
          <w:u w:val="single"/>
        </w:rPr>
        <w:tab/>
      </w:r>
      <w:r>
        <w:rPr>
          <w:u w:val="single"/>
        </w:rPr>
        <w:tab/>
      </w:r>
    </w:p>
    <w:sectPr w:rsidR="00F9573C" w:rsidRPr="00DF69C0" w:rsidSect="00E662A8">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84" w:rsidRDefault="00C02584" w:rsidP="00F95C08">
      <w:pPr>
        <w:spacing w:line="240" w:lineRule="auto"/>
      </w:pPr>
    </w:p>
  </w:endnote>
  <w:endnote w:type="continuationSeparator" w:id="0">
    <w:p w:rsidR="00C02584" w:rsidRPr="00AC3823" w:rsidRDefault="00C02584" w:rsidP="00AC3823">
      <w:pPr>
        <w:pStyle w:val="Pieddepage"/>
      </w:pPr>
    </w:p>
  </w:endnote>
  <w:endnote w:type="continuationNotice" w:id="1">
    <w:p w:rsidR="00C02584" w:rsidRDefault="00C025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A8" w:rsidRPr="00E662A8" w:rsidRDefault="00E662A8" w:rsidP="00E662A8">
    <w:pPr>
      <w:pStyle w:val="Pieddepage"/>
      <w:tabs>
        <w:tab w:val="right" w:pos="9638"/>
      </w:tabs>
    </w:pPr>
    <w:r w:rsidRPr="00E662A8">
      <w:rPr>
        <w:b/>
        <w:sz w:val="18"/>
      </w:rPr>
      <w:fldChar w:fldCharType="begin"/>
    </w:r>
    <w:r w:rsidRPr="00E662A8">
      <w:rPr>
        <w:b/>
        <w:sz w:val="18"/>
      </w:rPr>
      <w:instrText xml:space="preserve"> PAGE  \* MERGEFORMAT </w:instrText>
    </w:r>
    <w:r w:rsidRPr="00E662A8">
      <w:rPr>
        <w:b/>
        <w:sz w:val="18"/>
      </w:rPr>
      <w:fldChar w:fldCharType="separate"/>
    </w:r>
    <w:r w:rsidR="003252DA">
      <w:rPr>
        <w:b/>
        <w:noProof/>
        <w:sz w:val="18"/>
      </w:rPr>
      <w:t>2</w:t>
    </w:r>
    <w:r w:rsidRPr="00E662A8">
      <w:rPr>
        <w:b/>
        <w:sz w:val="18"/>
      </w:rPr>
      <w:fldChar w:fldCharType="end"/>
    </w:r>
    <w:r>
      <w:rPr>
        <w:b/>
        <w:sz w:val="18"/>
      </w:rPr>
      <w:tab/>
    </w:r>
    <w:r>
      <w:t>GE.16-19736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A8" w:rsidRPr="00E662A8" w:rsidRDefault="00E662A8" w:rsidP="00E662A8">
    <w:pPr>
      <w:pStyle w:val="Pieddepage"/>
      <w:tabs>
        <w:tab w:val="right" w:pos="9638"/>
      </w:tabs>
      <w:rPr>
        <w:b/>
        <w:sz w:val="18"/>
      </w:rPr>
    </w:pPr>
    <w:r>
      <w:t>GE.16-19736</w:t>
    </w:r>
    <w:r>
      <w:tab/>
    </w:r>
    <w:r w:rsidRPr="00E662A8">
      <w:rPr>
        <w:b/>
        <w:sz w:val="18"/>
      </w:rPr>
      <w:fldChar w:fldCharType="begin"/>
    </w:r>
    <w:r w:rsidRPr="00E662A8">
      <w:rPr>
        <w:b/>
        <w:sz w:val="18"/>
      </w:rPr>
      <w:instrText xml:space="preserve"> PAGE  \* MERGEFORMAT </w:instrText>
    </w:r>
    <w:r w:rsidRPr="00E662A8">
      <w:rPr>
        <w:b/>
        <w:sz w:val="18"/>
      </w:rPr>
      <w:fldChar w:fldCharType="separate"/>
    </w:r>
    <w:r w:rsidR="003252DA">
      <w:rPr>
        <w:b/>
        <w:noProof/>
        <w:sz w:val="18"/>
      </w:rPr>
      <w:t>7</w:t>
    </w:r>
    <w:r w:rsidRPr="00E662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E662A8" w:rsidRDefault="00E662A8" w:rsidP="00E662A8">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128972E0" wp14:editId="3E08AEC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16-19736  (F)    161116    161116</w:t>
    </w:r>
    <w:r>
      <w:rPr>
        <w:sz w:val="20"/>
      </w:rPr>
      <w:br/>
    </w:r>
    <w:r w:rsidRPr="00E662A8">
      <w:rPr>
        <w:rFonts w:ascii="C39T30Lfz" w:hAnsi="C39T30Lfz"/>
        <w:sz w:val="56"/>
      </w:rPr>
      <w:t></w:t>
    </w:r>
    <w:r w:rsidRPr="00E662A8">
      <w:rPr>
        <w:rFonts w:ascii="C39T30Lfz" w:hAnsi="C39T30Lfz"/>
        <w:sz w:val="56"/>
      </w:rPr>
      <w:t></w:t>
    </w:r>
    <w:r w:rsidRPr="00E662A8">
      <w:rPr>
        <w:rFonts w:ascii="C39T30Lfz" w:hAnsi="C39T30Lfz"/>
        <w:sz w:val="56"/>
      </w:rPr>
      <w:t></w:t>
    </w:r>
    <w:r w:rsidRPr="00E662A8">
      <w:rPr>
        <w:rFonts w:ascii="C39T30Lfz" w:hAnsi="C39T30Lfz"/>
        <w:sz w:val="56"/>
      </w:rPr>
      <w:t></w:t>
    </w:r>
    <w:r w:rsidRPr="00E662A8">
      <w:rPr>
        <w:rFonts w:ascii="C39T30Lfz" w:hAnsi="C39T30Lfz"/>
        <w:sz w:val="56"/>
      </w:rPr>
      <w:t></w:t>
    </w:r>
    <w:r w:rsidRPr="00E662A8">
      <w:rPr>
        <w:rFonts w:ascii="C39T30Lfz" w:hAnsi="C39T30Lfz"/>
        <w:sz w:val="56"/>
      </w:rPr>
      <w:t></w:t>
    </w:r>
    <w:r w:rsidRPr="00E662A8">
      <w:rPr>
        <w:rFonts w:ascii="C39T30Lfz" w:hAnsi="C39T30Lfz"/>
        <w:sz w:val="56"/>
      </w:rPr>
      <w:t></w:t>
    </w:r>
    <w:r w:rsidRPr="00E662A8">
      <w:rPr>
        <w:rFonts w:ascii="C39T30Lfz" w:hAnsi="C39T30Lfz"/>
        <w:sz w:val="56"/>
      </w:rPr>
      <w:t></w:t>
    </w:r>
    <w:r w:rsidRPr="00E662A8">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84" w:rsidRPr="00AC3823" w:rsidRDefault="00C02584" w:rsidP="00AC3823">
      <w:pPr>
        <w:pStyle w:val="Pieddepage"/>
        <w:tabs>
          <w:tab w:val="right" w:pos="2155"/>
        </w:tabs>
        <w:spacing w:after="80" w:line="240" w:lineRule="atLeast"/>
        <w:ind w:left="680"/>
        <w:rPr>
          <w:u w:val="single"/>
        </w:rPr>
      </w:pPr>
      <w:r>
        <w:rPr>
          <w:u w:val="single"/>
        </w:rPr>
        <w:tab/>
      </w:r>
    </w:p>
  </w:footnote>
  <w:footnote w:type="continuationSeparator" w:id="0">
    <w:p w:rsidR="00C02584" w:rsidRPr="00AC3823" w:rsidRDefault="00C02584" w:rsidP="00AC3823">
      <w:pPr>
        <w:pStyle w:val="Pieddepage"/>
        <w:tabs>
          <w:tab w:val="right" w:pos="2155"/>
        </w:tabs>
        <w:spacing w:after="80" w:line="240" w:lineRule="atLeast"/>
        <w:ind w:left="680"/>
        <w:rPr>
          <w:u w:val="single"/>
        </w:rPr>
      </w:pPr>
      <w:r>
        <w:rPr>
          <w:u w:val="single"/>
        </w:rPr>
        <w:tab/>
      </w:r>
    </w:p>
  </w:footnote>
  <w:footnote w:type="continuationNotice" w:id="1">
    <w:p w:rsidR="00C02584" w:rsidRPr="00AC3823" w:rsidRDefault="00C02584">
      <w:pPr>
        <w:spacing w:line="240" w:lineRule="auto"/>
        <w:rPr>
          <w:sz w:val="2"/>
          <w:szCs w:val="2"/>
        </w:rPr>
      </w:pPr>
    </w:p>
  </w:footnote>
  <w:footnote w:id="2">
    <w:p w:rsidR="00E662A8" w:rsidRPr="00E662A8" w:rsidRDefault="00E662A8" w:rsidP="00E662A8">
      <w:pPr>
        <w:pStyle w:val="Notedebasdepage"/>
      </w:pPr>
      <w:r>
        <w:tab/>
      </w:r>
      <w:r w:rsidRPr="00E662A8">
        <w:rPr>
          <w:rStyle w:val="Appelnotedebasdep"/>
          <w:sz w:val="20"/>
          <w:vertAlign w:val="baseline"/>
          <w:lang w:val="en-US"/>
        </w:rPr>
        <w:t>*</w:t>
      </w:r>
      <w:r w:rsidRPr="002232AF">
        <w:rPr>
          <w:sz w:val="20"/>
          <w:lang w:val="en-US"/>
        </w:rPr>
        <w:tab/>
      </w:r>
      <w:r w:rsidRPr="00E662A8">
        <w:t>Conformément au programme de travail du Comité des transports intérieurs pour la période 2016</w:t>
      </w:r>
      <w:r w:rsidR="008C708F">
        <w:noBreakHyphen/>
      </w:r>
      <w:r w:rsidRPr="00E662A8">
        <w:t>2017 (ECE/TRANS/254, par. 159, et ECE/TRANS/2016/28/Add.1, activité 03.1),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A8" w:rsidRPr="00E662A8" w:rsidRDefault="00E662A8">
    <w:pPr>
      <w:pStyle w:val="En-tte"/>
    </w:pPr>
    <w:r>
      <w:t>ECE/TRANS/WP.29/GRRF/2017/8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A8" w:rsidRPr="00E662A8" w:rsidRDefault="00E662A8" w:rsidP="00E662A8">
    <w:pPr>
      <w:pStyle w:val="En-tte"/>
      <w:jc w:val="right"/>
    </w:pPr>
    <w:r>
      <w:t>ECE/TRANS/WP.29/GRRF/2017/8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CF"/>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252DA"/>
    <w:rsid w:val="0033346C"/>
    <w:rsid w:val="003916DE"/>
    <w:rsid w:val="00441C3B"/>
    <w:rsid w:val="00446FE5"/>
    <w:rsid w:val="00452396"/>
    <w:rsid w:val="004837D8"/>
    <w:rsid w:val="004E468C"/>
    <w:rsid w:val="005505B7"/>
    <w:rsid w:val="00573BE5"/>
    <w:rsid w:val="00586ED3"/>
    <w:rsid w:val="00596552"/>
    <w:rsid w:val="00596AA9"/>
    <w:rsid w:val="00675FDC"/>
    <w:rsid w:val="0071601D"/>
    <w:rsid w:val="00777D0F"/>
    <w:rsid w:val="00793E0F"/>
    <w:rsid w:val="007A62E6"/>
    <w:rsid w:val="007F20FA"/>
    <w:rsid w:val="0080684C"/>
    <w:rsid w:val="00871C75"/>
    <w:rsid w:val="008776DC"/>
    <w:rsid w:val="008C708F"/>
    <w:rsid w:val="009050CF"/>
    <w:rsid w:val="009705C8"/>
    <w:rsid w:val="009C1CF4"/>
    <w:rsid w:val="009F6B74"/>
    <w:rsid w:val="00A30353"/>
    <w:rsid w:val="00AC3823"/>
    <w:rsid w:val="00AE323C"/>
    <w:rsid w:val="00AF0CB5"/>
    <w:rsid w:val="00B00181"/>
    <w:rsid w:val="00B00B0D"/>
    <w:rsid w:val="00B365CB"/>
    <w:rsid w:val="00B765F7"/>
    <w:rsid w:val="00B80548"/>
    <w:rsid w:val="00BA0CA9"/>
    <w:rsid w:val="00C02584"/>
    <w:rsid w:val="00C02897"/>
    <w:rsid w:val="00D3439C"/>
    <w:rsid w:val="00DB1831"/>
    <w:rsid w:val="00DD3BFD"/>
    <w:rsid w:val="00DF6678"/>
    <w:rsid w:val="00DF69C0"/>
    <w:rsid w:val="00E42C1F"/>
    <w:rsid w:val="00E662A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7844D-FC29-4153-B249-197F546C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662A8"/>
    <w:rPr>
      <w:rFonts w:ascii="Times New Roman" w:hAnsi="Times New Roman" w:cs="Times New Roman"/>
      <w:sz w:val="20"/>
      <w:szCs w:val="20"/>
      <w:lang w:eastAsia="en-US"/>
    </w:rPr>
  </w:style>
  <w:style w:type="paragraph" w:styleId="Paragraphedeliste">
    <w:name w:val="List Paragraph"/>
    <w:basedOn w:val="Normal"/>
    <w:uiPriority w:val="34"/>
    <w:rsid w:val="00E662A8"/>
    <w:pPr>
      <w:suppressAutoHyphens w:val="0"/>
      <w:kinsoku/>
      <w:overflowPunct/>
      <w:autoSpaceDE/>
      <w:autoSpaceDN/>
      <w:adjustRightInd/>
      <w:snapToGrid/>
      <w:spacing w:after="120" w:line="240" w:lineRule="auto"/>
      <w:ind w:left="720"/>
      <w:contextualSpacing/>
      <w:jc w:val="both"/>
    </w:pPr>
    <w:rPr>
      <w:rFonts w:ascii="Verdana" w:eastAsiaTheme="minorHAnsi" w:hAnsi="Verdana" w:cs="Calibri"/>
      <w:lang w:val="en-GB" w:eastAsia="zh-CN"/>
    </w:rPr>
  </w:style>
  <w:style w:type="character" w:customStyle="1" w:styleId="alt-edited">
    <w:name w:val="alt-edited"/>
    <w:basedOn w:val="Policepardfaut"/>
    <w:rsid w:val="00E6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904</Words>
  <Characters>4974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ECE/TRANS/WP.29/GRRF/2017/8</vt:lpstr>
    </vt:vector>
  </TitlesOfParts>
  <Company>DCM</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ECE/TRANS/WP.29/GRRF/2017/8</dc:title>
  <dc:subject>FINAL</dc:subject>
  <dc:creator>Beaunee</dc:creator>
  <cp:keywords/>
  <dc:description/>
  <cp:lastModifiedBy>Bénédicte Boudol</cp:lastModifiedBy>
  <cp:revision>2</cp:revision>
  <cp:lastPrinted>2016-11-16T14:27:00Z</cp:lastPrinted>
  <dcterms:created xsi:type="dcterms:W3CDTF">2016-11-21T17:46:00Z</dcterms:created>
  <dcterms:modified xsi:type="dcterms:W3CDTF">2016-11-21T17:46:00Z</dcterms:modified>
</cp:coreProperties>
</file>