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A785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A7854" w:rsidP="001A7854">
            <w:pPr>
              <w:jc w:val="right"/>
            </w:pPr>
            <w:r w:rsidRPr="001A7854">
              <w:rPr>
                <w:sz w:val="40"/>
              </w:rPr>
              <w:t>ECE</w:t>
            </w:r>
            <w:r>
              <w:t>/TRANS/WP.29/GRSP/2017/5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A7854" w:rsidP="00C97039">
            <w:pPr>
              <w:spacing w:before="240"/>
            </w:pPr>
            <w:r>
              <w:t>Distr. générale</w:t>
            </w:r>
          </w:p>
          <w:p w:rsidR="001A7854" w:rsidRDefault="002476A6" w:rsidP="001A7854">
            <w:pPr>
              <w:spacing w:line="240" w:lineRule="exact"/>
            </w:pPr>
            <w:r>
              <w:t>17 </w:t>
            </w:r>
            <w:r w:rsidR="001A7854">
              <w:t>février 2017</w:t>
            </w:r>
          </w:p>
          <w:p w:rsidR="001A7854" w:rsidRDefault="001A7854" w:rsidP="001A7854">
            <w:pPr>
              <w:spacing w:line="240" w:lineRule="exact"/>
            </w:pPr>
            <w:r>
              <w:t>Français</w:t>
            </w:r>
          </w:p>
          <w:p w:rsidR="001A7854" w:rsidRPr="00DB58B5" w:rsidRDefault="00EB55D8" w:rsidP="001A7854">
            <w:pPr>
              <w:spacing w:line="240" w:lineRule="exact"/>
            </w:pPr>
            <w:r>
              <w:t>Original </w:t>
            </w:r>
            <w:r w:rsidR="001A7854">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A7854" w:rsidRDefault="001A785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A7854" w:rsidRDefault="001A7854" w:rsidP="00257168">
      <w:pPr>
        <w:spacing w:before="120" w:after="120" w:line="240" w:lineRule="exact"/>
        <w:rPr>
          <w:b/>
        </w:rPr>
      </w:pPr>
      <w:r>
        <w:rPr>
          <w:b/>
        </w:rPr>
        <w:t>Groupe de travail de la sécurité passive</w:t>
      </w:r>
    </w:p>
    <w:p w:rsidR="001A7854" w:rsidRDefault="001A7854" w:rsidP="00257168">
      <w:pPr>
        <w:spacing w:before="120" w:line="240" w:lineRule="exact"/>
        <w:rPr>
          <w:b/>
        </w:rPr>
      </w:pPr>
      <w:r w:rsidRPr="00F97DB6">
        <w:rPr>
          <w:b/>
        </w:rPr>
        <w:t>Soixante et unième</w:t>
      </w:r>
      <w:r>
        <w:rPr>
          <w:b/>
          <w:sz w:val="22"/>
          <w:szCs w:val="22"/>
        </w:rPr>
        <w:t xml:space="preserve"> </w:t>
      </w:r>
      <w:r>
        <w:rPr>
          <w:b/>
        </w:rPr>
        <w:t>session</w:t>
      </w:r>
    </w:p>
    <w:p w:rsidR="001A7854" w:rsidRDefault="001A7854" w:rsidP="00257168">
      <w:pPr>
        <w:spacing w:line="240" w:lineRule="exact"/>
      </w:pPr>
      <w:r>
        <w:t xml:space="preserve">Genève, </w:t>
      </w:r>
      <w:r>
        <w:rPr>
          <w:sz w:val="22"/>
          <w:szCs w:val="22"/>
        </w:rPr>
        <w:t>8-12 </w:t>
      </w:r>
      <w:r w:rsidRPr="000D15FB">
        <w:rPr>
          <w:sz w:val="22"/>
          <w:szCs w:val="22"/>
        </w:rPr>
        <w:t>mai</w:t>
      </w:r>
      <w:r w:rsidRPr="00D93986">
        <w:rPr>
          <w:sz w:val="22"/>
          <w:szCs w:val="22"/>
        </w:rPr>
        <w:t xml:space="preserve"> 2017</w:t>
      </w:r>
    </w:p>
    <w:p w:rsidR="001A7854" w:rsidRDefault="00F97DB6" w:rsidP="00257168">
      <w:pPr>
        <w:spacing w:line="240" w:lineRule="exact"/>
      </w:pPr>
      <w:r>
        <w:t xml:space="preserve">Point 18 </w:t>
      </w:r>
      <w:r w:rsidR="001A7854">
        <w:t>de l’ordre du jour</w:t>
      </w:r>
      <w:r>
        <w:t xml:space="preserve"> provisoire</w:t>
      </w:r>
    </w:p>
    <w:p w:rsidR="00F9573C" w:rsidRDefault="003A50A7" w:rsidP="00AF0CB5">
      <w:pPr>
        <w:rPr>
          <w:b/>
        </w:rPr>
      </w:pPr>
      <w:r>
        <w:rPr>
          <w:b/>
        </w:rPr>
        <w:t xml:space="preserve">Règlements </w:t>
      </w:r>
      <w:r w:rsidRPr="003A50A7">
        <w:rPr>
          <w:rFonts w:eastAsia="MS Mincho"/>
          <w:b/>
          <w:szCs w:val="22"/>
        </w:rPr>
        <w:t>n</w:t>
      </w:r>
      <w:r w:rsidRPr="003A50A7">
        <w:rPr>
          <w:rFonts w:eastAsia="MS Mincho"/>
          <w:b/>
          <w:szCs w:val="22"/>
          <w:vertAlign w:val="superscript"/>
        </w:rPr>
        <w:t>o</w:t>
      </w:r>
      <w:r>
        <w:rPr>
          <w:b/>
        </w:rPr>
        <w:t> </w:t>
      </w:r>
      <w:r w:rsidR="00F97DB6" w:rsidRPr="00F97DB6">
        <w:rPr>
          <w:b/>
        </w:rPr>
        <w:t>134 (Véhicules à hydrogène et à pile à combustible (HFCV)</w:t>
      </w:r>
      <w:r w:rsidR="00F97DB6">
        <w:rPr>
          <w:b/>
        </w:rPr>
        <w:t>)</w:t>
      </w:r>
    </w:p>
    <w:p w:rsidR="00F97DB6" w:rsidRDefault="00F97DB6" w:rsidP="00F97DB6">
      <w:pPr>
        <w:pStyle w:val="HChG"/>
      </w:pPr>
      <w:r>
        <w:tab/>
      </w:r>
      <w:r>
        <w:tab/>
      </w:r>
      <w:r w:rsidRPr="00486556">
        <w:t>Proposition d</w:t>
      </w:r>
      <w:r w:rsidR="003270B2">
        <w:t>e complément </w:t>
      </w:r>
      <w:r>
        <w:t xml:space="preserve">3 </w:t>
      </w:r>
      <w:r w:rsidR="006E1170">
        <w:t xml:space="preserve">au Règlement </w:t>
      </w:r>
      <w:r w:rsidR="006E1170" w:rsidRPr="002D76F4">
        <w:rPr>
          <w:rFonts w:eastAsia="MS Mincho"/>
          <w:szCs w:val="22"/>
        </w:rPr>
        <w:t>n</w:t>
      </w:r>
      <w:r w:rsidR="006E1170" w:rsidRPr="002D76F4">
        <w:rPr>
          <w:rFonts w:eastAsia="MS Mincho"/>
          <w:szCs w:val="22"/>
          <w:vertAlign w:val="superscript"/>
        </w:rPr>
        <w:t>o</w:t>
      </w:r>
      <w:r w:rsidR="006E1170">
        <w:t> </w:t>
      </w:r>
      <w:r w:rsidRPr="00486556">
        <w:t>1</w:t>
      </w:r>
      <w:r>
        <w:t>34</w:t>
      </w:r>
      <w:r w:rsidRPr="00486556">
        <w:t xml:space="preserve"> </w:t>
      </w:r>
      <w:r w:rsidR="00C40120">
        <w:br/>
      </w:r>
      <w:r w:rsidRPr="00486556">
        <w:t>(</w:t>
      </w:r>
      <w:r w:rsidRPr="004F3E11">
        <w:t>Véhicules à hydrogène et à pile à combustible (HFCV</w:t>
      </w:r>
      <w:r w:rsidRPr="00486556">
        <w:t>)</w:t>
      </w:r>
      <w:r>
        <w:t>)</w:t>
      </w:r>
    </w:p>
    <w:p w:rsidR="00F97DB6" w:rsidRDefault="005A0D73" w:rsidP="005A0D73">
      <w:pPr>
        <w:pStyle w:val="H1G"/>
      </w:pPr>
      <w:r>
        <w:tab/>
      </w:r>
      <w:r>
        <w:tab/>
      </w:r>
      <w:r w:rsidR="00F97DB6" w:rsidRPr="007F7184">
        <w:t>Communication de l’expert du Japon</w:t>
      </w:r>
      <w:r w:rsidR="00F97DB6" w:rsidRPr="00814836">
        <w:rPr>
          <w:rStyle w:val="FootnoteReference"/>
          <w:b w:val="0"/>
          <w:sz w:val="20"/>
          <w:vertAlign w:val="baseline"/>
        </w:rPr>
        <w:footnoteReference w:customMarkFollows="1" w:id="2"/>
        <w:t>*</w:t>
      </w:r>
    </w:p>
    <w:p w:rsidR="007F7184" w:rsidRDefault="007F7184" w:rsidP="007F7184">
      <w:pPr>
        <w:pStyle w:val="SingleTxtG"/>
        <w:ind w:firstLine="567"/>
        <w:rPr>
          <w:szCs w:val="24"/>
        </w:rPr>
      </w:pPr>
      <w:r w:rsidRPr="00486556">
        <w:rPr>
          <w:snapToGrid w:val="0"/>
          <w:szCs w:val="24"/>
        </w:rPr>
        <w:t>Le texte ci-après</w:t>
      </w:r>
      <w:r>
        <w:rPr>
          <w:snapToGrid w:val="0"/>
          <w:szCs w:val="24"/>
        </w:rPr>
        <w:t xml:space="preserve">, </w:t>
      </w:r>
      <w:r w:rsidRPr="00486556">
        <w:rPr>
          <w:snapToGrid w:val="0"/>
          <w:szCs w:val="24"/>
        </w:rPr>
        <w:t>établi par l’expert d</w:t>
      </w:r>
      <w:r>
        <w:rPr>
          <w:snapToGrid w:val="0"/>
          <w:szCs w:val="24"/>
        </w:rPr>
        <w:t>u Japon</w:t>
      </w:r>
      <w:r>
        <w:rPr>
          <w:szCs w:val="24"/>
        </w:rPr>
        <w:t>, vise à améliorer les conditions d’essai du Règlement. Il est fondé sur le document</w:t>
      </w:r>
      <w:r w:rsidRPr="00FE1F74">
        <w:rPr>
          <w:iCs/>
          <w:szCs w:val="24"/>
        </w:rPr>
        <w:t xml:space="preserve"> GRSP-60-07 </w:t>
      </w:r>
      <w:r w:rsidRPr="00483A93">
        <w:rPr>
          <w:iCs/>
          <w:szCs w:val="24"/>
        </w:rPr>
        <w:t xml:space="preserve">distribué sans cote </w:t>
      </w:r>
      <w:r>
        <w:rPr>
          <w:iCs/>
          <w:szCs w:val="24"/>
        </w:rPr>
        <w:t xml:space="preserve">lors de </w:t>
      </w:r>
      <w:r w:rsidRPr="00483A93">
        <w:rPr>
          <w:iCs/>
          <w:szCs w:val="24"/>
        </w:rPr>
        <w:t xml:space="preserve">la </w:t>
      </w:r>
      <w:r>
        <w:rPr>
          <w:iCs/>
          <w:szCs w:val="24"/>
        </w:rPr>
        <w:t xml:space="preserve">soixantième </w:t>
      </w:r>
      <w:r w:rsidRPr="00483A93">
        <w:rPr>
          <w:iCs/>
          <w:szCs w:val="24"/>
        </w:rPr>
        <w:t>session du Groupe de travail de la sécurité passive (GRSP)</w:t>
      </w:r>
      <w:r>
        <w:rPr>
          <w:iCs/>
          <w:szCs w:val="24"/>
        </w:rPr>
        <w:t xml:space="preserve"> </w:t>
      </w:r>
      <w:r w:rsidR="009B1614">
        <w:rPr>
          <w:iCs/>
          <w:szCs w:val="24"/>
        </w:rPr>
        <w:t>(ECE/TRANS/WP.29/GRSP/60, par. </w:t>
      </w:r>
      <w:r w:rsidRPr="00FE1F74">
        <w:rPr>
          <w:iCs/>
          <w:szCs w:val="24"/>
        </w:rPr>
        <w:t xml:space="preserve">37). </w:t>
      </w:r>
      <w:r w:rsidRPr="00483A93">
        <w:rPr>
          <w:szCs w:val="24"/>
        </w:rPr>
        <w:t>Les modifications qu’il est proposé d’apporter au texte actuel du Règlement</w:t>
      </w:r>
      <w:r w:rsidR="00262C86">
        <w:rPr>
          <w:szCs w:val="24"/>
        </w:rPr>
        <w:t xml:space="preserve"> </w:t>
      </w:r>
      <w:r w:rsidR="00262C86" w:rsidRPr="00262C86">
        <w:rPr>
          <w:rFonts w:eastAsia="MS Mincho"/>
          <w:szCs w:val="22"/>
        </w:rPr>
        <w:t>n</w:t>
      </w:r>
      <w:r w:rsidR="00262C86" w:rsidRPr="00262C86">
        <w:rPr>
          <w:rFonts w:eastAsia="MS Mincho"/>
          <w:szCs w:val="22"/>
          <w:vertAlign w:val="superscript"/>
        </w:rPr>
        <w:t>o</w:t>
      </w:r>
      <w:r w:rsidR="00262C86">
        <w:rPr>
          <w:szCs w:val="24"/>
        </w:rPr>
        <w:t> </w:t>
      </w:r>
      <w:r>
        <w:rPr>
          <w:szCs w:val="24"/>
        </w:rPr>
        <w:t>134</w:t>
      </w:r>
      <w:r w:rsidRPr="00483A93">
        <w:rPr>
          <w:szCs w:val="24"/>
        </w:rPr>
        <w:t xml:space="preserve"> sont signalées en caractères gras pour les ajouts ou biffés pour les suppressions.</w:t>
      </w:r>
    </w:p>
    <w:p w:rsidR="004C34B6" w:rsidRPr="003E4ED6" w:rsidRDefault="004C34B6" w:rsidP="004C34B6">
      <w:pPr>
        <w:pStyle w:val="HChG"/>
      </w:pPr>
      <w:r>
        <w:rPr>
          <w:szCs w:val="24"/>
        </w:rPr>
        <w:br w:type="page"/>
      </w:r>
      <w:r>
        <w:rPr>
          <w:szCs w:val="24"/>
        </w:rPr>
        <w:lastRenderedPageBreak/>
        <w:tab/>
        <w:t>I.</w:t>
      </w:r>
      <w:r>
        <w:rPr>
          <w:szCs w:val="24"/>
        </w:rPr>
        <w:tab/>
      </w:r>
      <w:r w:rsidRPr="003E4ED6">
        <w:t>Proposition</w:t>
      </w:r>
    </w:p>
    <w:p w:rsidR="00D66E6A" w:rsidRPr="00FE1F74" w:rsidRDefault="00D66E6A" w:rsidP="00D66E6A">
      <w:pPr>
        <w:pStyle w:val="SingleTxtG"/>
        <w:rPr>
          <w:lang w:eastAsia="ja-JP"/>
        </w:rPr>
      </w:pPr>
      <w:r w:rsidRPr="00D66E6A">
        <w:rPr>
          <w:i/>
        </w:rPr>
        <w:t>Paragraphe</w:t>
      </w:r>
      <w:r w:rsidR="00C0196E">
        <w:rPr>
          <w:i/>
        </w:rPr>
        <w:t>s </w:t>
      </w:r>
      <w:r w:rsidRPr="00D66E6A">
        <w:rPr>
          <w:rFonts w:hint="eastAsia"/>
          <w:i/>
          <w:lang w:eastAsia="ja-JP"/>
        </w:rPr>
        <w:t>5.1.1</w:t>
      </w:r>
      <w:r w:rsidRPr="00D66E6A">
        <w:rPr>
          <w:i/>
          <w:lang w:eastAsia="ja-JP"/>
        </w:rPr>
        <w:t xml:space="preserve"> et</w:t>
      </w:r>
      <w:r w:rsidRPr="00D66E6A">
        <w:rPr>
          <w:rFonts w:hint="eastAsia"/>
          <w:i/>
          <w:lang w:eastAsia="ja-JP"/>
        </w:rPr>
        <w:t xml:space="preserve"> 5.1.2</w:t>
      </w:r>
      <w:r w:rsidRPr="00FE1F74">
        <w:rPr>
          <w:rFonts w:hint="eastAsia"/>
          <w:lang w:eastAsia="ja-JP"/>
        </w:rPr>
        <w:t>,</w:t>
      </w:r>
      <w:r w:rsidRPr="00FE1F74">
        <w:rPr>
          <w:lang w:eastAsia="ja-JP"/>
        </w:rPr>
        <w:t xml:space="preserve"> </w:t>
      </w:r>
      <w:proofErr w:type="gramStart"/>
      <w:r w:rsidRPr="00483A93">
        <w:rPr>
          <w:lang w:eastAsia="ja-JP"/>
        </w:rPr>
        <w:t>modifier</w:t>
      </w:r>
      <w:proofErr w:type="gramEnd"/>
      <w:r w:rsidRPr="00483A93">
        <w:rPr>
          <w:lang w:eastAsia="ja-JP"/>
        </w:rPr>
        <w:t xml:space="preserve"> comme suit</w:t>
      </w:r>
      <w:r w:rsidR="003A0FA4">
        <w:rPr>
          <w:lang w:eastAsia="ja-JP"/>
        </w:rPr>
        <w:t> :</w:t>
      </w:r>
    </w:p>
    <w:p w:rsidR="00D66E6A" w:rsidRPr="00FE1F74" w:rsidRDefault="006865A0" w:rsidP="00906C3C">
      <w:pPr>
        <w:pStyle w:val="SingleTxtG"/>
        <w:rPr>
          <w:lang w:eastAsia="ja-JP"/>
        </w:rPr>
      </w:pPr>
      <w:r>
        <w:rPr>
          <w:lang w:eastAsia="ja-JP"/>
        </w:rPr>
        <w:t>« </w:t>
      </w:r>
      <w:r w:rsidR="002641CA">
        <w:rPr>
          <w:lang w:eastAsia="ja-JP"/>
        </w:rPr>
        <w:t>5.1.1</w:t>
      </w:r>
      <w:r w:rsidR="002641CA">
        <w:rPr>
          <w:lang w:eastAsia="ja-JP"/>
        </w:rPr>
        <w:tab/>
      </w:r>
      <w:r w:rsidR="00D66E6A" w:rsidRPr="00FE1F74">
        <w:rPr>
          <w:rFonts w:hint="eastAsia"/>
          <w:lang w:eastAsia="ja-JP"/>
        </w:rPr>
        <w:tab/>
      </w:r>
      <w:r w:rsidR="00D66E6A" w:rsidRPr="00483A93">
        <w:rPr>
          <w:lang w:eastAsia="ja-JP"/>
        </w:rPr>
        <w:t>Pression d’éclatement initiale de référence</w:t>
      </w:r>
    </w:p>
    <w:p w:rsidR="00D66E6A" w:rsidRPr="003E4ED6" w:rsidRDefault="00906C3C" w:rsidP="002641CA">
      <w:pPr>
        <w:pStyle w:val="SingleTxtG"/>
        <w:ind w:left="2268" w:hanging="1134"/>
        <w:rPr>
          <w:lang w:eastAsia="ja-JP"/>
        </w:rPr>
      </w:pPr>
      <w:r>
        <w:rPr>
          <w:lang w:eastAsia="ja-JP"/>
        </w:rPr>
        <w:tab/>
      </w:r>
      <w:r w:rsidR="002641CA">
        <w:rPr>
          <w:lang w:eastAsia="ja-JP"/>
        </w:rPr>
        <w:tab/>
      </w:r>
      <w:r w:rsidR="00D66E6A" w:rsidRPr="00483A93">
        <w:rPr>
          <w:lang w:eastAsia="ja-JP"/>
        </w:rPr>
        <w:t>Trois (3) réservoirs doivent être soumis à une pression hydraulique jusqu’à</w:t>
      </w:r>
      <w:r w:rsidR="00D66E6A">
        <w:rPr>
          <w:lang w:eastAsia="ja-JP"/>
        </w:rPr>
        <w:t xml:space="preserve"> </w:t>
      </w:r>
      <w:r w:rsidR="00D66E6A" w:rsidRPr="00483A93">
        <w:rPr>
          <w:lang w:eastAsia="ja-JP"/>
        </w:rPr>
        <w:t xml:space="preserve">éclatement </w:t>
      </w:r>
      <w:r>
        <w:rPr>
          <w:b/>
          <w:lang w:eastAsia="ja-JP"/>
        </w:rPr>
        <w:t>(annexe </w:t>
      </w:r>
      <w:r w:rsidR="007D5ABF">
        <w:rPr>
          <w:b/>
          <w:lang w:eastAsia="ja-JP"/>
        </w:rPr>
        <w:t>3, paragraphe </w:t>
      </w:r>
      <w:r w:rsidR="00D66E6A" w:rsidRPr="00483A93">
        <w:rPr>
          <w:b/>
          <w:lang w:eastAsia="ja-JP"/>
        </w:rPr>
        <w:t>2.1 procédure d’essai)</w:t>
      </w:r>
      <w:r w:rsidR="00D66E6A" w:rsidRPr="00483A93">
        <w:rPr>
          <w:lang w:eastAsia="ja-JP"/>
        </w:rPr>
        <w:t xml:space="preserve">. </w:t>
      </w:r>
      <w:r w:rsidR="00D66E6A" w:rsidRPr="003E4ED6">
        <w:rPr>
          <w:lang w:eastAsia="ja-JP"/>
        </w:rPr>
        <w:t>Le constructeur …</w:t>
      </w:r>
    </w:p>
    <w:p w:rsidR="00D66E6A" w:rsidRPr="00FE1F74" w:rsidRDefault="002641CA" w:rsidP="002641CA">
      <w:pPr>
        <w:pStyle w:val="SingleTxtG"/>
        <w:ind w:left="2268" w:hanging="1134"/>
        <w:rPr>
          <w:color w:val="000000"/>
          <w:szCs w:val="24"/>
          <w:lang w:eastAsia="ja-JP"/>
        </w:rPr>
      </w:pPr>
      <w:r>
        <w:rPr>
          <w:color w:val="000000"/>
          <w:szCs w:val="24"/>
          <w:lang w:eastAsia="ja-JP"/>
        </w:rPr>
        <w:t>5.1.2</w:t>
      </w:r>
      <w:r>
        <w:rPr>
          <w:color w:val="000000"/>
          <w:szCs w:val="24"/>
          <w:lang w:eastAsia="ja-JP"/>
        </w:rPr>
        <w:tab/>
      </w:r>
      <w:r w:rsidR="00D66E6A" w:rsidRPr="002641CA">
        <w:rPr>
          <w:lang w:eastAsia="ja-JP"/>
        </w:rPr>
        <w:t>Nombre</w:t>
      </w:r>
      <w:r w:rsidR="00D66E6A" w:rsidRPr="00483A93">
        <w:rPr>
          <w:color w:val="000000"/>
          <w:szCs w:val="24"/>
          <w:lang w:eastAsia="ja-JP"/>
        </w:rPr>
        <w:t xml:space="preserve"> de cycles de pression initiale de référence</w:t>
      </w:r>
      <w:r>
        <w:rPr>
          <w:color w:val="000000"/>
          <w:szCs w:val="24"/>
          <w:lang w:eastAsia="ja-JP"/>
        </w:rPr>
        <w:t>.</w:t>
      </w:r>
    </w:p>
    <w:p w:rsidR="00D66E6A" w:rsidRPr="00FE1F74" w:rsidRDefault="003B3BDE" w:rsidP="003B3BDE">
      <w:pPr>
        <w:pStyle w:val="SingleTxtG"/>
        <w:ind w:left="2268" w:hanging="1134"/>
        <w:rPr>
          <w:lang w:eastAsia="ja-JP"/>
        </w:rPr>
      </w:pPr>
      <w:r>
        <w:rPr>
          <w:lang w:eastAsia="ja-JP"/>
        </w:rPr>
        <w:tab/>
      </w:r>
      <w:r w:rsidR="00D66E6A" w:rsidRPr="00E976D9">
        <w:rPr>
          <w:lang w:eastAsia="ja-JP"/>
        </w:rPr>
        <w:t>Trois (3) réservoirs doivent être soumis à des cycles de pression hydraulique,</w:t>
      </w:r>
      <w:r w:rsidR="00D66E6A">
        <w:rPr>
          <w:lang w:eastAsia="ja-JP"/>
        </w:rPr>
        <w:t xml:space="preserve"> </w:t>
      </w:r>
      <w:r w:rsidR="00D66E6A" w:rsidRPr="00FC29B9">
        <w:rPr>
          <w:b/>
          <w:lang w:eastAsia="ja-JP"/>
        </w:rPr>
        <w:t>à une température</w:t>
      </w:r>
      <w:r w:rsidR="00D66E6A" w:rsidRPr="00E976D9">
        <w:rPr>
          <w:lang w:eastAsia="ja-JP"/>
        </w:rPr>
        <w:t xml:space="preserve"> </w:t>
      </w:r>
      <w:r w:rsidR="00D66E6A" w:rsidRPr="00E976D9">
        <w:rPr>
          <w:b/>
          <w:lang w:eastAsia="ja-JP"/>
        </w:rPr>
        <w:t>ambiante</w:t>
      </w:r>
      <w:r w:rsidR="00D66E6A">
        <w:rPr>
          <w:lang w:eastAsia="ja-JP"/>
        </w:rPr>
        <w:t xml:space="preserve"> </w:t>
      </w:r>
      <w:r w:rsidR="009E1186">
        <w:rPr>
          <w:lang w:eastAsia="ja-JP"/>
        </w:rPr>
        <w:t>de 20</w:t>
      </w:r>
      <w:r w:rsidR="00921699">
        <w:rPr>
          <w:lang w:eastAsia="ja-JP"/>
        </w:rPr>
        <w:t xml:space="preserve"> </w:t>
      </w:r>
      <w:r w:rsidR="00D66E6A" w:rsidRPr="00E976D9">
        <w:rPr>
          <w:lang w:eastAsia="ja-JP"/>
        </w:rPr>
        <w:t>(</w:t>
      </w:r>
      <w:r w:rsidR="00D66E6A" w:rsidRPr="00356379">
        <w:rPr>
          <w:lang w:eastAsia="ja-JP"/>
        </w:rPr>
        <w:t>±</w:t>
      </w:r>
      <w:r w:rsidR="002804D1">
        <w:rPr>
          <w:lang w:eastAsia="ja-JP"/>
        </w:rPr>
        <w:t>5)</w:t>
      </w:r>
      <w:r w:rsidR="00921699">
        <w:rPr>
          <w:lang w:eastAsia="ja-JP"/>
        </w:rPr>
        <w:t xml:space="preserve"> </w:t>
      </w:r>
      <w:r w:rsidR="002804D1">
        <w:rPr>
          <w:lang w:eastAsia="ja-JP"/>
        </w:rPr>
        <w:t>°C à 125 </w:t>
      </w:r>
      <w:r w:rsidR="00D66E6A" w:rsidRPr="00E976D9">
        <w:rPr>
          <w:lang w:eastAsia="ja-JP"/>
        </w:rPr>
        <w:t>% de la PSN (+2/-0 MPa) sans subir</w:t>
      </w:r>
      <w:r w:rsidR="00D66E6A">
        <w:rPr>
          <w:lang w:eastAsia="ja-JP"/>
        </w:rPr>
        <w:t xml:space="preserve"> </w:t>
      </w:r>
      <w:r w:rsidR="00183B58">
        <w:rPr>
          <w:lang w:eastAsia="ja-JP"/>
        </w:rPr>
        <w:t>de rupture pendant 22 </w:t>
      </w:r>
      <w:r w:rsidR="00D66E6A" w:rsidRPr="00E976D9">
        <w:rPr>
          <w:lang w:eastAsia="ja-JP"/>
        </w:rPr>
        <w:t xml:space="preserve">000 cycles ou jusqu’à l’apparition d’une fuite </w:t>
      </w:r>
      <w:r w:rsidR="000630FC">
        <w:rPr>
          <w:b/>
          <w:lang w:eastAsia="ja-JP"/>
        </w:rPr>
        <w:t>(annexe </w:t>
      </w:r>
      <w:r w:rsidR="00F949C7">
        <w:rPr>
          <w:b/>
          <w:lang w:eastAsia="ja-JP"/>
        </w:rPr>
        <w:t>3, paragraphe </w:t>
      </w:r>
      <w:r w:rsidR="00D66E6A" w:rsidRPr="00E976D9">
        <w:rPr>
          <w:b/>
          <w:lang w:eastAsia="ja-JP"/>
        </w:rPr>
        <w:t>2.</w:t>
      </w:r>
      <w:r w:rsidR="00D66E6A">
        <w:rPr>
          <w:b/>
          <w:lang w:eastAsia="ja-JP"/>
        </w:rPr>
        <w:t>2</w:t>
      </w:r>
      <w:r w:rsidR="00D66E6A" w:rsidRPr="00E976D9">
        <w:rPr>
          <w:b/>
          <w:lang w:eastAsia="ja-JP"/>
        </w:rPr>
        <w:t xml:space="preserve"> procédure d’essai)</w:t>
      </w:r>
      <w:r w:rsidR="00D66E6A" w:rsidRPr="00E976D9">
        <w:rPr>
          <w:lang w:eastAsia="ja-JP"/>
        </w:rPr>
        <w:t>. Ils ne</w:t>
      </w:r>
      <w:r w:rsidR="00D66E6A">
        <w:rPr>
          <w:lang w:eastAsia="ja-JP"/>
        </w:rPr>
        <w:t xml:space="preserve"> </w:t>
      </w:r>
      <w:r w:rsidR="00D66E6A" w:rsidRPr="00E976D9">
        <w:rPr>
          <w:lang w:eastAsia="ja-JP"/>
        </w:rPr>
        <w:t xml:space="preserve">doivent pas </w:t>
      </w:r>
      <w:r w:rsidR="002804D1">
        <w:rPr>
          <w:lang w:eastAsia="ja-JP"/>
        </w:rPr>
        <w:t>présenter de fuite avant 11</w:t>
      </w:r>
      <w:r w:rsidR="00191AF7">
        <w:rPr>
          <w:lang w:eastAsia="ja-JP"/>
        </w:rPr>
        <w:t> </w:t>
      </w:r>
      <w:r w:rsidR="00D66E6A" w:rsidRPr="00E976D9">
        <w:rPr>
          <w:lang w:eastAsia="ja-JP"/>
        </w:rPr>
        <w:t>000 cycles pour une durée de vie en</w:t>
      </w:r>
      <w:r w:rsidR="00D66E6A">
        <w:rPr>
          <w:lang w:eastAsia="ja-JP"/>
        </w:rPr>
        <w:t xml:space="preserve"> </w:t>
      </w:r>
      <w:r w:rsidR="00375D17">
        <w:rPr>
          <w:lang w:eastAsia="ja-JP"/>
        </w:rPr>
        <w:t>service de 15 </w:t>
      </w:r>
      <w:r w:rsidR="00D66E6A" w:rsidRPr="00E976D9">
        <w:rPr>
          <w:lang w:eastAsia="ja-JP"/>
        </w:rPr>
        <w:t>ans.</w:t>
      </w:r>
      <w:r>
        <w:rPr>
          <w:lang w:eastAsia="ja-JP"/>
        </w:rPr>
        <w:t> »</w:t>
      </w:r>
      <w:r w:rsidR="00D66E6A">
        <w:rPr>
          <w:lang w:eastAsia="ja-JP"/>
        </w:rPr>
        <w:t>.</w:t>
      </w:r>
    </w:p>
    <w:p w:rsidR="00D66E6A" w:rsidRPr="00FE1F74" w:rsidRDefault="00D66E6A" w:rsidP="00BE7D6E">
      <w:pPr>
        <w:pStyle w:val="SingleTxtG"/>
        <w:rPr>
          <w:color w:val="000000"/>
          <w:szCs w:val="24"/>
        </w:rPr>
      </w:pPr>
      <w:r w:rsidRPr="00E976D9">
        <w:rPr>
          <w:i/>
          <w:color w:val="000000"/>
          <w:szCs w:val="24"/>
        </w:rPr>
        <w:t>Paragraphe</w:t>
      </w:r>
      <w:r w:rsidR="00014375">
        <w:rPr>
          <w:i/>
          <w:color w:val="000000"/>
          <w:szCs w:val="24"/>
        </w:rPr>
        <w:t> </w:t>
      </w:r>
      <w:r w:rsidRPr="00FE1F74">
        <w:rPr>
          <w:rFonts w:hint="eastAsia"/>
          <w:i/>
          <w:color w:val="000000"/>
          <w:szCs w:val="24"/>
          <w:lang w:eastAsia="ja-JP"/>
        </w:rPr>
        <w:t>9.3.1</w:t>
      </w:r>
      <w:r w:rsidRPr="00FE1F74">
        <w:rPr>
          <w:color w:val="000000"/>
          <w:szCs w:val="24"/>
        </w:rPr>
        <w:t xml:space="preserve">, </w:t>
      </w:r>
      <w:proofErr w:type="gramStart"/>
      <w:r w:rsidRPr="00E976D9">
        <w:rPr>
          <w:color w:val="000000"/>
          <w:szCs w:val="24"/>
        </w:rPr>
        <w:t>modifier</w:t>
      </w:r>
      <w:proofErr w:type="gramEnd"/>
      <w:r w:rsidRPr="00E976D9">
        <w:rPr>
          <w:color w:val="000000"/>
          <w:szCs w:val="24"/>
        </w:rPr>
        <w:t xml:space="preserve"> comme suit</w:t>
      </w:r>
      <w:r w:rsidR="007822EA">
        <w:rPr>
          <w:color w:val="000000"/>
          <w:szCs w:val="24"/>
        </w:rPr>
        <w:t> :</w:t>
      </w:r>
    </w:p>
    <w:p w:rsidR="00D66E6A" w:rsidRPr="00FE1F74" w:rsidRDefault="00BE7D6E" w:rsidP="00BE7D6E">
      <w:pPr>
        <w:pStyle w:val="SingleTxtG"/>
        <w:ind w:left="2268" w:hanging="1134"/>
        <w:rPr>
          <w:color w:val="000000"/>
          <w:szCs w:val="24"/>
          <w:lang w:eastAsia="ja-JP"/>
        </w:rPr>
      </w:pPr>
      <w:r>
        <w:rPr>
          <w:color w:val="000000"/>
          <w:szCs w:val="24"/>
          <w:lang w:eastAsia="ja-JP"/>
        </w:rPr>
        <w:t>« </w:t>
      </w:r>
      <w:r w:rsidR="00137F78">
        <w:rPr>
          <w:rFonts w:hint="eastAsia"/>
          <w:color w:val="000000"/>
          <w:szCs w:val="24"/>
          <w:lang w:eastAsia="ja-JP"/>
        </w:rPr>
        <w:t>9.3.</w:t>
      </w:r>
      <w:r w:rsidR="00137F78">
        <w:rPr>
          <w:color w:val="000000"/>
          <w:szCs w:val="24"/>
          <w:lang w:eastAsia="ja-JP"/>
        </w:rPr>
        <w:t>1</w:t>
      </w:r>
      <w:r w:rsidR="00D66E6A" w:rsidRPr="00FE1F74">
        <w:rPr>
          <w:rFonts w:hint="eastAsia"/>
          <w:color w:val="000000"/>
          <w:szCs w:val="24"/>
          <w:lang w:eastAsia="ja-JP"/>
        </w:rPr>
        <w:tab/>
      </w:r>
      <w:r w:rsidR="00D66E6A" w:rsidRPr="00E976D9">
        <w:rPr>
          <w:color w:val="000000"/>
          <w:szCs w:val="24"/>
          <w:lang w:eastAsia="ja-JP"/>
        </w:rPr>
        <w:t>Chaque réservoir doit être t</w:t>
      </w:r>
      <w:r w:rsidR="0026788B">
        <w:rPr>
          <w:color w:val="000000"/>
          <w:szCs w:val="24"/>
          <w:lang w:eastAsia="ja-JP"/>
        </w:rPr>
        <w:t>esté conformément au paragraphe </w:t>
      </w:r>
      <w:r w:rsidR="00D66E6A" w:rsidRPr="00E976D9">
        <w:rPr>
          <w:color w:val="000000"/>
          <w:szCs w:val="24"/>
          <w:lang w:eastAsia="ja-JP"/>
        </w:rPr>
        <w:t>5.2.1 du présent</w:t>
      </w:r>
      <w:r w:rsidR="00D66E6A">
        <w:rPr>
          <w:color w:val="000000"/>
          <w:szCs w:val="24"/>
          <w:lang w:eastAsia="ja-JP"/>
        </w:rPr>
        <w:t xml:space="preserve"> </w:t>
      </w:r>
      <w:r w:rsidR="00D66E6A" w:rsidRPr="004F3351">
        <w:rPr>
          <w:color w:val="000000"/>
          <w:szCs w:val="24"/>
          <w:lang w:eastAsia="ja-JP"/>
        </w:rPr>
        <w:t>Règlement.</w:t>
      </w:r>
      <w:r w:rsidR="00D66E6A">
        <w:rPr>
          <w:color w:val="000000"/>
          <w:szCs w:val="24"/>
          <w:lang w:eastAsia="ja-JP"/>
        </w:rPr>
        <w:t xml:space="preserve"> </w:t>
      </w:r>
      <w:r w:rsidR="00D66E6A" w:rsidRPr="004F3351">
        <w:rPr>
          <w:b/>
          <w:color w:val="000000"/>
          <w:szCs w:val="24"/>
          <w:lang w:eastAsia="ja-JP"/>
        </w:rPr>
        <w:t xml:space="preserve">La pression d’essai doit être égale ou supérieure à </w:t>
      </w:r>
      <w:r w:rsidR="009333D8">
        <w:rPr>
          <w:rFonts w:eastAsia="MS Mincho"/>
          <w:b/>
          <w:color w:val="000000"/>
          <w:szCs w:val="24"/>
          <w:lang w:eastAsia="ja-JP"/>
        </w:rPr>
        <w:t>150 </w:t>
      </w:r>
      <w:r w:rsidR="00D66E6A" w:rsidRPr="004F3351">
        <w:rPr>
          <w:rFonts w:eastAsia="MS Mincho"/>
          <w:b/>
          <w:color w:val="000000"/>
          <w:szCs w:val="24"/>
          <w:lang w:eastAsia="ja-JP"/>
        </w:rPr>
        <w:t>% de</w:t>
      </w:r>
      <w:r w:rsidR="00D66E6A">
        <w:rPr>
          <w:rFonts w:eastAsia="MS Mincho"/>
          <w:b/>
          <w:color w:val="000000"/>
          <w:szCs w:val="24"/>
          <w:lang w:eastAsia="ja-JP"/>
        </w:rPr>
        <w:t xml:space="preserve"> la PSN</w:t>
      </w:r>
      <w:r w:rsidR="00D66E6A" w:rsidRPr="00FE1F74">
        <w:rPr>
          <w:b/>
          <w:color w:val="000000"/>
          <w:szCs w:val="24"/>
          <w:lang w:eastAsia="ja-JP"/>
        </w:rPr>
        <w:t>.</w:t>
      </w:r>
      <w:r w:rsidR="003F01B5">
        <w:rPr>
          <w:color w:val="000000"/>
          <w:szCs w:val="24"/>
          <w:lang w:eastAsia="ja-JP"/>
        </w:rPr>
        <w:t> »</w:t>
      </w:r>
      <w:r w:rsidR="00D66E6A">
        <w:rPr>
          <w:color w:val="000000"/>
          <w:szCs w:val="24"/>
          <w:lang w:eastAsia="ja-JP"/>
        </w:rPr>
        <w:t>.</w:t>
      </w:r>
    </w:p>
    <w:p w:rsidR="00D66E6A" w:rsidRDefault="00D66E6A" w:rsidP="009108FD">
      <w:pPr>
        <w:pStyle w:val="SingleTxtG"/>
        <w:rPr>
          <w:color w:val="000000"/>
          <w:szCs w:val="24"/>
        </w:rPr>
      </w:pPr>
      <w:r w:rsidRPr="009108FD">
        <w:rPr>
          <w:i/>
        </w:rPr>
        <w:t>Paragraphe</w:t>
      </w:r>
      <w:r w:rsidR="00966475" w:rsidRPr="009108FD">
        <w:rPr>
          <w:i/>
        </w:rPr>
        <w:t>s</w:t>
      </w:r>
      <w:r w:rsidR="00966475">
        <w:rPr>
          <w:i/>
          <w:color w:val="000000"/>
          <w:szCs w:val="24"/>
        </w:rPr>
        <w:t> </w:t>
      </w:r>
      <w:r w:rsidRPr="00FE1F74">
        <w:rPr>
          <w:rFonts w:hint="eastAsia"/>
          <w:i/>
          <w:color w:val="000000"/>
          <w:szCs w:val="24"/>
          <w:lang w:eastAsia="ja-JP"/>
        </w:rPr>
        <w:t>9.3.2.1</w:t>
      </w:r>
      <w:r>
        <w:rPr>
          <w:i/>
          <w:color w:val="000000"/>
          <w:szCs w:val="24"/>
          <w:lang w:eastAsia="ja-JP"/>
        </w:rPr>
        <w:t xml:space="preserve"> et </w:t>
      </w:r>
      <w:r w:rsidRPr="00FE1F74">
        <w:rPr>
          <w:i/>
          <w:color w:val="000000"/>
          <w:szCs w:val="24"/>
          <w:lang w:eastAsia="ja-JP"/>
        </w:rPr>
        <w:t>9.3.2.2</w:t>
      </w:r>
      <w:r w:rsidRPr="00FE1F74">
        <w:rPr>
          <w:i/>
          <w:color w:val="000000"/>
          <w:szCs w:val="24"/>
        </w:rPr>
        <w:t>,</w:t>
      </w:r>
      <w:r w:rsidRPr="00FE1F74">
        <w:rPr>
          <w:color w:val="000000"/>
          <w:szCs w:val="24"/>
        </w:rPr>
        <w:t xml:space="preserve"> </w:t>
      </w:r>
      <w:proofErr w:type="gramStart"/>
      <w:r w:rsidRPr="00483A93">
        <w:rPr>
          <w:color w:val="000000"/>
          <w:szCs w:val="24"/>
        </w:rPr>
        <w:t>modifier</w:t>
      </w:r>
      <w:proofErr w:type="gramEnd"/>
      <w:r w:rsidRPr="00483A93">
        <w:rPr>
          <w:color w:val="000000"/>
          <w:szCs w:val="24"/>
        </w:rPr>
        <w:t xml:space="preserve"> comme suit</w:t>
      </w:r>
      <w:r w:rsidR="00DF3A7C">
        <w:rPr>
          <w:color w:val="000000"/>
          <w:szCs w:val="24"/>
        </w:rPr>
        <w:t> :</w:t>
      </w:r>
    </w:p>
    <w:p w:rsidR="002641CA" w:rsidRDefault="00776A06" w:rsidP="002641CA">
      <w:pPr>
        <w:pStyle w:val="SingleTxtG"/>
        <w:rPr>
          <w:color w:val="000000"/>
          <w:szCs w:val="24"/>
        </w:rPr>
      </w:pPr>
      <w:r>
        <w:rPr>
          <w:color w:val="000000"/>
          <w:szCs w:val="24"/>
          <w:lang w:eastAsia="ja-JP"/>
        </w:rPr>
        <w:t>« </w:t>
      </w:r>
      <w:r w:rsidR="009108FD" w:rsidRPr="00FE1F74">
        <w:rPr>
          <w:rFonts w:hint="eastAsia"/>
          <w:color w:val="000000"/>
          <w:szCs w:val="24"/>
          <w:lang w:eastAsia="ja-JP"/>
        </w:rPr>
        <w:t>9.3.2.1</w:t>
      </w:r>
      <w:r w:rsidR="009108FD" w:rsidRPr="00FE1F74">
        <w:rPr>
          <w:color w:val="000000"/>
          <w:szCs w:val="24"/>
        </w:rPr>
        <w:tab/>
      </w:r>
      <w:r w:rsidR="009108FD" w:rsidRPr="004F3351">
        <w:rPr>
          <w:color w:val="000000"/>
          <w:szCs w:val="24"/>
        </w:rPr>
        <w:t>E</w:t>
      </w:r>
      <w:r w:rsidR="00754E6B">
        <w:rPr>
          <w:color w:val="000000"/>
          <w:szCs w:val="24"/>
        </w:rPr>
        <w:t>ssai de rupture :</w:t>
      </w:r>
      <w:r w:rsidR="002641CA">
        <w:rPr>
          <w:color w:val="000000"/>
          <w:szCs w:val="24"/>
        </w:rPr>
        <w:t xml:space="preserve"> essai par </w:t>
      </w:r>
      <w:r w:rsidR="002641CA">
        <w:rPr>
          <w:color w:val="000000"/>
          <w:szCs w:val="24"/>
          <w:lang w:eastAsia="ja-JP"/>
        </w:rPr>
        <w:t>lots</w:t>
      </w:r>
      <w:r w:rsidR="002641CA">
        <w:rPr>
          <w:color w:val="000000"/>
          <w:szCs w:val="24"/>
        </w:rPr>
        <w:t>.</w:t>
      </w:r>
    </w:p>
    <w:p w:rsidR="009108FD" w:rsidRDefault="002641CA" w:rsidP="002641CA">
      <w:pPr>
        <w:pStyle w:val="SingleTxtG"/>
        <w:ind w:left="2268" w:hanging="1134"/>
        <w:rPr>
          <w:color w:val="000000"/>
          <w:szCs w:val="24"/>
          <w:lang w:eastAsia="ja-JP"/>
        </w:rPr>
      </w:pPr>
      <w:r>
        <w:rPr>
          <w:color w:val="000000"/>
          <w:szCs w:val="24"/>
          <w:lang w:eastAsia="ja-JP"/>
        </w:rPr>
        <w:tab/>
      </w:r>
      <w:r w:rsidR="009108FD" w:rsidRPr="004F3351">
        <w:rPr>
          <w:color w:val="000000"/>
          <w:szCs w:val="24"/>
          <w:lang w:eastAsia="ja-JP"/>
        </w:rPr>
        <w:t>L’essai doit être exé</w:t>
      </w:r>
      <w:r w:rsidR="00B67B97">
        <w:rPr>
          <w:color w:val="000000"/>
          <w:szCs w:val="24"/>
          <w:lang w:eastAsia="ja-JP"/>
        </w:rPr>
        <w:t>cuté conformément au paragraphe </w:t>
      </w:r>
      <w:r w:rsidR="009108FD" w:rsidRPr="004F3351">
        <w:rPr>
          <w:color w:val="000000"/>
          <w:szCs w:val="24"/>
          <w:lang w:eastAsia="ja-JP"/>
        </w:rPr>
        <w:t>2.1 (essai de rupture</w:t>
      </w:r>
      <w:r w:rsidR="009108FD">
        <w:rPr>
          <w:color w:val="000000"/>
          <w:szCs w:val="24"/>
          <w:lang w:eastAsia="ja-JP"/>
        </w:rPr>
        <w:t xml:space="preserve"> </w:t>
      </w:r>
      <w:r w:rsidR="009108FD" w:rsidRPr="004F3351">
        <w:rPr>
          <w:color w:val="000000"/>
          <w:szCs w:val="24"/>
          <w:lang w:eastAsia="ja-JP"/>
        </w:rPr>
        <w:t>en pression</w:t>
      </w:r>
      <w:r w:rsidR="00EC4C50">
        <w:rPr>
          <w:color w:val="000000"/>
          <w:szCs w:val="24"/>
          <w:lang w:eastAsia="ja-JP"/>
        </w:rPr>
        <w:t xml:space="preserve"> hydrostatique) de l’annexe </w:t>
      </w:r>
      <w:r w:rsidR="009108FD" w:rsidRPr="004F3351">
        <w:rPr>
          <w:color w:val="000000"/>
          <w:szCs w:val="24"/>
          <w:lang w:eastAsia="ja-JP"/>
        </w:rPr>
        <w:t>3. La pression de rupture exigée doit</w:t>
      </w:r>
      <w:r w:rsidR="009108FD">
        <w:rPr>
          <w:color w:val="000000"/>
          <w:szCs w:val="24"/>
          <w:lang w:eastAsia="ja-JP"/>
        </w:rPr>
        <w:t xml:space="preserve"> </w:t>
      </w:r>
      <w:r w:rsidR="009108FD" w:rsidRPr="004F3351">
        <w:rPr>
          <w:color w:val="000000"/>
          <w:szCs w:val="24"/>
          <w:lang w:eastAsia="ja-JP"/>
        </w:rPr>
        <w:t xml:space="preserve">être </w:t>
      </w:r>
      <w:r w:rsidR="009108FD" w:rsidRPr="00356379">
        <w:rPr>
          <w:strike/>
          <w:color w:val="000000"/>
          <w:szCs w:val="24"/>
          <w:lang w:eastAsia="ja-JP"/>
        </w:rPr>
        <w:t>d’</w:t>
      </w:r>
      <w:r w:rsidR="009108FD" w:rsidRPr="004F3351">
        <w:rPr>
          <w:color w:val="000000"/>
          <w:szCs w:val="24"/>
          <w:lang w:eastAsia="ja-JP"/>
        </w:rPr>
        <w:t>au moins</w:t>
      </w:r>
      <w:r w:rsidR="009108FD">
        <w:rPr>
          <w:color w:val="000000"/>
          <w:szCs w:val="24"/>
          <w:lang w:eastAsia="ja-JP"/>
        </w:rPr>
        <w:t xml:space="preserve"> égale</w:t>
      </w:r>
      <w:r w:rsidR="009108FD" w:rsidRPr="003E7C4B">
        <w:rPr>
          <w:color w:val="000000"/>
          <w:szCs w:val="24"/>
          <w:lang w:eastAsia="ja-JP"/>
        </w:rPr>
        <w:t xml:space="preserve"> à</w:t>
      </w:r>
      <w:r w:rsidR="003E7C4B" w:rsidRPr="003E7C4B">
        <w:rPr>
          <w:color w:val="000000"/>
          <w:szCs w:val="24"/>
          <w:lang w:eastAsia="ja-JP"/>
        </w:rPr>
        <w:t xml:space="preserve"> </w:t>
      </w:r>
      <w:r w:rsidR="009108FD">
        <w:rPr>
          <w:b/>
          <w:color w:val="000000"/>
          <w:szCs w:val="24"/>
          <w:lang w:eastAsia="ja-JP"/>
        </w:rPr>
        <w:t>BP</w:t>
      </w:r>
      <w:r w:rsidR="009108FD" w:rsidRPr="00356379">
        <w:rPr>
          <w:b/>
          <w:color w:val="000000"/>
          <w:szCs w:val="24"/>
          <w:vertAlign w:val="subscript"/>
          <w:lang w:eastAsia="ja-JP"/>
        </w:rPr>
        <w:t>min</w:t>
      </w:r>
      <w:r w:rsidR="009108FD">
        <w:rPr>
          <w:color w:val="000000"/>
          <w:szCs w:val="24"/>
          <w:lang w:eastAsia="ja-JP"/>
        </w:rPr>
        <w:t xml:space="preserve"> </w:t>
      </w:r>
      <w:r w:rsidR="009108FD" w:rsidRPr="006705B4">
        <w:rPr>
          <w:strike/>
          <w:color w:val="000000"/>
          <w:szCs w:val="24"/>
          <w:lang w:eastAsia="ja-JP"/>
        </w:rPr>
        <w:t>BP</w:t>
      </w:r>
      <w:r w:rsidR="009108FD" w:rsidRPr="00C348CF">
        <w:rPr>
          <w:strike/>
          <w:color w:val="000000"/>
          <w:szCs w:val="24"/>
          <w:vertAlign w:val="subscript"/>
          <w:lang w:eastAsia="ja-JP"/>
        </w:rPr>
        <w:t>O</w:t>
      </w:r>
      <w:r w:rsidR="009108FD" w:rsidRPr="006705B4">
        <w:rPr>
          <w:strike/>
          <w:color w:val="000000"/>
          <w:szCs w:val="24"/>
          <w:lang w:eastAsia="ja-JP"/>
        </w:rPr>
        <w:t>-10 % et en aucun cas inférieure à la valeur nécessaire pour satisfaire aux prescriptions relatives au rapport de contraintes</w:t>
      </w:r>
      <w:r w:rsidR="009108FD" w:rsidRPr="004F3351">
        <w:rPr>
          <w:color w:val="000000"/>
          <w:szCs w:val="24"/>
          <w:lang w:eastAsia="ja-JP"/>
        </w:rPr>
        <w:t>.</w:t>
      </w:r>
    </w:p>
    <w:p w:rsidR="002641CA" w:rsidRDefault="00137F78" w:rsidP="002641CA">
      <w:pPr>
        <w:pStyle w:val="SingleTxtG"/>
        <w:rPr>
          <w:color w:val="000000"/>
          <w:szCs w:val="24"/>
          <w:lang w:eastAsia="ja-JP"/>
        </w:rPr>
      </w:pPr>
      <w:r>
        <w:rPr>
          <w:color w:val="000000"/>
          <w:szCs w:val="24"/>
          <w:lang w:eastAsia="ja-JP"/>
        </w:rPr>
        <w:t>9.3.2.2</w:t>
      </w:r>
      <w:r>
        <w:rPr>
          <w:color w:val="000000"/>
          <w:szCs w:val="24"/>
          <w:lang w:eastAsia="ja-JP"/>
        </w:rPr>
        <w:tab/>
      </w:r>
      <w:r w:rsidR="009108FD" w:rsidRPr="00FE1F74">
        <w:rPr>
          <w:rFonts w:hint="eastAsia"/>
          <w:color w:val="000000"/>
          <w:szCs w:val="24"/>
          <w:lang w:eastAsia="ja-JP"/>
        </w:rPr>
        <w:tab/>
      </w:r>
      <w:r w:rsidR="009108FD" w:rsidRPr="006705B4">
        <w:rPr>
          <w:color w:val="000000"/>
          <w:szCs w:val="24"/>
          <w:lang w:eastAsia="ja-JP"/>
        </w:rPr>
        <w:t>Essai de cycles de pression à la température ambiante</w:t>
      </w:r>
      <w:r w:rsidR="00346DDC">
        <w:rPr>
          <w:color w:val="000000"/>
          <w:szCs w:val="24"/>
          <w:lang w:eastAsia="ja-JP"/>
        </w:rPr>
        <w:t> :</w:t>
      </w:r>
      <w:r w:rsidR="009108FD" w:rsidRPr="006705B4">
        <w:rPr>
          <w:color w:val="000000"/>
          <w:szCs w:val="24"/>
          <w:lang w:eastAsia="ja-JP"/>
        </w:rPr>
        <w:t xml:space="preserve"> essai par lots</w:t>
      </w:r>
      <w:r w:rsidR="002641CA">
        <w:rPr>
          <w:color w:val="000000"/>
          <w:szCs w:val="24"/>
          <w:lang w:eastAsia="ja-JP"/>
        </w:rPr>
        <w:t>.</w:t>
      </w:r>
    </w:p>
    <w:p w:rsidR="009108FD" w:rsidRPr="00FE1F74" w:rsidRDefault="004E6306" w:rsidP="004E6306">
      <w:pPr>
        <w:pStyle w:val="SingleTxtG"/>
        <w:ind w:left="2268" w:hanging="1134"/>
        <w:rPr>
          <w:color w:val="000000"/>
          <w:szCs w:val="24"/>
          <w:lang w:eastAsia="ja-JP"/>
        </w:rPr>
      </w:pPr>
      <w:r>
        <w:rPr>
          <w:color w:val="000000"/>
          <w:szCs w:val="24"/>
          <w:lang w:eastAsia="ja-JP"/>
        </w:rPr>
        <w:tab/>
      </w:r>
      <w:r w:rsidR="009108FD" w:rsidRPr="006705B4">
        <w:rPr>
          <w:color w:val="000000"/>
          <w:szCs w:val="24"/>
          <w:lang w:eastAsia="ja-JP"/>
        </w:rPr>
        <w:t xml:space="preserve">L’essai </w:t>
      </w:r>
      <w:r w:rsidR="009108FD" w:rsidRPr="002641CA">
        <w:rPr>
          <w:lang w:eastAsia="ja-JP"/>
        </w:rPr>
        <w:t>doit</w:t>
      </w:r>
      <w:r w:rsidR="009108FD" w:rsidRPr="006705B4">
        <w:rPr>
          <w:color w:val="000000"/>
          <w:szCs w:val="24"/>
          <w:lang w:eastAsia="ja-JP"/>
        </w:rPr>
        <w:t xml:space="preserve"> être exé</w:t>
      </w:r>
      <w:r w:rsidR="00ED4564">
        <w:rPr>
          <w:color w:val="000000"/>
          <w:szCs w:val="24"/>
          <w:lang w:eastAsia="ja-JP"/>
        </w:rPr>
        <w:t>cuté conformément au paragraphe </w:t>
      </w:r>
      <w:r w:rsidR="009108FD" w:rsidRPr="006705B4">
        <w:rPr>
          <w:color w:val="000000"/>
          <w:szCs w:val="24"/>
          <w:lang w:eastAsia="ja-JP"/>
        </w:rPr>
        <w:t xml:space="preserve">2.2 </w:t>
      </w:r>
      <w:r w:rsidR="009108FD" w:rsidRPr="006705B4">
        <w:rPr>
          <w:b/>
          <w:color w:val="000000"/>
          <w:szCs w:val="24"/>
          <w:lang w:eastAsia="ja-JP"/>
        </w:rPr>
        <w:t>a) à c)</w:t>
      </w:r>
      <w:r w:rsidR="009108FD">
        <w:rPr>
          <w:color w:val="000000"/>
          <w:szCs w:val="24"/>
          <w:lang w:eastAsia="ja-JP"/>
        </w:rPr>
        <w:t xml:space="preserve"> </w:t>
      </w:r>
      <w:r w:rsidR="009108FD" w:rsidRPr="006705B4">
        <w:rPr>
          <w:color w:val="000000"/>
          <w:szCs w:val="24"/>
          <w:lang w:eastAsia="ja-JP"/>
        </w:rPr>
        <w:t>(cycles de pression</w:t>
      </w:r>
      <w:r w:rsidR="009108FD">
        <w:rPr>
          <w:color w:val="000000"/>
          <w:szCs w:val="24"/>
          <w:lang w:eastAsia="ja-JP"/>
        </w:rPr>
        <w:t xml:space="preserve"> </w:t>
      </w:r>
      <w:r w:rsidR="00FA14CD">
        <w:rPr>
          <w:color w:val="000000"/>
          <w:szCs w:val="24"/>
          <w:lang w:eastAsia="ja-JP"/>
        </w:rPr>
        <w:t>hydrostatique) de l’annexe </w:t>
      </w:r>
      <w:r w:rsidR="009108FD" w:rsidRPr="006705B4">
        <w:rPr>
          <w:color w:val="000000"/>
          <w:szCs w:val="24"/>
          <w:lang w:eastAsia="ja-JP"/>
        </w:rPr>
        <w:t>3</w:t>
      </w:r>
      <w:r w:rsidR="009108FD">
        <w:rPr>
          <w:color w:val="000000"/>
          <w:szCs w:val="24"/>
          <w:lang w:eastAsia="ja-JP"/>
        </w:rPr>
        <w:t xml:space="preserve">, </w:t>
      </w:r>
      <w:r w:rsidR="009108FD" w:rsidRPr="00DA27C6">
        <w:rPr>
          <w:b/>
          <w:color w:val="000000"/>
          <w:szCs w:val="24"/>
          <w:lang w:eastAsia="ja-JP"/>
        </w:rPr>
        <w:t>sauf que les prescriptions concernant la température du liquide et le revêtement du réservoir ainsi qu</w:t>
      </w:r>
      <w:r w:rsidR="009108FD">
        <w:rPr>
          <w:b/>
          <w:color w:val="000000"/>
          <w:szCs w:val="24"/>
          <w:lang w:eastAsia="ja-JP"/>
        </w:rPr>
        <w:t xml:space="preserve">e celles qui concernent </w:t>
      </w:r>
      <w:r w:rsidR="009108FD" w:rsidRPr="00DA27C6">
        <w:rPr>
          <w:b/>
          <w:color w:val="000000"/>
          <w:szCs w:val="24"/>
          <w:lang w:eastAsia="ja-JP"/>
        </w:rPr>
        <w:t>l’humidité relative ne s’appliquent pas</w:t>
      </w:r>
      <w:r w:rsidR="009108FD">
        <w:rPr>
          <w:color w:val="000000"/>
          <w:szCs w:val="24"/>
          <w:lang w:eastAsia="ja-JP"/>
        </w:rPr>
        <w:t xml:space="preserve">. </w:t>
      </w:r>
      <w:r w:rsidR="009108FD" w:rsidRPr="006705B4">
        <w:rPr>
          <w:color w:val="000000"/>
          <w:szCs w:val="24"/>
          <w:lang w:eastAsia="ja-JP"/>
        </w:rPr>
        <w:t>La bouteille doit être soumise à des cycles de</w:t>
      </w:r>
      <w:r w:rsidR="009108FD">
        <w:rPr>
          <w:color w:val="000000"/>
          <w:szCs w:val="24"/>
          <w:lang w:eastAsia="ja-JP"/>
        </w:rPr>
        <w:t xml:space="preserve"> </w:t>
      </w:r>
      <w:r w:rsidR="009108FD" w:rsidRPr="006705B4">
        <w:rPr>
          <w:color w:val="000000"/>
          <w:szCs w:val="24"/>
          <w:lang w:eastAsia="ja-JP"/>
        </w:rPr>
        <w:t xml:space="preserve">pression avec des pressions hydrostatiques </w:t>
      </w:r>
      <w:r w:rsidR="009108FD" w:rsidRPr="00DA27C6">
        <w:rPr>
          <w:strike/>
          <w:color w:val="000000"/>
          <w:szCs w:val="24"/>
          <w:lang w:eastAsia="ja-JP"/>
        </w:rPr>
        <w:t>allant jusqu’à</w:t>
      </w:r>
      <w:r w:rsidR="009108FD" w:rsidRPr="006705B4">
        <w:rPr>
          <w:color w:val="000000"/>
          <w:szCs w:val="24"/>
          <w:lang w:eastAsia="ja-JP"/>
        </w:rPr>
        <w:t xml:space="preserve"> </w:t>
      </w:r>
      <w:r w:rsidR="009108FD" w:rsidRPr="00DA27C6">
        <w:rPr>
          <w:b/>
          <w:color w:val="000000"/>
          <w:szCs w:val="24"/>
          <w:lang w:eastAsia="ja-JP"/>
        </w:rPr>
        <w:t>égales ou supérieures à</w:t>
      </w:r>
      <w:r w:rsidR="009108FD">
        <w:rPr>
          <w:color w:val="000000"/>
          <w:szCs w:val="24"/>
          <w:lang w:eastAsia="ja-JP"/>
        </w:rPr>
        <w:t xml:space="preserve"> </w:t>
      </w:r>
      <w:r w:rsidR="00352D4B">
        <w:rPr>
          <w:color w:val="000000"/>
          <w:szCs w:val="24"/>
          <w:lang w:eastAsia="ja-JP"/>
        </w:rPr>
        <w:t>125 </w:t>
      </w:r>
      <w:r w:rsidR="009108FD" w:rsidRPr="006705B4">
        <w:rPr>
          <w:color w:val="000000"/>
          <w:szCs w:val="24"/>
          <w:lang w:eastAsia="ja-JP"/>
        </w:rPr>
        <w:t>% de la PSN</w:t>
      </w:r>
      <w:r w:rsidR="009108FD">
        <w:rPr>
          <w:color w:val="000000"/>
          <w:szCs w:val="24"/>
          <w:lang w:eastAsia="ja-JP"/>
        </w:rPr>
        <w:t xml:space="preserve"> </w:t>
      </w:r>
      <w:r w:rsidR="00706C1A">
        <w:rPr>
          <w:strike/>
          <w:color w:val="000000"/>
          <w:szCs w:val="24"/>
          <w:lang w:eastAsia="ja-JP"/>
        </w:rPr>
        <w:t>(+2/</w:t>
      </w:r>
      <w:r w:rsidR="00706C1A">
        <w:rPr>
          <w:strike/>
          <w:color w:val="000000"/>
          <w:szCs w:val="24"/>
          <w:lang w:eastAsia="ja-JP"/>
        </w:rPr>
        <w:noBreakHyphen/>
      </w:r>
      <w:r w:rsidR="009108FD" w:rsidRPr="00DA27C6">
        <w:rPr>
          <w:strike/>
          <w:color w:val="000000"/>
          <w:szCs w:val="24"/>
          <w:lang w:eastAsia="ja-JP"/>
        </w:rPr>
        <w:t xml:space="preserve">0 </w:t>
      </w:r>
      <w:proofErr w:type="spellStart"/>
      <w:r w:rsidR="009108FD" w:rsidRPr="00DA27C6">
        <w:rPr>
          <w:strike/>
          <w:color w:val="000000"/>
          <w:szCs w:val="24"/>
          <w:lang w:eastAsia="ja-JP"/>
        </w:rPr>
        <w:t>MPa</w:t>
      </w:r>
      <w:proofErr w:type="spellEnd"/>
      <w:r w:rsidR="009108FD" w:rsidRPr="00DA27C6">
        <w:rPr>
          <w:strike/>
          <w:color w:val="000000"/>
          <w:szCs w:val="24"/>
          <w:lang w:eastAsia="ja-JP"/>
        </w:rPr>
        <w:t>)</w:t>
      </w:r>
      <w:r w:rsidR="009108FD" w:rsidRPr="006705B4">
        <w:rPr>
          <w:color w:val="000000"/>
          <w:szCs w:val="24"/>
          <w:lang w:eastAsia="ja-JP"/>
        </w:rPr>
        <w:t xml:space="preserve">, </w:t>
      </w:r>
      <w:r w:rsidR="009108FD">
        <w:rPr>
          <w:color w:val="000000"/>
          <w:szCs w:val="24"/>
          <w:lang w:eastAsia="ja-JP"/>
        </w:rPr>
        <w:t>jusqu’à</w:t>
      </w:r>
      <w:r w:rsidR="00C86266">
        <w:rPr>
          <w:color w:val="000000"/>
          <w:szCs w:val="24"/>
          <w:lang w:eastAsia="ja-JP"/>
        </w:rPr>
        <w:t xml:space="preserve"> 22 </w:t>
      </w:r>
      <w:r w:rsidR="009108FD" w:rsidRPr="006705B4">
        <w:rPr>
          <w:color w:val="000000"/>
          <w:szCs w:val="24"/>
          <w:lang w:eastAsia="ja-JP"/>
        </w:rPr>
        <w:t xml:space="preserve">000 cycles lorsqu’il ne se </w:t>
      </w:r>
      <w:r w:rsidR="001A09B3">
        <w:rPr>
          <w:color w:val="000000"/>
          <w:szCs w:val="24"/>
          <w:lang w:eastAsia="ja-JP"/>
        </w:rPr>
        <w:t>produit pas de fuite ou jusqu’à </w:t>
      </w:r>
      <w:r w:rsidR="009108FD" w:rsidRPr="006705B4">
        <w:rPr>
          <w:color w:val="000000"/>
          <w:szCs w:val="24"/>
          <w:lang w:eastAsia="ja-JP"/>
        </w:rPr>
        <w:t>ce</w:t>
      </w:r>
      <w:r w:rsidR="009108FD">
        <w:rPr>
          <w:color w:val="000000"/>
          <w:szCs w:val="24"/>
          <w:lang w:eastAsia="ja-JP"/>
        </w:rPr>
        <w:t xml:space="preserve"> </w:t>
      </w:r>
      <w:r w:rsidR="009108FD" w:rsidRPr="006705B4">
        <w:rPr>
          <w:color w:val="000000"/>
          <w:szCs w:val="24"/>
          <w:lang w:eastAsia="ja-JP"/>
        </w:rPr>
        <w:t xml:space="preserve">qu’une fuite se produise. </w:t>
      </w:r>
      <w:r w:rsidR="009108FD" w:rsidRPr="00DA27C6">
        <w:rPr>
          <w:strike/>
          <w:color w:val="000000"/>
          <w:szCs w:val="24"/>
          <w:lang w:eastAsia="ja-JP"/>
        </w:rPr>
        <w:t>L’humidité relative ne doit pas être spécifiée.</w:t>
      </w:r>
      <w:r w:rsidR="009108FD" w:rsidRPr="006705B4">
        <w:rPr>
          <w:color w:val="000000"/>
          <w:szCs w:val="24"/>
          <w:lang w:eastAsia="ja-JP"/>
        </w:rPr>
        <w:t xml:space="preserve"> Pour</w:t>
      </w:r>
      <w:r w:rsidR="009108FD">
        <w:rPr>
          <w:color w:val="000000"/>
          <w:szCs w:val="24"/>
          <w:lang w:eastAsia="ja-JP"/>
        </w:rPr>
        <w:t xml:space="preserve"> </w:t>
      </w:r>
      <w:r w:rsidR="008A5A6B">
        <w:rPr>
          <w:color w:val="000000"/>
          <w:szCs w:val="24"/>
          <w:lang w:eastAsia="ja-JP"/>
        </w:rPr>
        <w:t>la durée de service de 15 </w:t>
      </w:r>
      <w:r w:rsidR="009108FD" w:rsidRPr="006705B4">
        <w:rPr>
          <w:color w:val="000000"/>
          <w:szCs w:val="24"/>
          <w:lang w:eastAsia="ja-JP"/>
        </w:rPr>
        <w:t>ans, la bouteille ne doit pas fuir ou se briser au</w:t>
      </w:r>
      <w:r w:rsidR="009108FD">
        <w:rPr>
          <w:color w:val="000000"/>
          <w:szCs w:val="24"/>
          <w:lang w:eastAsia="ja-JP"/>
        </w:rPr>
        <w:t xml:space="preserve"> </w:t>
      </w:r>
      <w:r w:rsidR="00EA2FB2">
        <w:rPr>
          <w:color w:val="000000"/>
          <w:szCs w:val="24"/>
          <w:lang w:eastAsia="ja-JP"/>
        </w:rPr>
        <w:t>cours des 11 </w:t>
      </w:r>
      <w:r w:rsidR="009108FD" w:rsidRPr="006705B4">
        <w:rPr>
          <w:color w:val="000000"/>
          <w:szCs w:val="24"/>
          <w:lang w:eastAsia="ja-JP"/>
        </w:rPr>
        <w:t>000 premiers cycles.</w:t>
      </w:r>
      <w:r w:rsidR="00210400">
        <w:rPr>
          <w:color w:val="000000"/>
          <w:szCs w:val="24"/>
          <w:lang w:eastAsia="ja-JP"/>
        </w:rPr>
        <w:t> »</w:t>
      </w:r>
      <w:r w:rsidR="009108FD">
        <w:rPr>
          <w:color w:val="000000"/>
          <w:szCs w:val="24"/>
          <w:lang w:eastAsia="ja-JP"/>
        </w:rPr>
        <w:t>.</w:t>
      </w:r>
    </w:p>
    <w:p w:rsidR="009108FD" w:rsidRPr="00FE1F74" w:rsidRDefault="009108FD" w:rsidP="00891EF6">
      <w:pPr>
        <w:pStyle w:val="SingleTxtG"/>
        <w:rPr>
          <w:i/>
          <w:color w:val="000000"/>
          <w:szCs w:val="24"/>
          <w:lang w:eastAsia="ja-JP"/>
        </w:rPr>
      </w:pPr>
      <w:r w:rsidRPr="00891EF6">
        <w:rPr>
          <w:i/>
        </w:rPr>
        <w:t>Annexe</w:t>
      </w:r>
      <w:r>
        <w:rPr>
          <w:i/>
          <w:color w:val="000000"/>
          <w:szCs w:val="24"/>
          <w:lang w:eastAsia="ja-JP"/>
        </w:rPr>
        <w:t> </w:t>
      </w:r>
      <w:r w:rsidRPr="00FE1F74">
        <w:rPr>
          <w:i/>
          <w:color w:val="000000"/>
          <w:szCs w:val="24"/>
          <w:lang w:eastAsia="ja-JP"/>
        </w:rPr>
        <w:t>3</w:t>
      </w:r>
      <w:r w:rsidRPr="0032708D">
        <w:rPr>
          <w:color w:val="000000"/>
          <w:szCs w:val="24"/>
          <w:lang w:eastAsia="ja-JP"/>
        </w:rPr>
        <w:t>,</w:t>
      </w:r>
      <w:r w:rsidRPr="00FE1F74">
        <w:rPr>
          <w:i/>
          <w:color w:val="000000"/>
          <w:szCs w:val="24"/>
          <w:lang w:eastAsia="ja-JP"/>
        </w:rPr>
        <w:t xml:space="preserve"> </w:t>
      </w:r>
    </w:p>
    <w:p w:rsidR="009108FD" w:rsidRPr="00FE1F74" w:rsidRDefault="009108FD" w:rsidP="00891EF6">
      <w:pPr>
        <w:pStyle w:val="SingleTxtG"/>
        <w:rPr>
          <w:color w:val="000000"/>
          <w:szCs w:val="24"/>
          <w:lang w:eastAsia="ja-JP"/>
        </w:rPr>
      </w:pPr>
      <w:r w:rsidRPr="00891EF6">
        <w:rPr>
          <w:i/>
        </w:rPr>
        <w:t>Paragraphe</w:t>
      </w:r>
      <w:r w:rsidR="00EA2FB2" w:rsidRPr="00891EF6">
        <w:rPr>
          <w:i/>
        </w:rPr>
        <w:t>s</w:t>
      </w:r>
      <w:r w:rsidR="00EA2FB2">
        <w:rPr>
          <w:i/>
          <w:color w:val="000000"/>
          <w:szCs w:val="24"/>
          <w:lang w:eastAsia="ja-JP"/>
        </w:rPr>
        <w:t> </w:t>
      </w:r>
      <w:r w:rsidRPr="00FE1F74">
        <w:rPr>
          <w:i/>
          <w:color w:val="000000"/>
          <w:szCs w:val="24"/>
          <w:lang w:eastAsia="ja-JP"/>
        </w:rPr>
        <w:t>2.1</w:t>
      </w:r>
      <w:r>
        <w:rPr>
          <w:i/>
          <w:color w:val="000000"/>
          <w:szCs w:val="24"/>
          <w:lang w:eastAsia="ja-JP"/>
        </w:rPr>
        <w:t xml:space="preserve"> à</w:t>
      </w:r>
      <w:r w:rsidRPr="00FE1F74">
        <w:rPr>
          <w:i/>
          <w:color w:val="000000"/>
          <w:szCs w:val="24"/>
          <w:lang w:eastAsia="ja-JP"/>
        </w:rPr>
        <w:t xml:space="preserve"> 2.2</w:t>
      </w:r>
      <w:r w:rsidRPr="00FE1F74">
        <w:rPr>
          <w:color w:val="000000"/>
          <w:szCs w:val="24"/>
          <w:lang w:eastAsia="ja-JP"/>
        </w:rPr>
        <w:t xml:space="preserve">, </w:t>
      </w:r>
      <w:proofErr w:type="gramStart"/>
      <w:r w:rsidRPr="00483A93">
        <w:rPr>
          <w:color w:val="000000"/>
          <w:szCs w:val="24"/>
          <w:lang w:eastAsia="ja-JP"/>
        </w:rPr>
        <w:t>modifier</w:t>
      </w:r>
      <w:proofErr w:type="gramEnd"/>
      <w:r w:rsidRPr="00483A93">
        <w:rPr>
          <w:color w:val="000000"/>
          <w:szCs w:val="24"/>
          <w:lang w:eastAsia="ja-JP"/>
        </w:rPr>
        <w:t xml:space="preserve"> comme suit</w:t>
      </w:r>
      <w:r w:rsidR="003A0FA4">
        <w:rPr>
          <w:color w:val="000000"/>
          <w:szCs w:val="24"/>
          <w:lang w:eastAsia="ja-JP"/>
        </w:rPr>
        <w:t> :</w:t>
      </w:r>
    </w:p>
    <w:p w:rsidR="009108FD" w:rsidRPr="00FE1F74" w:rsidRDefault="000A1AA7" w:rsidP="00181CAA">
      <w:pPr>
        <w:pStyle w:val="SingleTxtG"/>
        <w:ind w:left="2268" w:hanging="1134"/>
        <w:rPr>
          <w:color w:val="000000"/>
          <w:szCs w:val="24"/>
          <w:lang w:eastAsia="ja-JP"/>
        </w:rPr>
      </w:pPr>
      <w:r>
        <w:rPr>
          <w:color w:val="000000"/>
          <w:szCs w:val="24"/>
          <w:lang w:eastAsia="ja-JP"/>
        </w:rPr>
        <w:t>« </w:t>
      </w:r>
      <w:r w:rsidR="009108FD" w:rsidRPr="00FE1F74">
        <w:rPr>
          <w:color w:val="000000"/>
          <w:szCs w:val="24"/>
          <w:lang w:eastAsia="ja-JP"/>
        </w:rPr>
        <w:t xml:space="preserve">2.1 </w:t>
      </w:r>
      <w:r w:rsidR="009108FD" w:rsidRPr="00FE1F74">
        <w:rPr>
          <w:rFonts w:hint="eastAsia"/>
          <w:color w:val="000000"/>
          <w:szCs w:val="24"/>
          <w:lang w:eastAsia="ja-JP"/>
        </w:rPr>
        <w:tab/>
      </w:r>
      <w:r w:rsidR="009108FD" w:rsidRPr="002A5D6D">
        <w:rPr>
          <w:color w:val="000000"/>
          <w:szCs w:val="24"/>
          <w:lang w:eastAsia="ja-JP"/>
        </w:rPr>
        <w:t xml:space="preserve">Essai </w:t>
      </w:r>
      <w:r w:rsidR="009108FD" w:rsidRPr="00181CAA">
        <w:rPr>
          <w:color w:val="000000"/>
          <w:szCs w:val="24"/>
          <w:lang w:eastAsia="ja-JP"/>
        </w:rPr>
        <w:t>d’éclatement</w:t>
      </w:r>
      <w:r w:rsidR="009108FD" w:rsidRPr="002A5D6D">
        <w:rPr>
          <w:color w:val="000000"/>
          <w:szCs w:val="24"/>
          <w:lang w:eastAsia="ja-JP"/>
        </w:rPr>
        <w:t xml:space="preserve"> (hydraulique)</w:t>
      </w:r>
    </w:p>
    <w:p w:rsidR="009108FD" w:rsidRPr="002A5D6D" w:rsidRDefault="009108FD" w:rsidP="00181CAA">
      <w:pPr>
        <w:pStyle w:val="SingleTxtG"/>
        <w:ind w:left="2268" w:hanging="1134"/>
        <w:rPr>
          <w:color w:val="000000"/>
          <w:szCs w:val="24"/>
          <w:lang w:eastAsia="ja-JP"/>
        </w:rPr>
      </w:pPr>
      <w:r w:rsidRPr="00FE1F74">
        <w:rPr>
          <w:color w:val="000000"/>
          <w:szCs w:val="24"/>
          <w:lang w:eastAsia="ja-JP"/>
        </w:rPr>
        <w:tab/>
      </w:r>
      <w:r w:rsidRPr="002A5D6D">
        <w:rPr>
          <w:color w:val="000000"/>
          <w:szCs w:val="24"/>
          <w:lang w:eastAsia="ja-JP"/>
        </w:rPr>
        <w:t xml:space="preserve">L’essai </w:t>
      </w:r>
      <w:r w:rsidRPr="002641CA">
        <w:rPr>
          <w:lang w:eastAsia="ja-JP"/>
        </w:rPr>
        <w:t>d’éclatement</w:t>
      </w:r>
      <w:r w:rsidRPr="002A5D6D">
        <w:rPr>
          <w:color w:val="000000"/>
          <w:szCs w:val="24"/>
          <w:lang w:eastAsia="ja-JP"/>
        </w:rPr>
        <w:t xml:space="preserve"> doit être effectué à la température </w:t>
      </w:r>
      <w:r w:rsidRPr="002A5D6D">
        <w:rPr>
          <w:b/>
          <w:color w:val="000000"/>
          <w:szCs w:val="24"/>
          <w:lang w:eastAsia="ja-JP"/>
        </w:rPr>
        <w:t>ambiante</w:t>
      </w:r>
      <w:r>
        <w:rPr>
          <w:color w:val="000000"/>
          <w:szCs w:val="24"/>
          <w:lang w:eastAsia="ja-JP"/>
        </w:rPr>
        <w:t xml:space="preserve"> </w:t>
      </w:r>
      <w:r w:rsidR="00714D35">
        <w:rPr>
          <w:color w:val="000000"/>
          <w:szCs w:val="24"/>
          <w:lang w:eastAsia="ja-JP"/>
        </w:rPr>
        <w:t>de </w:t>
      </w:r>
      <w:r w:rsidR="00F8498A">
        <w:rPr>
          <w:color w:val="000000"/>
          <w:szCs w:val="24"/>
          <w:lang w:eastAsia="ja-JP"/>
        </w:rPr>
        <w:t>20</w:t>
      </w:r>
      <w:r w:rsidR="0039076B">
        <w:rPr>
          <w:color w:val="000000"/>
          <w:szCs w:val="24"/>
          <w:lang w:eastAsia="ja-JP"/>
        </w:rPr>
        <w:t> </w:t>
      </w:r>
      <w:r w:rsidR="00015D1D">
        <w:rPr>
          <w:color w:val="000000"/>
          <w:szCs w:val="24"/>
          <w:lang w:eastAsia="ja-JP"/>
        </w:rPr>
        <w:t>(±5)</w:t>
      </w:r>
      <w:r w:rsidR="0039076B">
        <w:rPr>
          <w:color w:val="000000"/>
          <w:szCs w:val="24"/>
          <w:lang w:eastAsia="ja-JP"/>
        </w:rPr>
        <w:t> </w:t>
      </w:r>
      <w:r w:rsidR="00015D1D">
        <w:rPr>
          <w:color w:val="000000"/>
          <w:szCs w:val="24"/>
          <w:lang w:eastAsia="ja-JP"/>
        </w:rPr>
        <w:t>°</w:t>
      </w:r>
      <w:r w:rsidRPr="002A5D6D">
        <w:rPr>
          <w:color w:val="000000"/>
          <w:szCs w:val="24"/>
          <w:lang w:eastAsia="ja-JP"/>
        </w:rPr>
        <w:t>C,</w:t>
      </w:r>
      <w:r>
        <w:rPr>
          <w:color w:val="000000"/>
          <w:szCs w:val="24"/>
          <w:lang w:eastAsia="ja-JP"/>
        </w:rPr>
        <w:t xml:space="preserve"> </w:t>
      </w:r>
      <w:r w:rsidRPr="002A5D6D">
        <w:rPr>
          <w:color w:val="000000"/>
          <w:szCs w:val="24"/>
          <w:lang w:eastAsia="ja-JP"/>
        </w:rPr>
        <w:t>à l’aide d’un liquide non corrosif.</w:t>
      </w:r>
    </w:p>
    <w:p w:rsidR="009108FD" w:rsidRPr="00FE1F74" w:rsidRDefault="009108FD" w:rsidP="00181CAA">
      <w:pPr>
        <w:pStyle w:val="SingleTxtG"/>
        <w:ind w:left="2268" w:hanging="1134"/>
        <w:rPr>
          <w:color w:val="000000"/>
          <w:szCs w:val="24"/>
          <w:lang w:eastAsia="ja-JP"/>
        </w:rPr>
      </w:pPr>
      <w:r w:rsidRPr="00FE1F74">
        <w:rPr>
          <w:color w:val="000000"/>
          <w:szCs w:val="24"/>
          <w:lang w:eastAsia="ja-JP"/>
        </w:rPr>
        <w:t>2.2</w:t>
      </w:r>
      <w:r w:rsidRPr="00FE1F74">
        <w:rPr>
          <w:rFonts w:hint="eastAsia"/>
          <w:color w:val="000000"/>
          <w:szCs w:val="24"/>
          <w:lang w:eastAsia="ja-JP"/>
        </w:rPr>
        <w:tab/>
      </w:r>
      <w:r w:rsidRPr="002A5D6D">
        <w:rPr>
          <w:color w:val="000000"/>
          <w:szCs w:val="24"/>
          <w:lang w:eastAsia="ja-JP"/>
        </w:rPr>
        <w:t xml:space="preserve">Essai </w:t>
      </w:r>
      <w:r w:rsidRPr="002641CA">
        <w:rPr>
          <w:lang w:eastAsia="ja-JP"/>
        </w:rPr>
        <w:t>de</w:t>
      </w:r>
      <w:r w:rsidRPr="002A5D6D">
        <w:rPr>
          <w:color w:val="000000"/>
          <w:szCs w:val="24"/>
          <w:lang w:eastAsia="ja-JP"/>
        </w:rPr>
        <w:t xml:space="preserve"> cycles de pression (hydraulique)</w:t>
      </w:r>
    </w:p>
    <w:p w:rsidR="009108FD" w:rsidRPr="003E4ED6" w:rsidRDefault="00181CAA" w:rsidP="00181CAA">
      <w:pPr>
        <w:pStyle w:val="SingleTxtG"/>
        <w:ind w:left="2268" w:hanging="1134"/>
        <w:rPr>
          <w:color w:val="000000"/>
          <w:szCs w:val="24"/>
          <w:lang w:eastAsia="ja-JP"/>
        </w:rPr>
      </w:pPr>
      <w:r w:rsidRPr="003E4ED6">
        <w:rPr>
          <w:color w:val="000000"/>
          <w:szCs w:val="24"/>
          <w:lang w:eastAsia="ja-JP"/>
        </w:rPr>
        <w:tab/>
      </w:r>
      <w:r w:rsidR="009108FD" w:rsidRPr="003E4ED6">
        <w:rPr>
          <w:color w:val="000000"/>
          <w:szCs w:val="24"/>
          <w:lang w:eastAsia="ja-JP"/>
        </w:rPr>
        <w:t>…</w:t>
      </w:r>
      <w:r w:rsidR="009108FD" w:rsidRPr="003E4ED6">
        <w:rPr>
          <w:rFonts w:hint="eastAsia"/>
          <w:color w:val="000000"/>
          <w:szCs w:val="24"/>
          <w:lang w:eastAsia="ja-JP"/>
        </w:rPr>
        <w:t>.</w:t>
      </w:r>
    </w:p>
    <w:p w:rsidR="009108FD" w:rsidRDefault="009108FD" w:rsidP="00181CAA">
      <w:pPr>
        <w:pStyle w:val="SingleTxtG"/>
        <w:ind w:left="2268" w:hanging="1134"/>
        <w:rPr>
          <w:color w:val="000000"/>
          <w:szCs w:val="24"/>
          <w:lang w:eastAsia="ja-JP"/>
        </w:rPr>
      </w:pPr>
      <w:proofErr w:type="gramStart"/>
      <w:r w:rsidRPr="00FE1F74">
        <w:rPr>
          <w:color w:val="000000"/>
          <w:szCs w:val="24"/>
          <w:lang w:eastAsia="ja-JP"/>
        </w:rPr>
        <w:t>c</w:t>
      </w:r>
      <w:proofErr w:type="gramEnd"/>
      <w:r w:rsidRPr="00FE1F74">
        <w:rPr>
          <w:color w:val="000000"/>
          <w:szCs w:val="24"/>
          <w:lang w:eastAsia="ja-JP"/>
        </w:rPr>
        <w:t>)</w:t>
      </w:r>
      <w:r w:rsidRPr="00FE1F74">
        <w:rPr>
          <w:color w:val="000000"/>
          <w:szCs w:val="24"/>
          <w:lang w:eastAsia="ja-JP"/>
        </w:rPr>
        <w:tab/>
      </w:r>
      <w:r w:rsidRPr="002A5D6D">
        <w:rPr>
          <w:color w:val="000000"/>
          <w:szCs w:val="24"/>
          <w:lang w:eastAsia="ja-JP"/>
        </w:rPr>
        <w:t xml:space="preserve">On soumet le réservoir à </w:t>
      </w:r>
      <w:r w:rsidRPr="003E4ED6">
        <w:rPr>
          <w:color w:val="000000"/>
          <w:szCs w:val="24"/>
          <w:lang w:eastAsia="ja-JP"/>
        </w:rPr>
        <w:t>des</w:t>
      </w:r>
      <w:r w:rsidRPr="002A5D6D">
        <w:rPr>
          <w:color w:val="000000"/>
          <w:szCs w:val="24"/>
          <w:lang w:eastAsia="ja-JP"/>
        </w:rPr>
        <w:t xml:space="preserve"> cycles de pression variant entre</w:t>
      </w:r>
      <w:r>
        <w:rPr>
          <w:color w:val="000000"/>
          <w:szCs w:val="24"/>
          <w:lang w:eastAsia="ja-JP"/>
        </w:rPr>
        <w:t xml:space="preserve"> </w:t>
      </w:r>
      <w:r w:rsidRPr="002A5D6D">
        <w:rPr>
          <w:strike/>
          <w:color w:val="000000"/>
          <w:szCs w:val="24"/>
          <w:lang w:eastAsia="ja-JP"/>
        </w:rPr>
        <w:t xml:space="preserve">2 (±1) </w:t>
      </w:r>
      <w:proofErr w:type="spellStart"/>
      <w:r w:rsidRPr="002A5D6D">
        <w:rPr>
          <w:strike/>
          <w:color w:val="000000"/>
          <w:szCs w:val="24"/>
          <w:lang w:eastAsia="ja-JP"/>
        </w:rPr>
        <w:t>MPa</w:t>
      </w:r>
      <w:proofErr w:type="spellEnd"/>
      <w:r w:rsidR="00BD01EA">
        <w:rPr>
          <w:strike/>
          <w:color w:val="000000"/>
          <w:szCs w:val="24"/>
          <w:lang w:eastAsia="ja-JP"/>
        </w:rPr>
        <w:t> </w:t>
      </w:r>
      <w:r w:rsidRPr="00FE1F74">
        <w:rPr>
          <w:rFonts w:eastAsia="MS Mincho"/>
          <w:b/>
          <w:szCs w:val="24"/>
          <w:lang w:val="en-US"/>
        </w:rPr>
        <w:sym w:font="Symbol" w:char="F0A3"/>
      </w:r>
      <w:r w:rsidR="008A72FB">
        <w:rPr>
          <w:rFonts w:eastAsia="MS Mincho"/>
          <w:szCs w:val="24"/>
          <w:lang w:eastAsia="ja-JP"/>
        </w:rPr>
        <w:t> </w:t>
      </w:r>
      <w:r w:rsidR="00D13FC5">
        <w:rPr>
          <w:b/>
          <w:color w:val="000000"/>
          <w:szCs w:val="24"/>
          <w:lang w:eastAsia="ja-JP"/>
        </w:rPr>
        <w:t>3</w:t>
      </w:r>
      <w:r w:rsidR="0000627E">
        <w:rPr>
          <w:b/>
          <w:color w:val="000000"/>
          <w:szCs w:val="24"/>
          <w:lang w:eastAsia="ja-JP"/>
        </w:rPr>
        <w:t> </w:t>
      </w:r>
      <w:proofErr w:type="spellStart"/>
      <w:r w:rsidRPr="00FE1F74">
        <w:rPr>
          <w:b/>
          <w:color w:val="000000"/>
          <w:szCs w:val="24"/>
          <w:lang w:eastAsia="ja-JP"/>
        </w:rPr>
        <w:t>MPa</w:t>
      </w:r>
      <w:proofErr w:type="spellEnd"/>
      <w:r w:rsidRPr="00FE1F74">
        <w:rPr>
          <w:color w:val="000000"/>
          <w:szCs w:val="24"/>
          <w:lang w:eastAsia="ja-JP"/>
        </w:rPr>
        <w:t xml:space="preserve"> </w:t>
      </w:r>
      <w:r w:rsidRPr="002A5D6D">
        <w:rPr>
          <w:color w:val="000000"/>
          <w:szCs w:val="24"/>
          <w:lang w:eastAsia="ja-JP"/>
        </w:rPr>
        <w:t>et la pression visée, à une cadence ne dépassant pas</w:t>
      </w:r>
      <w:r>
        <w:rPr>
          <w:color w:val="000000"/>
          <w:szCs w:val="24"/>
          <w:lang w:eastAsia="ja-JP"/>
        </w:rPr>
        <w:t xml:space="preserve"> </w:t>
      </w:r>
      <w:r w:rsidR="00FF4022">
        <w:rPr>
          <w:color w:val="000000"/>
          <w:szCs w:val="24"/>
          <w:lang w:eastAsia="ja-JP"/>
        </w:rPr>
        <w:t>10 </w:t>
      </w:r>
      <w:r w:rsidRPr="002A5D6D">
        <w:rPr>
          <w:color w:val="000000"/>
          <w:szCs w:val="24"/>
          <w:lang w:eastAsia="ja-JP"/>
        </w:rPr>
        <w:t>cycles par min pendant le nombre de cycles spécifié</w:t>
      </w:r>
      <w:r w:rsidR="00263244">
        <w:rPr>
          <w:color w:val="000000"/>
          <w:szCs w:val="24"/>
          <w:lang w:eastAsia="ja-JP"/>
        </w:rPr>
        <w:t> ;</w:t>
      </w:r>
      <w:r>
        <w:rPr>
          <w:color w:val="000000"/>
          <w:szCs w:val="24"/>
          <w:lang w:eastAsia="ja-JP"/>
        </w:rPr>
        <w:t xml:space="preserve"> </w:t>
      </w:r>
      <w:r w:rsidRPr="00FE1F74">
        <w:rPr>
          <w:color w:val="000000"/>
          <w:szCs w:val="24"/>
          <w:lang w:eastAsia="ja-JP"/>
        </w:rPr>
        <w:t>…</w:t>
      </w:r>
      <w:r w:rsidR="00181CAA">
        <w:rPr>
          <w:color w:val="000000"/>
          <w:szCs w:val="24"/>
          <w:lang w:eastAsia="ja-JP"/>
        </w:rPr>
        <w:t> »</w:t>
      </w:r>
    </w:p>
    <w:p w:rsidR="00A07698" w:rsidRPr="003E4ED6" w:rsidRDefault="00A07698" w:rsidP="00A07698">
      <w:pPr>
        <w:pStyle w:val="HChG"/>
        <w:rPr>
          <w:u w:val="single"/>
        </w:rPr>
      </w:pPr>
      <w:r w:rsidRPr="003E4ED6">
        <w:lastRenderedPageBreak/>
        <w:tab/>
        <w:t>II.</w:t>
      </w:r>
      <w:r w:rsidRPr="003E4ED6">
        <w:tab/>
        <w:t xml:space="preserve">Justification </w:t>
      </w:r>
    </w:p>
    <w:p w:rsidR="00A07698" w:rsidRPr="00FE1F74" w:rsidRDefault="00A07698" w:rsidP="00A07698">
      <w:pPr>
        <w:pStyle w:val="H1G"/>
        <w:rPr>
          <w:lang w:eastAsia="ja-JP"/>
        </w:rPr>
      </w:pPr>
      <w:r w:rsidRPr="003E4ED6">
        <w:tab/>
      </w:r>
      <w:r w:rsidRPr="00FE1F74">
        <w:t>A.</w:t>
      </w:r>
      <w:r w:rsidRPr="00FE1F74">
        <w:tab/>
      </w:r>
      <w:r w:rsidRPr="002A5D6D">
        <w:t>Paragraphe</w:t>
      </w:r>
      <w:r>
        <w:t>s </w:t>
      </w:r>
      <w:r w:rsidRPr="00FE1F74">
        <w:rPr>
          <w:rFonts w:hint="eastAsia"/>
          <w:lang w:eastAsia="ja-JP"/>
        </w:rPr>
        <w:t>5.1.1, 5.1.2</w:t>
      </w:r>
      <w:r w:rsidRPr="002A5D6D">
        <w:rPr>
          <w:lang w:eastAsia="ja-JP"/>
        </w:rPr>
        <w:t xml:space="preserve"> et paragraphe</w:t>
      </w:r>
      <w:r w:rsidR="00786077">
        <w:rPr>
          <w:lang w:eastAsia="ja-JP"/>
        </w:rPr>
        <w:t> </w:t>
      </w:r>
      <w:r w:rsidRPr="00FE1F74">
        <w:rPr>
          <w:rFonts w:hint="eastAsia"/>
          <w:lang w:eastAsia="ja-JP"/>
        </w:rPr>
        <w:t>2.1</w:t>
      </w:r>
      <w:r w:rsidRPr="002A5D6D">
        <w:rPr>
          <w:lang w:eastAsia="ja-JP"/>
        </w:rPr>
        <w:t xml:space="preserve"> de l’a</w:t>
      </w:r>
      <w:r w:rsidRPr="00FE1F74">
        <w:rPr>
          <w:rFonts w:hint="eastAsia"/>
          <w:lang w:eastAsia="ja-JP"/>
        </w:rPr>
        <w:t>nnex</w:t>
      </w:r>
      <w:r w:rsidRPr="002A5D6D">
        <w:rPr>
          <w:lang w:eastAsia="ja-JP"/>
        </w:rPr>
        <w:t>e</w:t>
      </w:r>
      <w:r w:rsidR="00F54937">
        <w:rPr>
          <w:lang w:eastAsia="ja-JP"/>
        </w:rPr>
        <w:t> </w:t>
      </w:r>
      <w:r w:rsidRPr="00FE1F74">
        <w:rPr>
          <w:rFonts w:hint="eastAsia"/>
          <w:lang w:eastAsia="ja-JP"/>
        </w:rPr>
        <w:t>3</w:t>
      </w:r>
    </w:p>
    <w:p w:rsidR="00A07698" w:rsidRPr="00FE1F74" w:rsidRDefault="00A07698" w:rsidP="00082C07">
      <w:pPr>
        <w:pStyle w:val="ParNoG"/>
        <w:rPr>
          <w:lang w:eastAsia="ja-JP"/>
        </w:rPr>
      </w:pPr>
      <w:r w:rsidRPr="002A5D6D">
        <w:rPr>
          <w:lang w:eastAsia="ja-JP"/>
        </w:rPr>
        <w:t>Les modifications proposées constituent des</w:t>
      </w:r>
      <w:r w:rsidR="00CB41F1">
        <w:rPr>
          <w:lang w:eastAsia="ja-JP"/>
        </w:rPr>
        <w:t xml:space="preserve"> </w:t>
      </w:r>
      <w:r w:rsidRPr="002A5D6D">
        <w:rPr>
          <w:lang w:eastAsia="ja-JP"/>
        </w:rPr>
        <w:t xml:space="preserve">améliorations d’ordre rédactionnel </w:t>
      </w:r>
      <w:r>
        <w:rPr>
          <w:lang w:eastAsia="ja-JP"/>
        </w:rPr>
        <w:t>destinées à préciser la procédure d’essai et la température ambiante.</w:t>
      </w:r>
    </w:p>
    <w:p w:rsidR="00A07698" w:rsidRPr="00FE1F74" w:rsidRDefault="00A07698" w:rsidP="00082C07">
      <w:pPr>
        <w:pStyle w:val="H1G"/>
        <w:rPr>
          <w:sz w:val="26"/>
          <w:szCs w:val="26"/>
          <w:lang w:eastAsia="ja-JP"/>
        </w:rPr>
      </w:pPr>
      <w:r w:rsidRPr="00FE1F74">
        <w:rPr>
          <w:szCs w:val="24"/>
        </w:rPr>
        <w:tab/>
      </w:r>
      <w:r w:rsidRPr="00FE1F74">
        <w:rPr>
          <w:sz w:val="26"/>
          <w:szCs w:val="26"/>
        </w:rPr>
        <w:t>B.</w:t>
      </w:r>
      <w:r w:rsidRPr="00FE1F74">
        <w:rPr>
          <w:sz w:val="26"/>
          <w:szCs w:val="26"/>
        </w:rPr>
        <w:tab/>
      </w:r>
      <w:r w:rsidRPr="00082C07">
        <w:t>Paragraphes</w:t>
      </w:r>
      <w:r w:rsidR="00082C07">
        <w:rPr>
          <w:sz w:val="26"/>
          <w:szCs w:val="26"/>
        </w:rPr>
        <w:t> </w:t>
      </w:r>
      <w:r w:rsidRPr="00FE1F74">
        <w:rPr>
          <w:rFonts w:hint="eastAsia"/>
          <w:sz w:val="26"/>
          <w:szCs w:val="26"/>
          <w:lang w:eastAsia="ja-JP"/>
        </w:rPr>
        <w:t>9.3.1</w:t>
      </w:r>
      <w:r w:rsidRPr="00FE1F74">
        <w:rPr>
          <w:sz w:val="26"/>
          <w:szCs w:val="26"/>
        </w:rPr>
        <w:t xml:space="preserve">, </w:t>
      </w:r>
      <w:r w:rsidRPr="00FE1F74">
        <w:rPr>
          <w:sz w:val="26"/>
          <w:szCs w:val="26"/>
          <w:lang w:eastAsia="ja-JP"/>
        </w:rPr>
        <w:t>9.3.2.2</w:t>
      </w:r>
      <w:r w:rsidRPr="002A5D6D">
        <w:rPr>
          <w:sz w:val="26"/>
          <w:szCs w:val="26"/>
          <w:lang w:eastAsia="ja-JP"/>
        </w:rPr>
        <w:t xml:space="preserve"> et paragraphe</w:t>
      </w:r>
      <w:r w:rsidR="00082C07">
        <w:rPr>
          <w:sz w:val="26"/>
          <w:szCs w:val="26"/>
          <w:lang w:eastAsia="ja-JP"/>
        </w:rPr>
        <w:t> </w:t>
      </w:r>
      <w:r w:rsidRPr="00FE1F74">
        <w:rPr>
          <w:sz w:val="26"/>
          <w:szCs w:val="26"/>
          <w:lang w:eastAsia="ja-JP"/>
        </w:rPr>
        <w:t>2.2</w:t>
      </w:r>
      <w:r w:rsidR="00082C07">
        <w:rPr>
          <w:sz w:val="26"/>
          <w:szCs w:val="26"/>
          <w:lang w:eastAsia="ja-JP"/>
        </w:rPr>
        <w:t xml:space="preserve"> </w:t>
      </w:r>
      <w:r w:rsidRPr="002A5D6D">
        <w:rPr>
          <w:sz w:val="26"/>
          <w:szCs w:val="26"/>
          <w:lang w:eastAsia="ja-JP"/>
        </w:rPr>
        <w:t>de l’a</w:t>
      </w:r>
      <w:r w:rsidRPr="00FE1F74">
        <w:rPr>
          <w:rFonts w:hint="eastAsia"/>
          <w:sz w:val="26"/>
          <w:szCs w:val="26"/>
          <w:lang w:eastAsia="ja-JP"/>
        </w:rPr>
        <w:t>nnex</w:t>
      </w:r>
      <w:r w:rsidRPr="002A5D6D">
        <w:rPr>
          <w:sz w:val="26"/>
          <w:szCs w:val="26"/>
          <w:lang w:eastAsia="ja-JP"/>
        </w:rPr>
        <w:t>e</w:t>
      </w:r>
      <w:r w:rsidR="00082C07">
        <w:rPr>
          <w:sz w:val="26"/>
          <w:szCs w:val="26"/>
          <w:lang w:eastAsia="ja-JP"/>
        </w:rPr>
        <w:t> </w:t>
      </w:r>
      <w:r w:rsidRPr="00FE1F74">
        <w:rPr>
          <w:rFonts w:hint="eastAsia"/>
          <w:sz w:val="26"/>
          <w:szCs w:val="26"/>
          <w:lang w:eastAsia="ja-JP"/>
        </w:rPr>
        <w:t>3</w:t>
      </w:r>
    </w:p>
    <w:p w:rsidR="00A07698" w:rsidRPr="000660FB" w:rsidRDefault="00A07698" w:rsidP="002273FD">
      <w:pPr>
        <w:pStyle w:val="ParNoG"/>
        <w:rPr>
          <w:lang w:eastAsia="ja-JP"/>
        </w:rPr>
      </w:pPr>
      <w:r w:rsidRPr="002A5D6D">
        <w:rPr>
          <w:lang w:eastAsia="ja-JP"/>
        </w:rPr>
        <w:t>Les tolérances étroites en matière de pression</w:t>
      </w:r>
      <w:r>
        <w:rPr>
          <w:lang w:eastAsia="ja-JP"/>
        </w:rPr>
        <w:t xml:space="preserve"> sont précisées dans les conditions des essais de </w:t>
      </w:r>
      <w:r w:rsidRPr="002A5D6D">
        <w:rPr>
          <w:lang w:eastAsia="ja-JP"/>
        </w:rPr>
        <w:t>pression hydraulique</w:t>
      </w:r>
      <w:r>
        <w:rPr>
          <w:lang w:eastAsia="ja-JP"/>
        </w:rPr>
        <w:t>. Il n’est pas nécessaire que</w:t>
      </w:r>
      <w:r w:rsidR="00CB41F1">
        <w:rPr>
          <w:lang w:eastAsia="ja-JP"/>
        </w:rPr>
        <w:t xml:space="preserve"> </w:t>
      </w:r>
      <w:r>
        <w:rPr>
          <w:lang w:eastAsia="ja-JP"/>
        </w:rPr>
        <w:t xml:space="preserve">les essais de </w:t>
      </w:r>
      <w:r w:rsidRPr="005661A2">
        <w:rPr>
          <w:lang w:eastAsia="ja-JP"/>
        </w:rPr>
        <w:t>conformité</w:t>
      </w:r>
      <w:r>
        <w:rPr>
          <w:lang w:eastAsia="ja-JP"/>
        </w:rPr>
        <w:t xml:space="preserve"> de la production soient aussi stricts. Le fabricant doit contrôler soigneusement la pression pour faire en sorte qu’elle reste dans les étroites limites de tolérance. Cela se traduit par une augmentation de la durée de l’essai et du coût du dispositif de mesure. Les modifications proposées peuvent rendre les conditions d’essai plus rigoureuses en élargissant </w:t>
      </w:r>
      <w:r w:rsidRPr="000660FB">
        <w:rPr>
          <w:lang w:eastAsia="ja-JP"/>
        </w:rPr>
        <w:t>l</w:t>
      </w:r>
      <w:r>
        <w:rPr>
          <w:lang w:eastAsia="ja-JP"/>
        </w:rPr>
        <w:t>es</w:t>
      </w:r>
      <w:r w:rsidRPr="000660FB">
        <w:rPr>
          <w:lang w:eastAsia="ja-JP"/>
        </w:rPr>
        <w:t xml:space="preserve"> cycles de pression</w:t>
      </w:r>
      <w:r>
        <w:rPr>
          <w:lang w:eastAsia="ja-JP"/>
        </w:rPr>
        <w:t xml:space="preserve"> ou en augmentant la pression d’essai. Les modifications proposées sont identiques ou similaires à celles de la réglementation de l’Union e</w:t>
      </w:r>
      <w:r w:rsidR="00BD01EA">
        <w:rPr>
          <w:lang w:eastAsia="ja-JP"/>
        </w:rPr>
        <w:t>uropéenne, des normes des États</w:t>
      </w:r>
      <w:r w:rsidR="00BD01EA">
        <w:rPr>
          <w:lang w:eastAsia="ja-JP"/>
        </w:rPr>
        <w:noBreakHyphen/>
      </w:r>
      <w:r>
        <w:rPr>
          <w:lang w:eastAsia="ja-JP"/>
        </w:rPr>
        <w:t xml:space="preserve">Unis d’Amérique et de la réglementation </w:t>
      </w:r>
      <w:r w:rsidR="006C5C98">
        <w:rPr>
          <w:lang w:eastAsia="ja-JP"/>
        </w:rPr>
        <w:t>du Japon.</w:t>
      </w:r>
    </w:p>
    <w:p w:rsidR="00A07698" w:rsidRPr="00FE1F74" w:rsidRDefault="00A07698" w:rsidP="002273FD">
      <w:pPr>
        <w:pStyle w:val="H23G"/>
        <w:rPr>
          <w:lang w:eastAsia="ja-JP"/>
        </w:rPr>
      </w:pPr>
      <w:r w:rsidRPr="00FE1F74">
        <w:rPr>
          <w:lang w:eastAsia="ja-JP"/>
        </w:rPr>
        <w:tab/>
      </w:r>
      <w:r w:rsidRPr="00FE1F74">
        <w:rPr>
          <w:lang w:eastAsia="ja-JP"/>
        </w:rPr>
        <w:tab/>
      </w:r>
      <w:r w:rsidRPr="00404D9E">
        <w:rPr>
          <w:lang w:eastAsia="ja-JP"/>
        </w:rPr>
        <w:t>Résumé de la justification</w:t>
      </w:r>
      <w:r w:rsidR="002273FD">
        <w:rPr>
          <w:lang w:eastAsia="ja-JP"/>
        </w:rPr>
        <w:t> :</w:t>
      </w:r>
    </w:p>
    <w:p w:rsidR="00A07698" w:rsidRPr="00404D9E" w:rsidRDefault="00A07698" w:rsidP="006C5C98">
      <w:pPr>
        <w:pStyle w:val="ParNoG"/>
        <w:rPr>
          <w:lang w:eastAsia="ja-JP"/>
        </w:rPr>
      </w:pPr>
      <w:r w:rsidRPr="00404D9E">
        <w:rPr>
          <w:lang w:eastAsia="ja-JP"/>
        </w:rPr>
        <w:t xml:space="preserve">Ces propositions </w:t>
      </w:r>
      <w:r>
        <w:rPr>
          <w:lang w:eastAsia="ja-JP"/>
        </w:rPr>
        <w:t>permettraient de réduire sensiblement la durée des essais et de simplifier les dispositifs. Un contrôle minutieux de la pression est nécessaire pour la maintenir dans les limites de tolérance étroites.</w:t>
      </w:r>
    </w:p>
    <w:p w:rsidR="00A07698" w:rsidRDefault="00A07698" w:rsidP="006C5C98">
      <w:pPr>
        <w:pStyle w:val="ParNoG"/>
        <w:rPr>
          <w:lang w:eastAsia="ja-JP"/>
        </w:rPr>
      </w:pPr>
      <w:r w:rsidRPr="00404D9E">
        <w:rPr>
          <w:lang w:eastAsia="ja-JP"/>
        </w:rPr>
        <w:t>La rigueur des conditions peut être accrue par ces propositions car l</w:t>
      </w:r>
      <w:r>
        <w:rPr>
          <w:lang w:eastAsia="ja-JP"/>
        </w:rPr>
        <w:t>’ampleur des cycles de pression de l’essai n’est pas inférieure à ce qu’elle est actuellement et peut même être supérieure.</w:t>
      </w:r>
    </w:p>
    <w:p w:rsidR="00A07698" w:rsidRPr="003E4ED6" w:rsidRDefault="00A07698" w:rsidP="006C5C98">
      <w:pPr>
        <w:pStyle w:val="ParNoG"/>
      </w:pPr>
      <w:r>
        <w:rPr>
          <w:lang w:eastAsia="ja-JP"/>
        </w:rPr>
        <w:t xml:space="preserve">Les modifications </w:t>
      </w:r>
      <w:r w:rsidRPr="002F4C5E">
        <w:rPr>
          <w:lang w:eastAsia="ja-JP"/>
        </w:rPr>
        <w:t>propos</w:t>
      </w:r>
      <w:r>
        <w:rPr>
          <w:lang w:eastAsia="ja-JP"/>
        </w:rPr>
        <w:t xml:space="preserve">ées sont </w:t>
      </w:r>
      <w:r w:rsidRPr="002F4C5E">
        <w:rPr>
          <w:lang w:eastAsia="ja-JP"/>
        </w:rPr>
        <w:t>fiable</w:t>
      </w:r>
      <w:r>
        <w:rPr>
          <w:lang w:eastAsia="ja-JP"/>
        </w:rPr>
        <w:t>s</w:t>
      </w:r>
      <w:r w:rsidRPr="002F4C5E">
        <w:rPr>
          <w:lang w:eastAsia="ja-JP"/>
        </w:rPr>
        <w:t xml:space="preserve"> car </w:t>
      </w:r>
      <w:r>
        <w:rPr>
          <w:lang w:eastAsia="ja-JP"/>
        </w:rPr>
        <w:t xml:space="preserve">elles </w:t>
      </w:r>
      <w:r w:rsidRPr="00AA253D">
        <w:rPr>
          <w:lang w:eastAsia="ja-JP"/>
        </w:rPr>
        <w:t>sont identiques ou similaires à celles de la réglementation de l’Union européenne, des normes des États-Unis d’Amérique et</w:t>
      </w:r>
      <w:r w:rsidR="007113BF">
        <w:rPr>
          <w:lang w:eastAsia="ja-JP"/>
        </w:rPr>
        <w:t xml:space="preserve"> de la réglementation du Japon.</w:t>
      </w:r>
    </w:p>
    <w:p w:rsidR="006C5C98" w:rsidRPr="00FE1F74" w:rsidRDefault="006C5C98" w:rsidP="006C5C98">
      <w:pPr>
        <w:pStyle w:val="H1G"/>
        <w:rPr>
          <w:lang w:eastAsia="ja-JP"/>
        </w:rPr>
      </w:pPr>
      <w:r>
        <w:tab/>
      </w:r>
      <w:r w:rsidRPr="00FE1F74">
        <w:t>C.</w:t>
      </w:r>
      <w:r w:rsidRPr="00FE1F74">
        <w:tab/>
      </w:r>
      <w:r w:rsidRPr="006C5C98">
        <w:t>Paragraphe</w:t>
      </w:r>
      <w:r>
        <w:rPr>
          <w:lang w:eastAsia="ja-JP"/>
        </w:rPr>
        <w:t> </w:t>
      </w:r>
      <w:r w:rsidRPr="00FE1F74">
        <w:rPr>
          <w:rFonts w:hint="eastAsia"/>
          <w:lang w:eastAsia="ja-JP"/>
        </w:rPr>
        <w:t>9.3.2.1</w:t>
      </w:r>
    </w:p>
    <w:p w:rsidR="006C5C98" w:rsidRDefault="006C5C98" w:rsidP="00A6494E">
      <w:pPr>
        <w:pStyle w:val="ParNoG"/>
        <w:rPr>
          <w:lang w:eastAsia="ja-JP"/>
        </w:rPr>
      </w:pPr>
      <w:r w:rsidRPr="002F4C5E">
        <w:rPr>
          <w:lang w:eastAsia="ja-JP"/>
        </w:rPr>
        <w:t>En ce qui concerne la conformité de la production</w:t>
      </w:r>
      <w:r>
        <w:rPr>
          <w:lang w:eastAsia="ja-JP"/>
        </w:rPr>
        <w:t>, le fabricant n’est tenu actuellement qu’à appliquer la pression médiane d’éclatement avec une</w:t>
      </w:r>
      <w:r w:rsidR="00CB41F1">
        <w:rPr>
          <w:lang w:eastAsia="ja-JP"/>
        </w:rPr>
        <w:t xml:space="preserve"> </w:t>
      </w:r>
      <w:r>
        <w:rPr>
          <w:lang w:eastAsia="ja-JP"/>
        </w:rPr>
        <w:t xml:space="preserve">variation spécifiée. </w:t>
      </w:r>
      <w:r w:rsidRPr="00AB394D">
        <w:rPr>
          <w:lang w:eastAsia="ja-JP"/>
        </w:rPr>
        <w:t xml:space="preserve">S’il fixe une pression inférieure la limite de la pression d’éclatement (BP) peut </w:t>
      </w:r>
      <w:r>
        <w:rPr>
          <w:lang w:eastAsia="ja-JP"/>
        </w:rPr>
        <w:t xml:space="preserve">être inférieure à la </w:t>
      </w:r>
      <w:r w:rsidRPr="00AB394D">
        <w:rPr>
          <w:lang w:eastAsia="ja-JP"/>
        </w:rPr>
        <w:t>valeur minimale BP</w:t>
      </w:r>
      <w:r w:rsidRPr="00AB394D">
        <w:rPr>
          <w:vertAlign w:val="subscript"/>
          <w:lang w:eastAsia="ja-JP"/>
        </w:rPr>
        <w:t>min</w:t>
      </w:r>
      <w:r>
        <w:rPr>
          <w:lang w:eastAsia="ja-JP"/>
        </w:rPr>
        <w:t xml:space="preserve">. </w:t>
      </w:r>
      <w:r w:rsidRPr="00AB394D">
        <w:rPr>
          <w:lang w:eastAsia="ja-JP"/>
        </w:rPr>
        <w:t xml:space="preserve">S’il fixe une pression médiane d’éclatement supérieure, </w:t>
      </w:r>
      <w:r>
        <w:rPr>
          <w:lang w:eastAsia="ja-JP"/>
        </w:rPr>
        <w:t xml:space="preserve">de nombreux </w:t>
      </w:r>
      <w:r w:rsidRPr="00AB394D">
        <w:rPr>
          <w:lang w:eastAsia="ja-JP"/>
        </w:rPr>
        <w:t>produits dont la pression d’éclatement</w:t>
      </w:r>
      <w:r>
        <w:rPr>
          <w:lang w:eastAsia="ja-JP"/>
        </w:rPr>
        <w:t xml:space="preserve"> est supérieure à </w:t>
      </w:r>
      <w:r w:rsidRPr="00AB394D">
        <w:rPr>
          <w:lang w:eastAsia="ja-JP"/>
        </w:rPr>
        <w:t>BP</w:t>
      </w:r>
      <w:r w:rsidRPr="00AB394D">
        <w:rPr>
          <w:vertAlign w:val="subscript"/>
          <w:lang w:eastAsia="ja-JP"/>
        </w:rPr>
        <w:t>min</w:t>
      </w:r>
      <w:r>
        <w:rPr>
          <w:vertAlign w:val="subscript"/>
          <w:lang w:eastAsia="ja-JP"/>
        </w:rPr>
        <w:t xml:space="preserve"> </w:t>
      </w:r>
      <w:r>
        <w:rPr>
          <w:lang w:eastAsia="ja-JP"/>
        </w:rPr>
        <w:t>mais i</w:t>
      </w:r>
      <w:r w:rsidRPr="00AB394D">
        <w:rPr>
          <w:lang w:eastAsia="ja-JP"/>
        </w:rPr>
        <w:t>nférieur</w:t>
      </w:r>
      <w:r>
        <w:rPr>
          <w:lang w:eastAsia="ja-JP"/>
        </w:rPr>
        <w:t>e</w:t>
      </w:r>
      <w:r w:rsidRPr="00AB394D">
        <w:rPr>
          <w:lang w:eastAsia="ja-JP"/>
        </w:rPr>
        <w:t xml:space="preserve"> à</w:t>
      </w:r>
      <w:r w:rsidR="007D17B6">
        <w:rPr>
          <w:lang w:eastAsia="ja-JP"/>
        </w:rPr>
        <w:t xml:space="preserve"> </w:t>
      </w:r>
      <w:r w:rsidR="00976778">
        <w:rPr>
          <w:lang w:eastAsia="ja-JP"/>
        </w:rPr>
        <w:t xml:space="preserve">la </w:t>
      </w:r>
      <w:r w:rsidR="007D17B6">
        <w:rPr>
          <w:lang w:eastAsia="ja-JP"/>
        </w:rPr>
        <w:t>limite de moins 10 </w:t>
      </w:r>
      <w:r>
        <w:rPr>
          <w:lang w:eastAsia="ja-JP"/>
        </w:rPr>
        <w:t xml:space="preserve">% ne pourront tout simplement pas satisfaire aux prescriptions même s’ils peuvent être utilisés sans danger. La modification proposée pour résoudre ces problèmes est fiable et utilisée couramment de manière identique ou similaire dans la réglementation de l’Union européenne, dans les normes des États-Unis d’Amérique et dans la réglementation du Japon. Il est également courant de spécifier la </w:t>
      </w:r>
      <w:r w:rsidRPr="00CD0D46">
        <w:rPr>
          <w:lang w:eastAsia="ja-JP"/>
        </w:rPr>
        <w:t>pression m</w:t>
      </w:r>
      <w:r>
        <w:rPr>
          <w:lang w:eastAsia="ja-JP"/>
        </w:rPr>
        <w:t xml:space="preserve">inimale </w:t>
      </w:r>
      <w:r w:rsidRPr="00CD0D46">
        <w:rPr>
          <w:lang w:eastAsia="ja-JP"/>
        </w:rPr>
        <w:t>d’éclatement</w:t>
      </w:r>
      <w:r>
        <w:rPr>
          <w:lang w:eastAsia="ja-JP"/>
        </w:rPr>
        <w:t xml:space="preserve"> dans le cas des </w:t>
      </w:r>
      <w:r w:rsidRPr="00CD0D46">
        <w:rPr>
          <w:lang w:eastAsia="ja-JP"/>
        </w:rPr>
        <w:t>réservoirs à haute pression</w:t>
      </w:r>
      <w:r>
        <w:rPr>
          <w:lang w:eastAsia="ja-JP"/>
        </w:rPr>
        <w:t xml:space="preserve">. L’amendement proposé est aussi appliqué depuis longtemps et sans problème à d’autres </w:t>
      </w:r>
      <w:r w:rsidRPr="00CD0D46">
        <w:rPr>
          <w:lang w:eastAsia="ja-JP"/>
        </w:rPr>
        <w:t>réservoirs à haute pression</w:t>
      </w:r>
      <w:r>
        <w:rPr>
          <w:lang w:eastAsia="ja-JP"/>
        </w:rPr>
        <w:t xml:space="preserve"> notamment en acier ou en matériau composite, y compris pour les véhicules </w:t>
      </w:r>
      <w:r w:rsidRPr="00CD0D46">
        <w:rPr>
          <w:lang w:eastAsia="ja-JP"/>
        </w:rPr>
        <w:t>fonctionnant au gaz naturel comprimé</w:t>
      </w:r>
      <w:r>
        <w:rPr>
          <w:lang w:eastAsia="ja-JP"/>
        </w:rPr>
        <w:t xml:space="preserve"> (GNC). Il faut également noter que la qualité de la production ou la variation de la résistance à la pression font l’objet de vé</w:t>
      </w:r>
      <w:r w:rsidR="00EA3968">
        <w:rPr>
          <w:lang w:eastAsia="ja-JP"/>
        </w:rPr>
        <w:t>rifications à une valeur de 150 </w:t>
      </w:r>
      <w:r>
        <w:rPr>
          <w:lang w:eastAsia="ja-JP"/>
        </w:rPr>
        <w:t xml:space="preserve">% de la </w:t>
      </w:r>
      <w:r w:rsidRPr="00676165">
        <w:rPr>
          <w:lang w:eastAsia="ja-JP"/>
        </w:rPr>
        <w:t xml:space="preserve">pression de service nominale </w:t>
      </w:r>
      <w:r>
        <w:rPr>
          <w:lang w:eastAsia="ja-JP"/>
        </w:rPr>
        <w:t>(PSN) pour tous les produits</w:t>
      </w:r>
      <w:r w:rsidR="00A6494E">
        <w:rPr>
          <w:lang w:eastAsia="ja-JP"/>
        </w:rPr>
        <w:t xml:space="preserve"> soumis au présent Règlement.</w:t>
      </w:r>
    </w:p>
    <w:p w:rsidR="006C5C98" w:rsidRPr="00676165" w:rsidRDefault="006C5C98" w:rsidP="00A6494E">
      <w:pPr>
        <w:pStyle w:val="ParNoG"/>
        <w:rPr>
          <w:lang w:eastAsia="ja-JP"/>
        </w:rPr>
      </w:pPr>
      <w:r w:rsidRPr="00676165">
        <w:rPr>
          <w:lang w:eastAsia="ja-JP"/>
        </w:rPr>
        <w:t xml:space="preserve">La suppression de </w:t>
      </w:r>
      <w:r w:rsidR="00A6494E">
        <w:rPr>
          <w:lang w:eastAsia="ja-JP"/>
        </w:rPr>
        <w:t>« </w:t>
      </w:r>
      <w:r w:rsidRPr="00676165">
        <w:rPr>
          <w:lang w:eastAsia="ja-JP"/>
        </w:rPr>
        <w:t>et en aucun cas inférieure à la valeur nécessaire pour satisfaire aux prescriptions relatives au rapport de contraintes</w:t>
      </w:r>
      <w:r w:rsidR="00694481">
        <w:rPr>
          <w:lang w:eastAsia="ja-JP"/>
        </w:rPr>
        <w:t> »</w:t>
      </w:r>
      <w:r>
        <w:rPr>
          <w:lang w:eastAsia="ja-JP"/>
        </w:rPr>
        <w:t xml:space="preserve"> a pour but de corriger une phrase erronée. Le </w:t>
      </w:r>
      <w:r w:rsidRPr="00676165">
        <w:rPr>
          <w:lang w:eastAsia="ja-JP"/>
        </w:rPr>
        <w:t>rapport de contraintes</w:t>
      </w:r>
      <w:r>
        <w:rPr>
          <w:lang w:eastAsia="ja-JP"/>
        </w:rPr>
        <w:t xml:space="preserve"> est superflu dans ce Règlement. La phrase supprimée avait été malencontreusement copiée lors de l’élaboration du présent Règlement. </w:t>
      </w:r>
    </w:p>
    <w:p w:rsidR="006C5C98" w:rsidRPr="00FE1F74" w:rsidRDefault="00B65C8F" w:rsidP="00B65C8F">
      <w:pPr>
        <w:pStyle w:val="H23G"/>
        <w:rPr>
          <w:lang w:eastAsia="ja-JP"/>
        </w:rPr>
      </w:pPr>
      <w:r>
        <w:rPr>
          <w:lang w:eastAsia="ja-JP"/>
        </w:rPr>
        <w:tab/>
      </w:r>
      <w:r>
        <w:rPr>
          <w:lang w:eastAsia="ja-JP"/>
        </w:rPr>
        <w:tab/>
      </w:r>
      <w:r w:rsidR="006C5C98" w:rsidRPr="00C348CF">
        <w:rPr>
          <w:lang w:eastAsia="ja-JP"/>
        </w:rPr>
        <w:t>Résumé de la justification</w:t>
      </w:r>
      <w:r w:rsidR="006C5C98" w:rsidRPr="00FE1F74">
        <w:rPr>
          <w:lang w:eastAsia="ja-JP"/>
        </w:rPr>
        <w:t>:</w:t>
      </w:r>
      <w:r w:rsidR="006C5C98" w:rsidRPr="00FE1F74">
        <w:rPr>
          <w:rFonts w:eastAsia="MS Mincho"/>
          <w:lang w:eastAsia="ja-JP"/>
        </w:rPr>
        <w:t xml:space="preserve"> </w:t>
      </w:r>
      <w:r w:rsidR="006C5C98" w:rsidRPr="00C348CF">
        <w:rPr>
          <w:rFonts w:eastAsia="MS Mincho"/>
          <w:lang w:eastAsia="ja-JP"/>
        </w:rPr>
        <w:t xml:space="preserve">remplacement de </w:t>
      </w:r>
      <w:r w:rsidR="004F35B4">
        <w:rPr>
          <w:lang w:eastAsia="ja-JP"/>
        </w:rPr>
        <w:t>« </w:t>
      </w:r>
      <w:r w:rsidR="00C022E5">
        <w:rPr>
          <w:lang w:eastAsia="ja-JP"/>
        </w:rPr>
        <w:t>BPO-10 </w:t>
      </w:r>
      <w:r w:rsidR="006C5C98">
        <w:rPr>
          <w:lang w:eastAsia="ja-JP"/>
        </w:rPr>
        <w:t>%</w:t>
      </w:r>
      <w:r w:rsidR="00646BA8">
        <w:rPr>
          <w:lang w:eastAsia="ja-JP"/>
        </w:rPr>
        <w:t> »</w:t>
      </w:r>
      <w:r w:rsidR="006C5C98" w:rsidRPr="00FE1F74">
        <w:rPr>
          <w:lang w:eastAsia="ja-JP"/>
        </w:rPr>
        <w:t xml:space="preserve"> </w:t>
      </w:r>
      <w:r w:rsidR="006C5C98">
        <w:rPr>
          <w:lang w:eastAsia="ja-JP"/>
        </w:rPr>
        <w:t xml:space="preserve">par </w:t>
      </w:r>
      <w:r w:rsidR="007E39DC">
        <w:rPr>
          <w:lang w:eastAsia="ja-JP"/>
        </w:rPr>
        <w:t>« </w:t>
      </w:r>
      <w:r w:rsidR="006C5C98" w:rsidRPr="00FE1F74">
        <w:rPr>
          <w:lang w:eastAsia="ja-JP"/>
        </w:rPr>
        <w:t>BP</w:t>
      </w:r>
      <w:r w:rsidR="006C5C98" w:rsidRPr="00FE1F74">
        <w:rPr>
          <w:vertAlign w:val="subscript"/>
          <w:lang w:eastAsia="ja-JP"/>
        </w:rPr>
        <w:t>min</w:t>
      </w:r>
      <w:r w:rsidR="007472EE">
        <w:rPr>
          <w:lang w:eastAsia="ja-JP"/>
        </w:rPr>
        <w:t> »</w:t>
      </w:r>
    </w:p>
    <w:p w:rsidR="006C5C98" w:rsidRDefault="006C5C98" w:rsidP="00962BC6">
      <w:pPr>
        <w:pStyle w:val="ParNoG"/>
        <w:rPr>
          <w:lang w:eastAsia="ja-JP"/>
        </w:rPr>
      </w:pPr>
      <w:r w:rsidRPr="00C348CF">
        <w:rPr>
          <w:lang w:eastAsia="ja-JP"/>
        </w:rPr>
        <w:t>Les produits dont la pression d’éclatement est inférieure à la pression minimale visée (</w:t>
      </w:r>
      <w:r w:rsidRPr="00FE1F74">
        <w:rPr>
          <w:rFonts w:hint="eastAsia"/>
          <w:lang w:eastAsia="ja-JP"/>
        </w:rPr>
        <w:t>BP</w:t>
      </w:r>
      <w:r w:rsidRPr="00FE1F74">
        <w:rPr>
          <w:rFonts w:hint="eastAsia"/>
          <w:vertAlign w:val="subscript"/>
          <w:lang w:eastAsia="ja-JP"/>
        </w:rPr>
        <w:t>min</w:t>
      </w:r>
      <w:r w:rsidRPr="00FE1F74">
        <w:rPr>
          <w:lang w:eastAsia="ja-JP"/>
        </w:rPr>
        <w:t xml:space="preserve">) </w:t>
      </w:r>
      <w:r>
        <w:rPr>
          <w:lang w:eastAsia="ja-JP"/>
        </w:rPr>
        <w:t>peuvent être autorisés en ver</w:t>
      </w:r>
      <w:r w:rsidR="006234B5">
        <w:rPr>
          <w:lang w:eastAsia="ja-JP"/>
        </w:rPr>
        <w:t>tu de la prescription actuelle.</w:t>
      </w:r>
    </w:p>
    <w:p w:rsidR="006C5C98" w:rsidRPr="0060414A" w:rsidRDefault="006C5C98" w:rsidP="00962BC6">
      <w:pPr>
        <w:pStyle w:val="ParNoG"/>
        <w:rPr>
          <w:lang w:eastAsia="ja-JP"/>
        </w:rPr>
      </w:pPr>
      <w:r>
        <w:rPr>
          <w:lang w:eastAsia="ja-JP"/>
        </w:rPr>
        <w:t xml:space="preserve">De nombreux </w:t>
      </w:r>
      <w:r w:rsidRPr="0060414A">
        <w:rPr>
          <w:lang w:eastAsia="ja-JP"/>
        </w:rPr>
        <w:t xml:space="preserve">produits </w:t>
      </w:r>
      <w:r>
        <w:rPr>
          <w:lang w:eastAsia="ja-JP"/>
        </w:rPr>
        <w:t xml:space="preserve">dont la </w:t>
      </w:r>
      <w:r w:rsidRPr="0060414A">
        <w:rPr>
          <w:lang w:eastAsia="ja-JP"/>
        </w:rPr>
        <w:t>pression d’éclatement ne présent</w:t>
      </w:r>
      <w:r>
        <w:rPr>
          <w:lang w:eastAsia="ja-JP"/>
        </w:rPr>
        <w:t>e</w:t>
      </w:r>
      <w:r w:rsidRPr="0060414A">
        <w:rPr>
          <w:lang w:eastAsia="ja-JP"/>
        </w:rPr>
        <w:t xml:space="preserve"> pas de danger en pratique</w:t>
      </w:r>
      <w:r>
        <w:rPr>
          <w:lang w:eastAsia="ja-JP"/>
        </w:rPr>
        <w:t xml:space="preserve"> ne sont pas en mesure de satisfaire à la prescription actuelle.</w:t>
      </w:r>
    </w:p>
    <w:p w:rsidR="006C5C98" w:rsidRDefault="006C5C98" w:rsidP="00962BC6">
      <w:pPr>
        <w:pStyle w:val="ParNoG"/>
        <w:rPr>
          <w:lang w:eastAsia="ja-JP"/>
        </w:rPr>
      </w:pPr>
      <w:r w:rsidRPr="0060414A">
        <w:rPr>
          <w:lang w:eastAsia="ja-JP"/>
        </w:rPr>
        <w:t>L</w:t>
      </w:r>
      <w:r>
        <w:rPr>
          <w:lang w:eastAsia="ja-JP"/>
        </w:rPr>
        <w:t>a</w:t>
      </w:r>
      <w:r w:rsidRPr="0060414A">
        <w:rPr>
          <w:lang w:eastAsia="ja-JP"/>
        </w:rPr>
        <w:t xml:space="preserve"> modification proposée</w:t>
      </w:r>
      <w:r>
        <w:rPr>
          <w:lang w:eastAsia="ja-JP"/>
        </w:rPr>
        <w:t xml:space="preserve"> est fiable car elle est </w:t>
      </w:r>
      <w:r w:rsidRPr="0060414A">
        <w:rPr>
          <w:lang w:eastAsia="ja-JP"/>
        </w:rPr>
        <w:t>identique ou similaire à ce</w:t>
      </w:r>
      <w:r>
        <w:rPr>
          <w:lang w:eastAsia="ja-JP"/>
        </w:rPr>
        <w:t xml:space="preserve"> qui figure </w:t>
      </w:r>
      <w:r w:rsidRPr="0060414A">
        <w:rPr>
          <w:lang w:eastAsia="ja-JP"/>
        </w:rPr>
        <w:t>dans la réglementation de l’Union européenne, dans les normes de</w:t>
      </w:r>
      <w:r>
        <w:rPr>
          <w:lang w:eastAsia="ja-JP"/>
        </w:rPr>
        <w:t>s</w:t>
      </w:r>
      <w:r w:rsidRPr="0060414A">
        <w:rPr>
          <w:lang w:eastAsia="ja-JP"/>
        </w:rPr>
        <w:t xml:space="preserve"> États-Unis d’Amérique et d</w:t>
      </w:r>
      <w:r w:rsidR="000B3989">
        <w:rPr>
          <w:lang w:eastAsia="ja-JP"/>
        </w:rPr>
        <w:t>ans la réglementation du Japon.</w:t>
      </w:r>
    </w:p>
    <w:p w:rsidR="006C5C98" w:rsidRDefault="006C5C98" w:rsidP="00962BC6">
      <w:pPr>
        <w:pStyle w:val="ParNoG"/>
        <w:rPr>
          <w:lang w:eastAsia="ja-JP"/>
        </w:rPr>
      </w:pPr>
      <w:r w:rsidRPr="00CA2325">
        <w:rPr>
          <w:lang w:eastAsia="ja-JP"/>
        </w:rPr>
        <w:t>Il est courant de spécifier la pression minimale d’éclatement dans le cas des réservoirs à haute pression.</w:t>
      </w:r>
      <w:r>
        <w:rPr>
          <w:lang w:eastAsia="ja-JP"/>
        </w:rPr>
        <w:t xml:space="preserve"> </w:t>
      </w:r>
      <w:r w:rsidRPr="00CA2325">
        <w:rPr>
          <w:lang w:eastAsia="ja-JP"/>
        </w:rPr>
        <w:t>L’amendement proposé est aussi appliqué depuis longtemps et sans problème à d’autres réservoirs à haute pression notamment en acier ou en matériau composite, y compris pour les</w:t>
      </w:r>
      <w:r w:rsidR="005C3069">
        <w:rPr>
          <w:lang w:eastAsia="ja-JP"/>
        </w:rPr>
        <w:t xml:space="preserve"> véhicules fonctionnant au GNC.</w:t>
      </w:r>
    </w:p>
    <w:p w:rsidR="006C5C98" w:rsidRPr="00CA2325" w:rsidRDefault="00572ECE" w:rsidP="00572ECE">
      <w:pPr>
        <w:pStyle w:val="SingleTxtG"/>
        <w:ind w:left="1701" w:hanging="567"/>
        <w:rPr>
          <w:rFonts w:eastAsia="SimSun"/>
          <w:lang w:eastAsia="ja-JP"/>
        </w:rPr>
      </w:pPr>
      <w:r>
        <w:rPr>
          <w:i/>
          <w:lang w:eastAsia="ja-JP"/>
        </w:rPr>
        <w:tab/>
      </w:r>
      <w:r w:rsidR="006C5C98" w:rsidRPr="00FE1F74">
        <w:rPr>
          <w:i/>
          <w:lang w:eastAsia="ja-JP"/>
        </w:rPr>
        <w:t>Note</w:t>
      </w:r>
      <w:r>
        <w:rPr>
          <w:i/>
          <w:lang w:eastAsia="ja-JP"/>
        </w:rPr>
        <w:t> </w:t>
      </w:r>
      <w:r>
        <w:rPr>
          <w:lang w:eastAsia="ja-JP"/>
        </w:rPr>
        <w:t>:</w:t>
      </w:r>
      <w:r w:rsidR="006C5C98" w:rsidRPr="00FE1F74">
        <w:rPr>
          <w:rFonts w:eastAsia="SimSun"/>
          <w:lang w:eastAsia="ja-JP"/>
        </w:rPr>
        <w:t xml:space="preserve"> </w:t>
      </w:r>
      <w:r w:rsidR="006C5C98" w:rsidRPr="00CA2325">
        <w:rPr>
          <w:rFonts w:eastAsia="SimSun"/>
          <w:lang w:eastAsia="ja-JP"/>
        </w:rPr>
        <w:t>Il faut également noter que la qualité de la production ou la variation de la résistance à la pression font l’objet de vé</w:t>
      </w:r>
      <w:r w:rsidR="00D201AE">
        <w:rPr>
          <w:rFonts w:eastAsia="SimSun"/>
          <w:lang w:eastAsia="ja-JP"/>
        </w:rPr>
        <w:t>rifications à une valeur de 150 </w:t>
      </w:r>
      <w:r w:rsidR="006C5C98" w:rsidRPr="00CA2325">
        <w:rPr>
          <w:rFonts w:eastAsia="SimSun"/>
          <w:lang w:eastAsia="ja-JP"/>
        </w:rPr>
        <w:t xml:space="preserve">% de la pression de service nominale (PSN) pour tous les </w:t>
      </w:r>
      <w:r w:rsidR="006C5C98">
        <w:rPr>
          <w:rFonts w:eastAsia="SimSun"/>
          <w:lang w:eastAsia="ja-JP"/>
        </w:rPr>
        <w:t xml:space="preserve">réservoirs </w:t>
      </w:r>
      <w:r w:rsidR="006C5C98" w:rsidRPr="00CA2325">
        <w:rPr>
          <w:rFonts w:eastAsia="SimSun"/>
          <w:lang w:eastAsia="ja-JP"/>
        </w:rPr>
        <w:t xml:space="preserve">produits </w:t>
      </w:r>
      <w:r w:rsidR="006C5C98">
        <w:rPr>
          <w:rFonts w:eastAsia="SimSun"/>
          <w:lang w:eastAsia="ja-JP"/>
        </w:rPr>
        <w:t xml:space="preserve">en vertu du </w:t>
      </w:r>
      <w:r w:rsidR="006C5C98" w:rsidRPr="00CA2325">
        <w:rPr>
          <w:rFonts w:eastAsia="SimSun"/>
          <w:lang w:eastAsia="ja-JP"/>
        </w:rPr>
        <w:t>présent Règlement</w:t>
      </w:r>
      <w:r w:rsidR="00BD01EA">
        <w:rPr>
          <w:rFonts w:eastAsia="SimSun"/>
          <w:lang w:eastAsia="ja-JP"/>
        </w:rPr>
        <w:t>.</w:t>
      </w:r>
    </w:p>
    <w:p w:rsidR="006C5C98" w:rsidRPr="00FE1F74" w:rsidRDefault="006C5C98" w:rsidP="007C4E40">
      <w:pPr>
        <w:pStyle w:val="ParNoG"/>
        <w:rPr>
          <w:lang w:eastAsia="ja-JP"/>
        </w:rPr>
      </w:pPr>
      <w:r>
        <w:rPr>
          <w:lang w:eastAsia="ja-JP"/>
        </w:rPr>
        <w:t xml:space="preserve">Modification visant à supprimer </w:t>
      </w:r>
      <w:r w:rsidR="00B939F4">
        <w:rPr>
          <w:lang w:eastAsia="ja-JP"/>
        </w:rPr>
        <w:t>« </w:t>
      </w:r>
      <w:r w:rsidRPr="00F363F7">
        <w:rPr>
          <w:lang w:eastAsia="ja-JP"/>
        </w:rPr>
        <w:t>et en aucun cas inférieure à la valeur nécessaire pour satisfaire aux prescriptions relatives au rapport de contraintes</w:t>
      </w:r>
      <w:r w:rsidR="00C80020">
        <w:rPr>
          <w:lang w:eastAsia="ja-JP"/>
        </w:rPr>
        <w:t> »</w:t>
      </w:r>
      <w:r w:rsidRPr="00F363F7">
        <w:rPr>
          <w:lang w:eastAsia="ja-JP"/>
        </w:rPr>
        <w:t>.</w:t>
      </w:r>
    </w:p>
    <w:p w:rsidR="006C5C98" w:rsidRDefault="006C5C98" w:rsidP="00845622">
      <w:pPr>
        <w:pStyle w:val="ParNoG"/>
        <w:rPr>
          <w:lang w:eastAsia="ja-JP"/>
        </w:rPr>
      </w:pPr>
      <w:r w:rsidRPr="006C5C98">
        <w:rPr>
          <w:lang w:eastAsia="ja-JP"/>
        </w:rPr>
        <w:t xml:space="preserve">Cette </w:t>
      </w:r>
      <w:r w:rsidRPr="00845622">
        <w:t>modification</w:t>
      </w:r>
      <w:r w:rsidRPr="006C5C98">
        <w:rPr>
          <w:lang w:eastAsia="ja-JP"/>
        </w:rPr>
        <w:t xml:space="preserve"> a pour but de corriger l’erreur rédactionnelle. Aucune prescription ne concerne le rapport de contraintes dans le présent document. Cette partie avait été malencontreusement copiée et collée à partir d’autres documents lors de l’élaboration des phrases en question</w:t>
      </w:r>
      <w:r w:rsidR="00BD01EA">
        <w:rPr>
          <w:lang w:eastAsia="ja-JP"/>
        </w:rPr>
        <w:t>.</w:t>
      </w:r>
    </w:p>
    <w:p w:rsidR="00CD458E" w:rsidRPr="00FE1F74" w:rsidRDefault="00CD458E" w:rsidP="00CD458E">
      <w:pPr>
        <w:pStyle w:val="H1G"/>
        <w:rPr>
          <w:lang w:eastAsia="ja-JP"/>
        </w:rPr>
      </w:pPr>
      <w:r>
        <w:tab/>
      </w:r>
      <w:r w:rsidRPr="00FE1F74">
        <w:t>D.</w:t>
      </w:r>
      <w:r w:rsidRPr="00FE1F74">
        <w:tab/>
      </w:r>
      <w:r w:rsidRPr="00D91203">
        <w:t>Paragraphe</w:t>
      </w:r>
      <w:r>
        <w:t> </w:t>
      </w:r>
      <w:r w:rsidR="00DD7235">
        <w:rPr>
          <w:lang w:eastAsia="ja-JP"/>
        </w:rPr>
        <w:t>9.3.2.2</w:t>
      </w:r>
    </w:p>
    <w:p w:rsidR="00CD458E" w:rsidRDefault="00CD458E" w:rsidP="00D1695D">
      <w:pPr>
        <w:pStyle w:val="ParNoG"/>
        <w:rPr>
          <w:lang w:eastAsia="ja-JP"/>
        </w:rPr>
      </w:pPr>
      <w:r w:rsidRPr="00BB2CCE">
        <w:rPr>
          <w:lang w:eastAsia="ja-JP"/>
        </w:rPr>
        <w:t>Les contrôles spécifiques de la température</w:t>
      </w:r>
      <w:r>
        <w:rPr>
          <w:lang w:eastAsia="ja-JP"/>
        </w:rPr>
        <w:t xml:space="preserve"> sont requis lors des e</w:t>
      </w:r>
      <w:r w:rsidRPr="00BB2CCE">
        <w:rPr>
          <w:lang w:eastAsia="ja-JP"/>
        </w:rPr>
        <w:t>ssais de cycles de pression à la température ambiante</w:t>
      </w:r>
      <w:r>
        <w:rPr>
          <w:lang w:eastAsia="ja-JP"/>
        </w:rPr>
        <w:t xml:space="preserve">. </w:t>
      </w:r>
      <w:r w:rsidRPr="00BB2CCE">
        <w:rPr>
          <w:lang w:eastAsia="ja-JP"/>
        </w:rPr>
        <w:t>Il n’est pas nécessaire que</w:t>
      </w:r>
      <w:r w:rsidR="00CB41F1">
        <w:rPr>
          <w:lang w:eastAsia="ja-JP"/>
        </w:rPr>
        <w:t xml:space="preserve"> </w:t>
      </w:r>
      <w:r w:rsidRPr="00BB2CCE">
        <w:rPr>
          <w:lang w:eastAsia="ja-JP"/>
        </w:rPr>
        <w:t>les essais de conformité de la production soient aussi strict</w:t>
      </w:r>
      <w:r>
        <w:rPr>
          <w:lang w:eastAsia="ja-JP"/>
        </w:rPr>
        <w:t>s</w:t>
      </w:r>
      <w:r w:rsidRPr="00BB2CCE">
        <w:rPr>
          <w:lang w:eastAsia="ja-JP"/>
        </w:rPr>
        <w:t>. Le fabricant doit contrôler soigneusement la pression pour faire en sorte qu’elle reste dans les étroites limites de tolérance. Cela se traduit par une augmentation de la durée de</w:t>
      </w:r>
      <w:r>
        <w:rPr>
          <w:lang w:eastAsia="ja-JP"/>
        </w:rPr>
        <w:t xml:space="preserve"> l’</w:t>
      </w:r>
      <w:r w:rsidRPr="00BB2CCE">
        <w:rPr>
          <w:lang w:eastAsia="ja-JP"/>
        </w:rPr>
        <w:t>essai et du coût d</w:t>
      </w:r>
      <w:r>
        <w:rPr>
          <w:lang w:eastAsia="ja-JP"/>
        </w:rPr>
        <w:t>u</w:t>
      </w:r>
      <w:r w:rsidRPr="00BB2CCE">
        <w:rPr>
          <w:lang w:eastAsia="ja-JP"/>
        </w:rPr>
        <w:t xml:space="preserve"> dispositif de mesure. L</w:t>
      </w:r>
      <w:r>
        <w:rPr>
          <w:lang w:eastAsia="ja-JP"/>
        </w:rPr>
        <w:t xml:space="preserve">a </w:t>
      </w:r>
      <w:r w:rsidRPr="00BB2CCE">
        <w:rPr>
          <w:lang w:eastAsia="ja-JP"/>
        </w:rPr>
        <w:t xml:space="preserve">modification proposée peut accroître la rigueur des conditions d’essai </w:t>
      </w:r>
      <w:r>
        <w:rPr>
          <w:lang w:eastAsia="ja-JP"/>
        </w:rPr>
        <w:t xml:space="preserve">car la température de l’essai peut être plus élevée. Il est noté également que les effets de la température sur la fiabilité du réservoir sont mesurés dans la section consacrée à l’homologation de type dans des conditions plus strictes. </w:t>
      </w:r>
      <w:r w:rsidRPr="00BB2CCE">
        <w:rPr>
          <w:lang w:eastAsia="ja-JP"/>
        </w:rPr>
        <w:t>L</w:t>
      </w:r>
      <w:r>
        <w:rPr>
          <w:lang w:eastAsia="ja-JP"/>
        </w:rPr>
        <w:t>a</w:t>
      </w:r>
      <w:r w:rsidRPr="00BB2CCE">
        <w:rPr>
          <w:lang w:eastAsia="ja-JP"/>
        </w:rPr>
        <w:t xml:space="preserve"> modification proposée </w:t>
      </w:r>
      <w:r>
        <w:rPr>
          <w:lang w:eastAsia="ja-JP"/>
        </w:rPr>
        <w:t xml:space="preserve">est </w:t>
      </w:r>
      <w:r w:rsidRPr="00BB2CCE">
        <w:rPr>
          <w:lang w:eastAsia="ja-JP"/>
        </w:rPr>
        <w:t xml:space="preserve">identique ou similaire </w:t>
      </w:r>
      <w:r w:rsidRPr="0094083B">
        <w:rPr>
          <w:lang w:eastAsia="ja-JP"/>
        </w:rPr>
        <w:t xml:space="preserve">à ce qui figure dans </w:t>
      </w:r>
      <w:r>
        <w:rPr>
          <w:lang w:eastAsia="ja-JP"/>
        </w:rPr>
        <w:t xml:space="preserve">la </w:t>
      </w:r>
      <w:r w:rsidRPr="00BB2CCE">
        <w:rPr>
          <w:lang w:eastAsia="ja-JP"/>
        </w:rPr>
        <w:t xml:space="preserve">réglementation de l’Union européenne, </w:t>
      </w:r>
      <w:r>
        <w:rPr>
          <w:lang w:eastAsia="ja-JP"/>
        </w:rPr>
        <w:t xml:space="preserve">dans les normes des </w:t>
      </w:r>
      <w:r w:rsidRPr="00BB2CCE">
        <w:rPr>
          <w:lang w:eastAsia="ja-JP"/>
        </w:rPr>
        <w:t xml:space="preserve">États-Unis d’Amérique et </w:t>
      </w:r>
      <w:r>
        <w:rPr>
          <w:lang w:eastAsia="ja-JP"/>
        </w:rPr>
        <w:t xml:space="preserve">dans la réglementation </w:t>
      </w:r>
      <w:r w:rsidR="00D1695D">
        <w:rPr>
          <w:lang w:eastAsia="ja-JP"/>
        </w:rPr>
        <w:t>du Japon.</w:t>
      </w:r>
    </w:p>
    <w:p w:rsidR="00CD458E" w:rsidRPr="00FE1F74" w:rsidRDefault="002F12D3" w:rsidP="002F12D3">
      <w:pPr>
        <w:pStyle w:val="H23G"/>
        <w:rPr>
          <w:lang w:eastAsia="ja-JP"/>
        </w:rPr>
      </w:pPr>
      <w:r>
        <w:rPr>
          <w:lang w:eastAsia="ja-JP"/>
        </w:rPr>
        <w:tab/>
      </w:r>
      <w:r>
        <w:rPr>
          <w:lang w:eastAsia="ja-JP"/>
        </w:rPr>
        <w:tab/>
      </w:r>
      <w:r w:rsidR="00CD458E" w:rsidRPr="00BF37D6">
        <w:rPr>
          <w:lang w:eastAsia="ja-JP"/>
        </w:rPr>
        <w:t>Résumé de la justification</w:t>
      </w:r>
      <w:r>
        <w:rPr>
          <w:lang w:eastAsia="ja-JP"/>
        </w:rPr>
        <w:t> :</w:t>
      </w:r>
    </w:p>
    <w:p w:rsidR="00CD458E" w:rsidRDefault="00CD458E" w:rsidP="0038661D">
      <w:pPr>
        <w:pStyle w:val="ParNoG"/>
        <w:rPr>
          <w:lang w:eastAsia="ja-JP"/>
        </w:rPr>
      </w:pPr>
      <w:r w:rsidRPr="00BF37D6">
        <w:rPr>
          <w:lang w:eastAsia="ja-JP"/>
        </w:rPr>
        <w:t xml:space="preserve">La </w:t>
      </w:r>
      <w:r w:rsidRPr="0038661D">
        <w:t>modification</w:t>
      </w:r>
      <w:r w:rsidRPr="00BF37D6">
        <w:rPr>
          <w:lang w:eastAsia="ja-JP"/>
        </w:rPr>
        <w:t xml:space="preserve"> proposée est fiable car elle est identique ou similaire à ce qui figure dans la réglementation de l’Union européenne, dans les normes de</w:t>
      </w:r>
      <w:r>
        <w:rPr>
          <w:lang w:eastAsia="ja-JP"/>
        </w:rPr>
        <w:t>s</w:t>
      </w:r>
      <w:r w:rsidRPr="00BF37D6">
        <w:rPr>
          <w:lang w:eastAsia="ja-JP"/>
        </w:rPr>
        <w:t xml:space="preserve"> États-Unis d’Amérique et dans la réglementation du </w:t>
      </w:r>
      <w:r w:rsidR="00845622" w:rsidRPr="00BF37D6">
        <w:rPr>
          <w:lang w:eastAsia="ja-JP"/>
        </w:rPr>
        <w:t>Japon</w:t>
      </w:r>
      <w:r w:rsidR="00845622">
        <w:rPr>
          <w:lang w:eastAsia="ja-JP"/>
        </w:rPr>
        <w:t>.</w:t>
      </w:r>
    </w:p>
    <w:p w:rsidR="00663166" w:rsidRPr="00FE1F74" w:rsidRDefault="00663166" w:rsidP="00DD7235">
      <w:pPr>
        <w:pStyle w:val="SingleTxtG"/>
        <w:ind w:firstLine="567"/>
        <w:rPr>
          <w:lang w:eastAsia="ja-JP"/>
        </w:rPr>
      </w:pPr>
      <w:r w:rsidRPr="00FE1F74">
        <w:rPr>
          <w:lang w:eastAsia="ja-JP"/>
        </w:rPr>
        <w:t>a)</w:t>
      </w:r>
      <w:r w:rsidRPr="00FE1F74">
        <w:rPr>
          <w:lang w:eastAsia="ja-JP"/>
        </w:rPr>
        <w:tab/>
      </w:r>
      <w:r w:rsidRPr="00BF37D6">
        <w:rPr>
          <w:lang w:eastAsia="ja-JP"/>
        </w:rPr>
        <w:t>L</w:t>
      </w:r>
      <w:r>
        <w:rPr>
          <w:lang w:eastAsia="ja-JP"/>
        </w:rPr>
        <w:t>a</w:t>
      </w:r>
      <w:r w:rsidRPr="00BF37D6">
        <w:rPr>
          <w:lang w:eastAsia="ja-JP"/>
        </w:rPr>
        <w:t xml:space="preserve"> modification proposée peut accroître la rigueur des conditions d’essai car la température de l’essai </w:t>
      </w:r>
      <w:r>
        <w:rPr>
          <w:lang w:eastAsia="ja-JP"/>
        </w:rPr>
        <w:t xml:space="preserve">est </w:t>
      </w:r>
      <w:r w:rsidRPr="00BF37D6">
        <w:rPr>
          <w:lang w:eastAsia="ja-JP"/>
        </w:rPr>
        <w:t>plus élevée</w:t>
      </w:r>
      <w:r w:rsidR="00765D16">
        <w:rPr>
          <w:lang w:eastAsia="ja-JP"/>
        </w:rPr>
        <w:t>.</w:t>
      </w:r>
    </w:p>
    <w:p w:rsidR="00663166" w:rsidRDefault="00663166" w:rsidP="00DD7235">
      <w:pPr>
        <w:pStyle w:val="SingleTxtG"/>
        <w:ind w:firstLine="567"/>
        <w:rPr>
          <w:lang w:eastAsia="ja-JP"/>
        </w:rPr>
      </w:pPr>
      <w:r w:rsidRPr="00FE1F74">
        <w:rPr>
          <w:lang w:eastAsia="ja-JP"/>
        </w:rPr>
        <w:t>b)</w:t>
      </w:r>
      <w:r w:rsidRPr="00FE1F74">
        <w:rPr>
          <w:lang w:eastAsia="ja-JP"/>
        </w:rPr>
        <w:tab/>
      </w:r>
      <w:r>
        <w:rPr>
          <w:lang w:eastAsia="ja-JP"/>
        </w:rPr>
        <w:t>L</w:t>
      </w:r>
      <w:r w:rsidRPr="00BF37D6">
        <w:rPr>
          <w:lang w:eastAsia="ja-JP"/>
        </w:rPr>
        <w:t>es effets de la température sur la fiabilité du réservoir sont mesurés dans la section consacrée à l’homologation de type dans des conditions plus strictes</w:t>
      </w:r>
      <w:r w:rsidR="00765D16">
        <w:rPr>
          <w:lang w:eastAsia="ja-JP"/>
        </w:rPr>
        <w:t>.</w:t>
      </w:r>
    </w:p>
    <w:p w:rsidR="00663166" w:rsidRDefault="00663166" w:rsidP="00DD7235">
      <w:pPr>
        <w:pStyle w:val="SingleTxtG"/>
        <w:ind w:firstLine="567"/>
        <w:rPr>
          <w:lang w:eastAsia="ja-JP"/>
        </w:rPr>
      </w:pPr>
      <w:r w:rsidRPr="00FE1F74">
        <w:rPr>
          <w:lang w:eastAsia="ja-JP"/>
        </w:rPr>
        <w:t>c)</w:t>
      </w:r>
      <w:r w:rsidRPr="00FE1F74">
        <w:rPr>
          <w:lang w:eastAsia="ja-JP"/>
        </w:rPr>
        <w:tab/>
      </w:r>
      <w:r w:rsidRPr="00BF37D6">
        <w:rPr>
          <w:lang w:eastAsia="ja-JP"/>
        </w:rPr>
        <w:t>Grâce à cette proposition il est possible de</w:t>
      </w:r>
      <w:r>
        <w:rPr>
          <w:lang w:eastAsia="ja-JP"/>
        </w:rPr>
        <w:t xml:space="preserve"> réduire sensiblement la durée de l’essai et de </w:t>
      </w:r>
      <w:r w:rsidRPr="00BF37D6">
        <w:rPr>
          <w:lang w:eastAsia="ja-JP"/>
        </w:rPr>
        <w:t>simplifier le dispositif</w:t>
      </w:r>
      <w:r>
        <w:rPr>
          <w:lang w:eastAsia="ja-JP"/>
        </w:rPr>
        <w:t xml:space="preserve"> de mesure.</w:t>
      </w:r>
    </w:p>
    <w:p w:rsidR="0022783C" w:rsidRPr="003E4ED6" w:rsidRDefault="0022783C" w:rsidP="0022783C">
      <w:pPr>
        <w:pStyle w:val="SingleTxtG"/>
        <w:spacing w:before="240" w:after="0"/>
        <w:jc w:val="center"/>
        <w:rPr>
          <w:u w:val="single"/>
        </w:rPr>
      </w:pPr>
      <w:r w:rsidRPr="003E4ED6">
        <w:rPr>
          <w:u w:val="single"/>
        </w:rPr>
        <w:tab/>
      </w:r>
      <w:r w:rsidRPr="003E4ED6">
        <w:rPr>
          <w:u w:val="single"/>
        </w:rPr>
        <w:tab/>
      </w:r>
      <w:r w:rsidRPr="003E4ED6">
        <w:rPr>
          <w:u w:val="single"/>
        </w:rPr>
        <w:tab/>
      </w:r>
    </w:p>
    <w:sectPr w:rsidR="0022783C" w:rsidRPr="003E4ED6" w:rsidSect="001A78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3F" w:rsidRDefault="005F353F" w:rsidP="00F95C08">
      <w:pPr>
        <w:spacing w:line="240" w:lineRule="auto"/>
      </w:pPr>
    </w:p>
  </w:endnote>
  <w:endnote w:type="continuationSeparator" w:id="0">
    <w:p w:rsidR="005F353F" w:rsidRPr="00AC3823" w:rsidRDefault="005F353F" w:rsidP="00AC3823">
      <w:pPr>
        <w:pStyle w:val="Footer"/>
      </w:pPr>
    </w:p>
  </w:endnote>
  <w:endnote w:type="continuationNotice" w:id="1">
    <w:p w:rsidR="005F353F" w:rsidRDefault="005F35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54" w:rsidRPr="001A7854" w:rsidRDefault="001A7854" w:rsidP="001A7854">
    <w:pPr>
      <w:pStyle w:val="Footer"/>
      <w:tabs>
        <w:tab w:val="right" w:pos="9638"/>
      </w:tabs>
    </w:pPr>
    <w:r w:rsidRPr="001A7854">
      <w:rPr>
        <w:b/>
        <w:sz w:val="18"/>
      </w:rPr>
      <w:fldChar w:fldCharType="begin"/>
    </w:r>
    <w:r w:rsidRPr="001A7854">
      <w:rPr>
        <w:b/>
        <w:sz w:val="18"/>
      </w:rPr>
      <w:instrText xml:space="preserve"> PAGE  \* MERGEFORMAT </w:instrText>
    </w:r>
    <w:r w:rsidRPr="001A7854">
      <w:rPr>
        <w:b/>
        <w:sz w:val="18"/>
      </w:rPr>
      <w:fldChar w:fldCharType="separate"/>
    </w:r>
    <w:r w:rsidR="003E4ED6">
      <w:rPr>
        <w:b/>
        <w:noProof/>
        <w:sz w:val="18"/>
      </w:rPr>
      <w:t>4</w:t>
    </w:r>
    <w:r w:rsidRPr="001A7854">
      <w:rPr>
        <w:b/>
        <w:sz w:val="18"/>
      </w:rPr>
      <w:fldChar w:fldCharType="end"/>
    </w:r>
    <w:r>
      <w:rPr>
        <w:b/>
        <w:sz w:val="18"/>
      </w:rPr>
      <w:tab/>
    </w:r>
    <w:r>
      <w:t>GE.17-02482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54" w:rsidRPr="001A7854" w:rsidRDefault="001A7854" w:rsidP="001A7854">
    <w:pPr>
      <w:pStyle w:val="Footer"/>
      <w:tabs>
        <w:tab w:val="right" w:pos="9638"/>
      </w:tabs>
      <w:rPr>
        <w:b/>
        <w:sz w:val="18"/>
      </w:rPr>
    </w:pPr>
    <w:r>
      <w:t>GE.17-02482</w:t>
    </w:r>
    <w:r>
      <w:tab/>
    </w:r>
    <w:r w:rsidRPr="001A7854">
      <w:rPr>
        <w:b/>
        <w:sz w:val="18"/>
      </w:rPr>
      <w:fldChar w:fldCharType="begin"/>
    </w:r>
    <w:r w:rsidRPr="001A7854">
      <w:rPr>
        <w:b/>
        <w:sz w:val="18"/>
      </w:rPr>
      <w:instrText xml:space="preserve"> PAGE  \* MERGEFORMAT </w:instrText>
    </w:r>
    <w:r w:rsidRPr="001A7854">
      <w:rPr>
        <w:b/>
        <w:sz w:val="18"/>
      </w:rPr>
      <w:fldChar w:fldCharType="separate"/>
    </w:r>
    <w:r w:rsidR="003E4ED6">
      <w:rPr>
        <w:b/>
        <w:noProof/>
        <w:sz w:val="18"/>
      </w:rPr>
      <w:t>3</w:t>
    </w:r>
    <w:r w:rsidRPr="001A78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A7854" w:rsidRDefault="001A7854" w:rsidP="001A785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C6F6763" wp14:editId="78DE043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17-02482  (F)</w:t>
    </w:r>
    <w:r w:rsidR="004C34B6">
      <w:rPr>
        <w:sz w:val="20"/>
      </w:rPr>
      <w:t xml:space="preserve">    270217    080317</w:t>
    </w:r>
    <w:r>
      <w:rPr>
        <w:sz w:val="20"/>
      </w:rPr>
      <w:br/>
    </w:r>
    <w:r w:rsidRPr="001A7854">
      <w:rPr>
        <w:rFonts w:ascii="C39T30Lfz" w:hAnsi="C39T30Lfz"/>
        <w:sz w:val="56"/>
      </w:rPr>
      <w:t></w:t>
    </w:r>
    <w:r w:rsidRPr="001A7854">
      <w:rPr>
        <w:rFonts w:ascii="C39T30Lfz" w:hAnsi="C39T30Lfz"/>
        <w:sz w:val="56"/>
      </w:rPr>
      <w:t></w:t>
    </w:r>
    <w:r w:rsidRPr="001A7854">
      <w:rPr>
        <w:rFonts w:ascii="C39T30Lfz" w:hAnsi="C39T30Lfz"/>
        <w:sz w:val="56"/>
      </w:rPr>
      <w:t></w:t>
    </w:r>
    <w:r w:rsidRPr="001A7854">
      <w:rPr>
        <w:rFonts w:ascii="C39T30Lfz" w:hAnsi="C39T30Lfz"/>
        <w:sz w:val="56"/>
      </w:rPr>
      <w:t></w:t>
    </w:r>
    <w:r w:rsidRPr="001A7854">
      <w:rPr>
        <w:rFonts w:ascii="C39T30Lfz" w:hAnsi="C39T30Lfz"/>
        <w:sz w:val="56"/>
      </w:rPr>
      <w:t></w:t>
    </w:r>
    <w:r w:rsidRPr="001A7854">
      <w:rPr>
        <w:rFonts w:ascii="C39T30Lfz" w:hAnsi="C39T30Lfz"/>
        <w:sz w:val="56"/>
      </w:rPr>
      <w:t></w:t>
    </w:r>
    <w:r w:rsidRPr="001A7854">
      <w:rPr>
        <w:rFonts w:ascii="C39T30Lfz" w:hAnsi="C39T30Lfz"/>
        <w:sz w:val="56"/>
      </w:rPr>
      <w:t></w:t>
    </w:r>
    <w:r w:rsidRPr="001A7854">
      <w:rPr>
        <w:rFonts w:ascii="C39T30Lfz" w:hAnsi="C39T30Lfz"/>
        <w:sz w:val="56"/>
      </w:rPr>
      <w:t></w:t>
    </w:r>
    <w:r w:rsidRPr="001A785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3F" w:rsidRPr="00AC3823" w:rsidRDefault="005F353F" w:rsidP="00AC3823">
      <w:pPr>
        <w:pStyle w:val="Footer"/>
        <w:tabs>
          <w:tab w:val="right" w:pos="2155"/>
        </w:tabs>
        <w:spacing w:after="80" w:line="240" w:lineRule="atLeast"/>
        <w:ind w:left="680"/>
        <w:rPr>
          <w:u w:val="single"/>
        </w:rPr>
      </w:pPr>
      <w:r>
        <w:rPr>
          <w:u w:val="single"/>
        </w:rPr>
        <w:tab/>
      </w:r>
    </w:p>
  </w:footnote>
  <w:footnote w:type="continuationSeparator" w:id="0">
    <w:p w:rsidR="005F353F" w:rsidRPr="00AC3823" w:rsidRDefault="005F353F" w:rsidP="00AC3823">
      <w:pPr>
        <w:pStyle w:val="Footer"/>
        <w:tabs>
          <w:tab w:val="right" w:pos="2155"/>
        </w:tabs>
        <w:spacing w:after="80" w:line="240" w:lineRule="atLeast"/>
        <w:ind w:left="680"/>
        <w:rPr>
          <w:u w:val="single"/>
        </w:rPr>
      </w:pPr>
      <w:r>
        <w:rPr>
          <w:u w:val="single"/>
        </w:rPr>
        <w:tab/>
      </w:r>
    </w:p>
  </w:footnote>
  <w:footnote w:type="continuationNotice" w:id="1">
    <w:p w:rsidR="005F353F" w:rsidRPr="00AC3823" w:rsidRDefault="005F353F">
      <w:pPr>
        <w:spacing w:line="240" w:lineRule="auto"/>
        <w:rPr>
          <w:sz w:val="2"/>
          <w:szCs w:val="2"/>
        </w:rPr>
      </w:pPr>
    </w:p>
  </w:footnote>
  <w:footnote w:id="2">
    <w:p w:rsidR="00F97DB6" w:rsidRPr="00F97DB6" w:rsidRDefault="00F97DB6">
      <w:pPr>
        <w:pStyle w:val="FootnoteText"/>
      </w:pPr>
      <w:r>
        <w:rPr>
          <w:rStyle w:val="FootnoteReference"/>
        </w:rPr>
        <w:tab/>
      </w:r>
      <w:r w:rsidRPr="00F97DB6">
        <w:rPr>
          <w:rStyle w:val="FootnoteReference"/>
          <w:sz w:val="20"/>
          <w:vertAlign w:val="baseline"/>
        </w:rPr>
        <w:t>*</w:t>
      </w:r>
      <w:r>
        <w:rPr>
          <w:rStyle w:val="FootnoteReference"/>
          <w:sz w:val="20"/>
          <w:vertAlign w:val="baseline"/>
        </w:rPr>
        <w:tab/>
      </w:r>
      <w:r w:rsidRPr="006274CD">
        <w:t xml:space="preserve">Conformément au programme de travail du Comité des transports intérieurs pour la période </w:t>
      </w:r>
      <w:r w:rsidR="00CB6893">
        <w:t>2</w:t>
      </w:r>
      <w:r w:rsidR="00AE4F96">
        <w:t>01</w:t>
      </w:r>
      <w:r w:rsidR="00CB6893">
        <w:t>6</w:t>
      </w:r>
      <w:r w:rsidR="00CB6893">
        <w:noBreakHyphen/>
        <w:t>201</w:t>
      </w:r>
      <w:r w:rsidR="00AE4F96">
        <w:t>7 (ECE/TRANS/254, par. </w:t>
      </w:r>
      <w:r w:rsidRPr="006274CD">
        <w:t>159, et ECE/TRANS/2016/28/Add.</w:t>
      </w:r>
      <w:r w:rsidR="008F78D3">
        <w:t> </w:t>
      </w:r>
      <w:r w:rsidR="00B63104">
        <w:t>1, module </w:t>
      </w:r>
      <w:r w:rsidRPr="006274CD">
        <w:t>3.1), le Forum mondial a pour mission d’élaborer, d’harmoniser et de mettre à jour les Règlements en vue d’améliorer les caractéristiques fonctionnelles des véhicules. Le présent document est soumis en vertu de ce mandat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54" w:rsidRPr="001A7854" w:rsidRDefault="005A4DE2">
    <w:pPr>
      <w:pStyle w:val="Header"/>
    </w:pPr>
    <w:fldSimple w:instr=" TITLE  \* MERGEFORMAT ">
      <w:r>
        <w:t>ECE/TRANS/WP.29/GRSP/2017/5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54" w:rsidRPr="001A7854" w:rsidRDefault="005A4DE2" w:rsidP="001A7854">
    <w:pPr>
      <w:pStyle w:val="Header"/>
      <w:jc w:val="right"/>
    </w:pPr>
    <w:fldSimple w:instr=" TITLE  \* MERGEFORMAT ">
      <w:r>
        <w:t>ECE/TRANS/WP.29/GRSP/2017/5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3F"/>
    <w:rsid w:val="0000627E"/>
    <w:rsid w:val="00014375"/>
    <w:rsid w:val="00015D1D"/>
    <w:rsid w:val="00017F94"/>
    <w:rsid w:val="00023842"/>
    <w:rsid w:val="000334F9"/>
    <w:rsid w:val="00045FEB"/>
    <w:rsid w:val="000630FC"/>
    <w:rsid w:val="0007796D"/>
    <w:rsid w:val="00082C07"/>
    <w:rsid w:val="000A1AA7"/>
    <w:rsid w:val="000B3989"/>
    <w:rsid w:val="000B7790"/>
    <w:rsid w:val="000F5B45"/>
    <w:rsid w:val="00111F2F"/>
    <w:rsid w:val="00137F78"/>
    <w:rsid w:val="0014365E"/>
    <w:rsid w:val="00143C66"/>
    <w:rsid w:val="00176178"/>
    <w:rsid w:val="00181CAA"/>
    <w:rsid w:val="00183B58"/>
    <w:rsid w:val="00191AF7"/>
    <w:rsid w:val="001A033B"/>
    <w:rsid w:val="001A09B3"/>
    <w:rsid w:val="001A7854"/>
    <w:rsid w:val="001F525A"/>
    <w:rsid w:val="00210400"/>
    <w:rsid w:val="00223272"/>
    <w:rsid w:val="002273FD"/>
    <w:rsid w:val="0022783C"/>
    <w:rsid w:val="002476A6"/>
    <w:rsid w:val="0024779E"/>
    <w:rsid w:val="00257168"/>
    <w:rsid w:val="0025726B"/>
    <w:rsid w:val="00262C86"/>
    <w:rsid w:val="00263244"/>
    <w:rsid w:val="002641CA"/>
    <w:rsid w:val="0026788B"/>
    <w:rsid w:val="002744B8"/>
    <w:rsid w:val="002804D1"/>
    <w:rsid w:val="002832AC"/>
    <w:rsid w:val="002D7C93"/>
    <w:rsid w:val="002F12D3"/>
    <w:rsid w:val="00305801"/>
    <w:rsid w:val="0032708D"/>
    <w:rsid w:val="003270B2"/>
    <w:rsid w:val="0033789B"/>
    <w:rsid w:val="00346DDC"/>
    <w:rsid w:val="00352D4B"/>
    <w:rsid w:val="00375D17"/>
    <w:rsid w:val="0038661D"/>
    <w:rsid w:val="0039076B"/>
    <w:rsid w:val="003916DE"/>
    <w:rsid w:val="003A0FA4"/>
    <w:rsid w:val="003A50A7"/>
    <w:rsid w:val="003B3BDE"/>
    <w:rsid w:val="003E4ED6"/>
    <w:rsid w:val="003E7C4B"/>
    <w:rsid w:val="003F01B5"/>
    <w:rsid w:val="00441C3B"/>
    <w:rsid w:val="00446FE5"/>
    <w:rsid w:val="00452396"/>
    <w:rsid w:val="004837D8"/>
    <w:rsid w:val="004C34B6"/>
    <w:rsid w:val="004E468C"/>
    <w:rsid w:val="004E6306"/>
    <w:rsid w:val="004F35B4"/>
    <w:rsid w:val="005340B6"/>
    <w:rsid w:val="005505B7"/>
    <w:rsid w:val="00572ECE"/>
    <w:rsid w:val="00573BE5"/>
    <w:rsid w:val="00586ED3"/>
    <w:rsid w:val="00596AA9"/>
    <w:rsid w:val="005A0D73"/>
    <w:rsid w:val="005A4DE2"/>
    <w:rsid w:val="005C3069"/>
    <w:rsid w:val="005F353F"/>
    <w:rsid w:val="006234B5"/>
    <w:rsid w:val="0062367A"/>
    <w:rsid w:val="00646BA8"/>
    <w:rsid w:val="00663166"/>
    <w:rsid w:val="00685468"/>
    <w:rsid w:val="006865A0"/>
    <w:rsid w:val="00694481"/>
    <w:rsid w:val="006A2AD0"/>
    <w:rsid w:val="006B514B"/>
    <w:rsid w:val="006C5C98"/>
    <w:rsid w:val="006E1170"/>
    <w:rsid w:val="00706C1A"/>
    <w:rsid w:val="007113BF"/>
    <w:rsid w:val="00714D35"/>
    <w:rsid w:val="0071601D"/>
    <w:rsid w:val="00726508"/>
    <w:rsid w:val="007472EE"/>
    <w:rsid w:val="00754E6B"/>
    <w:rsid w:val="00765D16"/>
    <w:rsid w:val="00775F7C"/>
    <w:rsid w:val="00776A06"/>
    <w:rsid w:val="007822EA"/>
    <w:rsid w:val="00786077"/>
    <w:rsid w:val="007A62E6"/>
    <w:rsid w:val="007C4E40"/>
    <w:rsid w:val="007D17B6"/>
    <w:rsid w:val="007D5ABF"/>
    <w:rsid w:val="007E39DC"/>
    <w:rsid w:val="007F20FA"/>
    <w:rsid w:val="007F7184"/>
    <w:rsid w:val="0080684C"/>
    <w:rsid w:val="00814836"/>
    <w:rsid w:val="00845622"/>
    <w:rsid w:val="00871C75"/>
    <w:rsid w:val="008776DC"/>
    <w:rsid w:val="00891EF6"/>
    <w:rsid w:val="008A250F"/>
    <w:rsid w:val="008A5A6B"/>
    <w:rsid w:val="008A72FB"/>
    <w:rsid w:val="008F78D3"/>
    <w:rsid w:val="00906C3C"/>
    <w:rsid w:val="009108FD"/>
    <w:rsid w:val="00921699"/>
    <w:rsid w:val="009333D8"/>
    <w:rsid w:val="009446C0"/>
    <w:rsid w:val="00962BC6"/>
    <w:rsid w:val="00966475"/>
    <w:rsid w:val="009705C8"/>
    <w:rsid w:val="00976778"/>
    <w:rsid w:val="009B1614"/>
    <w:rsid w:val="009C1CF4"/>
    <w:rsid w:val="009E1186"/>
    <w:rsid w:val="009F6B74"/>
    <w:rsid w:val="00A05743"/>
    <w:rsid w:val="00A07698"/>
    <w:rsid w:val="00A30353"/>
    <w:rsid w:val="00A6494E"/>
    <w:rsid w:val="00AB0D16"/>
    <w:rsid w:val="00AC3823"/>
    <w:rsid w:val="00AE323C"/>
    <w:rsid w:val="00AE4F96"/>
    <w:rsid w:val="00AF0CB5"/>
    <w:rsid w:val="00B00181"/>
    <w:rsid w:val="00B00B0D"/>
    <w:rsid w:val="00B41E95"/>
    <w:rsid w:val="00B63104"/>
    <w:rsid w:val="00B65C8F"/>
    <w:rsid w:val="00B67B97"/>
    <w:rsid w:val="00B765F7"/>
    <w:rsid w:val="00B939F4"/>
    <w:rsid w:val="00BA0CA9"/>
    <w:rsid w:val="00BD01EA"/>
    <w:rsid w:val="00BE36AF"/>
    <w:rsid w:val="00BE7D6E"/>
    <w:rsid w:val="00C0196E"/>
    <w:rsid w:val="00C022E5"/>
    <w:rsid w:val="00C02897"/>
    <w:rsid w:val="00C40120"/>
    <w:rsid w:val="00C80020"/>
    <w:rsid w:val="00C85ADB"/>
    <w:rsid w:val="00C86266"/>
    <w:rsid w:val="00C97039"/>
    <w:rsid w:val="00CB41F1"/>
    <w:rsid w:val="00CB6893"/>
    <w:rsid w:val="00CD458E"/>
    <w:rsid w:val="00D13FC5"/>
    <w:rsid w:val="00D1695D"/>
    <w:rsid w:val="00D201AE"/>
    <w:rsid w:val="00D3439C"/>
    <w:rsid w:val="00D66E6A"/>
    <w:rsid w:val="00DB1831"/>
    <w:rsid w:val="00DB6CA6"/>
    <w:rsid w:val="00DD3BFD"/>
    <w:rsid w:val="00DD7235"/>
    <w:rsid w:val="00DF3A7C"/>
    <w:rsid w:val="00DF6678"/>
    <w:rsid w:val="00E85C74"/>
    <w:rsid w:val="00EA2FB2"/>
    <w:rsid w:val="00EA3968"/>
    <w:rsid w:val="00EA6547"/>
    <w:rsid w:val="00EB55D8"/>
    <w:rsid w:val="00EC4C50"/>
    <w:rsid w:val="00ED4564"/>
    <w:rsid w:val="00EF2E22"/>
    <w:rsid w:val="00F35BAF"/>
    <w:rsid w:val="00F54937"/>
    <w:rsid w:val="00F660DF"/>
    <w:rsid w:val="00F8498A"/>
    <w:rsid w:val="00F94664"/>
    <w:rsid w:val="00F949C7"/>
    <w:rsid w:val="00F9573C"/>
    <w:rsid w:val="00F95C08"/>
    <w:rsid w:val="00F97DB6"/>
    <w:rsid w:val="00FA14CD"/>
    <w:rsid w:val="00FC29B9"/>
    <w:rsid w:val="00FF40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8844</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ECE/TRANS/WP.29/GRSP/2017/5</vt:lpstr>
      <vt:lpstr>ECE/TRANS/WP.29/GRSP/2017/5</vt:lpstr>
    </vt:vector>
  </TitlesOfParts>
  <Company>DCM</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ECE/TRANS/WP.29/GRSP/2017/5</dc:title>
  <dc:creator>DEVOS</dc:creator>
  <cp:lastModifiedBy>Benedicte Boudol</cp:lastModifiedBy>
  <cp:revision>2</cp:revision>
  <cp:lastPrinted>2017-03-08T15:34:00Z</cp:lastPrinted>
  <dcterms:created xsi:type="dcterms:W3CDTF">2017-03-08T16:24:00Z</dcterms:created>
  <dcterms:modified xsi:type="dcterms:W3CDTF">2017-03-08T16:24:00Z</dcterms:modified>
</cp:coreProperties>
</file>