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421F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421F1" w:rsidP="00F421F1">
            <w:pPr>
              <w:jc w:val="right"/>
            </w:pPr>
            <w:r w:rsidRPr="00F421F1">
              <w:rPr>
                <w:sz w:val="40"/>
              </w:rPr>
              <w:t>ECE</w:t>
            </w:r>
            <w:r>
              <w:t>/TRANS/WP.29/GRSP/2017/20</w:t>
            </w:r>
          </w:p>
        </w:tc>
      </w:tr>
      <w:tr w:rsidR="002D5AAC" w:rsidRPr="00913F5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421F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421F1" w:rsidRDefault="00F421F1" w:rsidP="00F421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September 2017</w:t>
            </w:r>
          </w:p>
          <w:p w:rsidR="00F421F1" w:rsidRDefault="00F421F1" w:rsidP="00F421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421F1" w:rsidRPr="008D53B6" w:rsidRDefault="00F421F1" w:rsidP="00F421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421F1" w:rsidRPr="006306E7" w:rsidRDefault="00F421F1" w:rsidP="00F421F1">
      <w:pPr>
        <w:spacing w:before="120"/>
        <w:rPr>
          <w:sz w:val="28"/>
          <w:szCs w:val="28"/>
        </w:rPr>
      </w:pPr>
      <w:r w:rsidRPr="006306E7">
        <w:rPr>
          <w:sz w:val="28"/>
          <w:szCs w:val="28"/>
        </w:rPr>
        <w:t>Комитет по внутреннему транспорту</w:t>
      </w:r>
    </w:p>
    <w:p w:rsidR="00F421F1" w:rsidRPr="006306E7" w:rsidRDefault="00F421F1" w:rsidP="00F421F1">
      <w:pPr>
        <w:spacing w:before="120"/>
        <w:rPr>
          <w:b/>
          <w:sz w:val="24"/>
          <w:szCs w:val="24"/>
        </w:rPr>
      </w:pPr>
      <w:r w:rsidRPr="006306E7">
        <w:rPr>
          <w:b/>
          <w:sz w:val="24"/>
          <w:szCs w:val="24"/>
        </w:rPr>
        <w:t xml:space="preserve">Всемирный форум для согласования правил </w:t>
      </w:r>
      <w:r w:rsidRPr="00F421F1">
        <w:rPr>
          <w:b/>
          <w:sz w:val="24"/>
          <w:szCs w:val="24"/>
        </w:rPr>
        <w:br/>
      </w:r>
      <w:r w:rsidRPr="006306E7">
        <w:rPr>
          <w:b/>
          <w:sz w:val="24"/>
          <w:szCs w:val="24"/>
        </w:rPr>
        <w:t>в области транспортных средств</w:t>
      </w:r>
    </w:p>
    <w:p w:rsidR="00F421F1" w:rsidRPr="006306E7" w:rsidRDefault="00F421F1" w:rsidP="00F421F1">
      <w:pPr>
        <w:spacing w:before="120"/>
        <w:rPr>
          <w:b/>
        </w:rPr>
      </w:pPr>
      <w:r w:rsidRPr="006306E7">
        <w:rPr>
          <w:b/>
        </w:rPr>
        <w:t>Рабочая группа по пассивной безопасности</w:t>
      </w:r>
    </w:p>
    <w:p w:rsidR="00F421F1" w:rsidRPr="006306E7" w:rsidRDefault="00F421F1" w:rsidP="00F421F1">
      <w:pPr>
        <w:spacing w:before="120"/>
        <w:rPr>
          <w:b/>
        </w:rPr>
      </w:pPr>
      <w:r w:rsidRPr="006306E7">
        <w:rPr>
          <w:b/>
        </w:rPr>
        <w:t>Шестьдесят вторая сессия</w:t>
      </w:r>
    </w:p>
    <w:p w:rsidR="00F421F1" w:rsidRPr="006306E7" w:rsidRDefault="00F421F1" w:rsidP="00F421F1">
      <w:proofErr w:type="spellStart"/>
      <w:r w:rsidRPr="006306E7">
        <w:t>Женев</w:t>
      </w:r>
      <w:r>
        <w:t>a</w:t>
      </w:r>
      <w:proofErr w:type="spellEnd"/>
      <w:r w:rsidRPr="006306E7">
        <w:t>, 12</w:t>
      </w:r>
      <w:r w:rsidRPr="00383926">
        <w:t>–</w:t>
      </w:r>
      <w:r w:rsidRPr="006306E7">
        <w:t>15 декабря 2017 года</w:t>
      </w:r>
    </w:p>
    <w:p w:rsidR="00F421F1" w:rsidRPr="006306E7" w:rsidRDefault="00F421F1" w:rsidP="00F421F1">
      <w:pPr>
        <w:rPr>
          <w:bCs/>
        </w:rPr>
      </w:pPr>
      <w:r w:rsidRPr="006306E7">
        <w:rPr>
          <w:szCs w:val="14"/>
        </w:rPr>
        <w:t>Пункт 12 предварительной повестки дня</w:t>
      </w:r>
    </w:p>
    <w:p w:rsidR="00E12C5F" w:rsidRPr="00383926" w:rsidRDefault="00F421F1" w:rsidP="00F421F1">
      <w:pPr>
        <w:rPr>
          <w:b/>
          <w:bCs/>
        </w:rPr>
      </w:pPr>
      <w:r>
        <w:rPr>
          <w:b/>
          <w:bCs/>
        </w:rPr>
        <w:t>Правила</w:t>
      </w:r>
      <w:r w:rsidRPr="009443D9">
        <w:rPr>
          <w:b/>
          <w:bCs/>
        </w:rPr>
        <w:t xml:space="preserve"> № 44 </w:t>
      </w:r>
      <w:r>
        <w:rPr>
          <w:b/>
          <w:bCs/>
        </w:rPr>
        <w:t>ООН</w:t>
      </w:r>
      <w:r w:rsidRPr="009443D9">
        <w:rPr>
          <w:b/>
          <w:bCs/>
        </w:rPr>
        <w:t xml:space="preserve"> (</w:t>
      </w:r>
      <w:r>
        <w:rPr>
          <w:b/>
          <w:bCs/>
        </w:rPr>
        <w:t>детские удерживающие системы</w:t>
      </w:r>
      <w:r w:rsidRPr="009443D9">
        <w:rPr>
          <w:b/>
          <w:bCs/>
        </w:rPr>
        <w:t>)</w:t>
      </w:r>
    </w:p>
    <w:p w:rsidR="00F421F1" w:rsidRPr="00120D6D" w:rsidRDefault="00F421F1" w:rsidP="00F421F1">
      <w:pPr>
        <w:pStyle w:val="HChGR"/>
      </w:pPr>
      <w:r w:rsidRPr="00120D6D">
        <w:tab/>
      </w:r>
      <w:r w:rsidRPr="00120D6D">
        <w:tab/>
      </w:r>
      <w:r>
        <w:t>Предложение</w:t>
      </w:r>
      <w:r w:rsidRPr="009443D9">
        <w:t xml:space="preserve"> </w:t>
      </w:r>
      <w:r>
        <w:t>по</w:t>
      </w:r>
      <w:r w:rsidRPr="009443D9">
        <w:t xml:space="preserve"> </w:t>
      </w:r>
      <w:r>
        <w:t>дополнению</w:t>
      </w:r>
      <w:r w:rsidRPr="009443D9">
        <w:t xml:space="preserve"> </w:t>
      </w:r>
      <w:r w:rsidRPr="009443D9">
        <w:rPr>
          <w:bCs/>
        </w:rPr>
        <w:t xml:space="preserve">14 </w:t>
      </w:r>
      <w:r>
        <w:rPr>
          <w:bCs/>
        </w:rPr>
        <w:t>к</w:t>
      </w:r>
      <w:r w:rsidRPr="009443D9">
        <w:rPr>
          <w:bCs/>
        </w:rPr>
        <w:t xml:space="preserve"> </w:t>
      </w:r>
      <w:r>
        <w:rPr>
          <w:bCs/>
        </w:rPr>
        <w:t>поправкам</w:t>
      </w:r>
      <w:r w:rsidRPr="009443D9">
        <w:rPr>
          <w:bCs/>
        </w:rPr>
        <w:t xml:space="preserve"> </w:t>
      </w:r>
      <w:r>
        <w:rPr>
          <w:bCs/>
        </w:rPr>
        <w:t>серии</w:t>
      </w:r>
      <w:r w:rsidRPr="009443D9">
        <w:rPr>
          <w:bCs/>
        </w:rPr>
        <w:t xml:space="preserve"> 04 </w:t>
      </w:r>
      <w:r>
        <w:rPr>
          <w:bCs/>
        </w:rPr>
        <w:t>к</w:t>
      </w:r>
      <w:r w:rsidRPr="009443D9">
        <w:rPr>
          <w:bCs/>
        </w:rPr>
        <w:t xml:space="preserve"> </w:t>
      </w:r>
      <w:r w:rsidRPr="009443D9">
        <w:t>Правилам № 44 ООН (детские удерживающие системы)</w:t>
      </w:r>
    </w:p>
    <w:p w:rsidR="00F421F1" w:rsidRPr="00367C5A" w:rsidRDefault="00F421F1" w:rsidP="00F421F1">
      <w:pPr>
        <w:pStyle w:val="H1GR"/>
      </w:pPr>
      <w:r w:rsidRPr="00120D6D">
        <w:tab/>
      </w:r>
      <w:r w:rsidRPr="00120D6D">
        <w:tab/>
      </w:r>
      <w:r>
        <w:t>Представлено</w:t>
      </w:r>
      <w:r w:rsidRPr="00367C5A">
        <w:t xml:space="preserve"> </w:t>
      </w:r>
      <w:r>
        <w:t>экспертом</w:t>
      </w:r>
      <w:r w:rsidRPr="00367C5A">
        <w:t xml:space="preserve"> </w:t>
      </w:r>
      <w:r>
        <w:t>от</w:t>
      </w:r>
      <w:r w:rsidRPr="00367C5A">
        <w:t xml:space="preserve"> </w:t>
      </w:r>
      <w:r>
        <w:t>Европейской</w:t>
      </w:r>
      <w:r w:rsidRPr="00367C5A">
        <w:t xml:space="preserve"> </w:t>
      </w:r>
      <w:r>
        <w:t>ассоциации</w:t>
      </w:r>
      <w:r w:rsidRPr="00367C5A">
        <w:t xml:space="preserve"> </w:t>
      </w:r>
      <w:r w:rsidR="00383926">
        <w:br/>
      </w:r>
      <w:r>
        <w:t xml:space="preserve">по координации участия потребителей в деятельности </w:t>
      </w:r>
      <w:r w:rsidR="00383926">
        <w:br/>
      </w:r>
      <w:r>
        <w:t>по стандартизации от</w:t>
      </w:r>
      <w:r w:rsidRPr="00367C5A">
        <w:t xml:space="preserve"> </w:t>
      </w:r>
      <w:r>
        <w:t>имени</w:t>
      </w:r>
      <w:r w:rsidRPr="00367C5A">
        <w:t xml:space="preserve"> </w:t>
      </w:r>
      <w:r w:rsidRPr="00D94C7E">
        <w:t>Международн</w:t>
      </w:r>
      <w:r>
        <w:t>ой</w:t>
      </w:r>
      <w:r w:rsidRPr="00D94C7E">
        <w:t xml:space="preserve"> организаци</w:t>
      </w:r>
      <w:r>
        <w:t>и</w:t>
      </w:r>
      <w:r w:rsidRPr="00D94C7E">
        <w:t xml:space="preserve"> потребительских союзов</w:t>
      </w:r>
      <w:r w:rsidRPr="0063532E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F421F1" w:rsidRPr="003E4856" w:rsidRDefault="00F421F1" w:rsidP="00F421F1">
      <w:pPr>
        <w:pStyle w:val="SingleTxtG"/>
        <w:rPr>
          <w:lang w:val="ru-RU"/>
        </w:rPr>
      </w:pPr>
      <w:r>
        <w:rPr>
          <w:snapToGrid w:val="0"/>
          <w:lang w:val="ru-RU"/>
        </w:rPr>
        <w:tab/>
        <w:t>Воспроизведенный</w:t>
      </w:r>
      <w:r w:rsidRPr="002C10E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ниже</w:t>
      </w:r>
      <w:r w:rsidRPr="002C10E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текст</w:t>
      </w:r>
      <w:r w:rsidRPr="002C10E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был</w:t>
      </w:r>
      <w:r w:rsidRPr="002C10E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подготовлен</w:t>
      </w:r>
      <w:r w:rsidRPr="002C10E3">
        <w:rPr>
          <w:snapToGrid w:val="0"/>
          <w:lang w:val="ru-RU"/>
        </w:rPr>
        <w:t xml:space="preserve"> </w:t>
      </w:r>
      <w:r>
        <w:rPr>
          <w:lang w:val="ru-RU"/>
        </w:rPr>
        <w:t>экспертом</w:t>
      </w:r>
      <w:r w:rsidRPr="002C10E3">
        <w:rPr>
          <w:lang w:val="ru-RU"/>
        </w:rPr>
        <w:t xml:space="preserve"> </w:t>
      </w:r>
      <w:r>
        <w:rPr>
          <w:lang w:val="ru-RU"/>
        </w:rPr>
        <w:t>от</w:t>
      </w:r>
      <w:r w:rsidRPr="002C10E3">
        <w:rPr>
          <w:lang w:val="ru-RU"/>
        </w:rPr>
        <w:t xml:space="preserve"> </w:t>
      </w:r>
      <w:r>
        <w:rPr>
          <w:lang w:val="ru-RU"/>
        </w:rPr>
        <w:t>Европейской</w:t>
      </w:r>
      <w:r w:rsidRPr="00367C5A">
        <w:rPr>
          <w:lang w:val="ru-RU"/>
        </w:rPr>
        <w:t xml:space="preserve"> </w:t>
      </w:r>
      <w:r>
        <w:rPr>
          <w:lang w:val="ru-RU"/>
        </w:rPr>
        <w:t>ассоциации</w:t>
      </w:r>
      <w:r w:rsidRPr="00367C5A">
        <w:rPr>
          <w:lang w:val="ru-RU"/>
        </w:rPr>
        <w:t xml:space="preserve"> </w:t>
      </w:r>
      <w:r>
        <w:rPr>
          <w:lang w:val="ru-RU"/>
        </w:rPr>
        <w:t>по координации участия потребителей в деятельности по стандартизации от</w:t>
      </w:r>
      <w:r w:rsidRPr="00367C5A">
        <w:rPr>
          <w:lang w:val="ru-RU"/>
        </w:rPr>
        <w:t xml:space="preserve"> </w:t>
      </w:r>
      <w:r>
        <w:rPr>
          <w:lang w:val="ru-RU"/>
        </w:rPr>
        <w:t>имени</w:t>
      </w:r>
      <w:r w:rsidRPr="00367C5A">
        <w:rPr>
          <w:lang w:val="ru-RU"/>
        </w:rPr>
        <w:t xml:space="preserve"> </w:t>
      </w:r>
      <w:r w:rsidRPr="00D94C7E">
        <w:rPr>
          <w:lang w:val="ru-RU"/>
        </w:rPr>
        <w:t>Международн</w:t>
      </w:r>
      <w:r>
        <w:rPr>
          <w:lang w:val="ru-RU"/>
        </w:rPr>
        <w:t>ой</w:t>
      </w:r>
      <w:r w:rsidRPr="00D94C7E">
        <w:rPr>
          <w:lang w:val="ru-RU"/>
        </w:rPr>
        <w:t xml:space="preserve"> организаци</w:t>
      </w:r>
      <w:r>
        <w:rPr>
          <w:lang w:val="ru-RU"/>
        </w:rPr>
        <w:t>и</w:t>
      </w:r>
      <w:r w:rsidRPr="00D94C7E">
        <w:rPr>
          <w:lang w:val="ru-RU"/>
        </w:rPr>
        <w:t xml:space="preserve"> потребительских союзов</w:t>
      </w:r>
      <w:r>
        <w:rPr>
          <w:lang w:val="ru-RU"/>
        </w:rPr>
        <w:t xml:space="preserve"> (МОПС)</w:t>
      </w:r>
      <w:r w:rsidRPr="002C10E3">
        <w:rPr>
          <w:lang w:val="ru-RU"/>
        </w:rPr>
        <w:t xml:space="preserve">. </w:t>
      </w:r>
      <w:r w:rsidR="00383926">
        <w:rPr>
          <w:lang w:val="ru-RU"/>
        </w:rPr>
        <w:br/>
      </w:r>
      <w:r>
        <w:rPr>
          <w:lang w:val="ru-RU"/>
        </w:rPr>
        <w:t>Он</w:t>
      </w:r>
      <w:r w:rsidRPr="003E4856">
        <w:rPr>
          <w:lang w:val="ru-RU"/>
        </w:rPr>
        <w:t xml:space="preserve"> </w:t>
      </w:r>
      <w:r>
        <w:rPr>
          <w:lang w:val="ru-RU"/>
        </w:rPr>
        <w:t>содержит</w:t>
      </w:r>
      <w:r w:rsidRPr="003E4856">
        <w:rPr>
          <w:lang w:val="ru-RU"/>
        </w:rPr>
        <w:t xml:space="preserve"> </w:t>
      </w:r>
      <w:r>
        <w:rPr>
          <w:lang w:val="ru-RU"/>
        </w:rPr>
        <w:t>поправку</w:t>
      </w:r>
      <w:r w:rsidRPr="003E4856">
        <w:rPr>
          <w:lang w:val="ru-RU"/>
        </w:rPr>
        <w:t xml:space="preserve"> </w:t>
      </w:r>
      <w:r>
        <w:rPr>
          <w:lang w:val="ru-RU"/>
        </w:rPr>
        <w:t>к</w:t>
      </w:r>
      <w:r w:rsidRPr="003E4856">
        <w:rPr>
          <w:lang w:val="ru-RU"/>
        </w:rPr>
        <w:t xml:space="preserve"> Правилам № 44 ООН (детские удерживающие системы</w:t>
      </w:r>
      <w:r w:rsidR="00383926">
        <w:rPr>
          <w:lang w:val="ru-RU"/>
        </w:rPr>
        <w:t> </w:t>
      </w:r>
      <w:r w:rsidRPr="003E4856">
        <w:rPr>
          <w:lang w:val="ru-RU"/>
        </w:rPr>
        <w:t xml:space="preserve">(ДУС)). </w:t>
      </w:r>
      <w:r w:rsidRPr="00914BE2">
        <w:rPr>
          <w:lang w:val="ru-RU"/>
        </w:rPr>
        <w:t xml:space="preserve">Изменения к существующему тексту Правил </w:t>
      </w:r>
      <w:r>
        <w:rPr>
          <w:lang w:val="ru-RU"/>
        </w:rPr>
        <w:t xml:space="preserve">ООН </w:t>
      </w:r>
      <w:r w:rsidRPr="00914BE2">
        <w:rPr>
          <w:lang w:val="ru-RU"/>
        </w:rPr>
        <w:t>выделены жирным шрифтом в случае новых положений</w:t>
      </w:r>
      <w:r w:rsidRPr="003E4856">
        <w:rPr>
          <w:lang w:val="ru-RU"/>
        </w:rPr>
        <w:t xml:space="preserve"> </w:t>
      </w:r>
      <w:r>
        <w:rPr>
          <w:lang w:val="ru-RU"/>
        </w:rPr>
        <w:t>или зачеркиванием в случае исключенных элементов</w:t>
      </w:r>
      <w:r w:rsidRPr="003E4856">
        <w:rPr>
          <w:lang w:val="ru-RU"/>
        </w:rPr>
        <w:t>.</w:t>
      </w:r>
    </w:p>
    <w:p w:rsidR="00F421F1" w:rsidRPr="00F421F1" w:rsidRDefault="00F421F1" w:rsidP="00F57F93">
      <w:pPr>
        <w:pStyle w:val="HChGR"/>
      </w:pPr>
      <w:r w:rsidRPr="00F421F1">
        <w:br w:type="page"/>
      </w:r>
      <w:r w:rsidRPr="00F421F1">
        <w:lastRenderedPageBreak/>
        <w:tab/>
      </w:r>
      <w:r>
        <w:t>I</w:t>
      </w:r>
      <w:r w:rsidRPr="00F421F1">
        <w:t>.</w:t>
      </w:r>
      <w:r w:rsidRPr="00F421F1">
        <w:tab/>
      </w:r>
      <w:r>
        <w:t>Предложение</w:t>
      </w:r>
    </w:p>
    <w:p w:rsidR="00F421F1" w:rsidRPr="00F421F1" w:rsidRDefault="00F421F1" w:rsidP="00F57F93">
      <w:pPr>
        <w:pStyle w:val="SingleTxtGR"/>
      </w:pPr>
      <w:r>
        <w:rPr>
          <w:i/>
        </w:rPr>
        <w:t>Пункт</w:t>
      </w:r>
      <w:r w:rsidRPr="00F421F1">
        <w:rPr>
          <w:i/>
        </w:rPr>
        <w:t xml:space="preserve"> 6.1.3</w:t>
      </w:r>
      <w:r w:rsidRPr="00F421F1">
        <w:t xml:space="preserve"> </w:t>
      </w:r>
      <w:r>
        <w:t>изменить</w:t>
      </w:r>
      <w:r w:rsidRPr="00F421F1">
        <w:t xml:space="preserve"> </w:t>
      </w:r>
      <w:r>
        <w:t>следующим</w:t>
      </w:r>
      <w:r w:rsidRPr="00F421F1">
        <w:t xml:space="preserve"> </w:t>
      </w:r>
      <w:r>
        <w:t>образом</w:t>
      </w:r>
      <w:r w:rsidRPr="00F421F1">
        <w:t>:</w:t>
      </w:r>
    </w:p>
    <w:p w:rsidR="00F421F1" w:rsidRPr="008E3300" w:rsidRDefault="00CF0146" w:rsidP="0014709F">
      <w:pPr>
        <w:pStyle w:val="SingleTxtGR"/>
        <w:ind w:left="2268" w:hanging="1134"/>
      </w:pPr>
      <w:r>
        <w:t>«</w:t>
      </w:r>
      <w:r w:rsidR="00F421F1" w:rsidRPr="008E3300">
        <w:t>6.1.3</w:t>
      </w:r>
      <w:r w:rsidR="00F421F1" w:rsidRPr="008E3300">
        <w:tab/>
      </w:r>
      <w:r w:rsidRPr="00CF0146">
        <w:tab/>
      </w:r>
      <w:r w:rsidR="00F421F1" w:rsidRPr="008E3300">
        <w:t xml:space="preserve">В зависимости от категории </w:t>
      </w:r>
      <w:r w:rsidR="00F421F1" w:rsidRPr="0014709F">
        <w:t>детского</w:t>
      </w:r>
      <w:r w:rsidR="00F421F1" w:rsidRPr="008E3300">
        <w:t xml:space="preserve"> удерживающего устройства оно должно крепиться к конструкции транспортного средства или к конструкции сиденья.</w:t>
      </w:r>
    </w:p>
    <w:p w:rsidR="00F421F1" w:rsidRPr="005D14C6" w:rsidRDefault="00CF0146" w:rsidP="00CF0146">
      <w:pPr>
        <w:pStyle w:val="H23GR"/>
        <w:rPr>
          <w:b w:val="0"/>
          <w:bCs/>
        </w:rPr>
      </w:pPr>
      <w:r>
        <w:tab/>
      </w:r>
      <w:r>
        <w:tab/>
      </w:r>
      <w:r w:rsidR="00F421F1" w:rsidRPr="00CA0734">
        <w:t>Возможные конфигурации для официального утверждения</w:t>
      </w:r>
      <w:r>
        <w:br/>
      </w:r>
      <w:r w:rsidR="00F421F1" w:rsidRPr="00CA0734">
        <w:rPr>
          <w:bCs/>
        </w:rPr>
        <w:t>с</w:t>
      </w:r>
      <w:r w:rsidR="00F421F1" w:rsidRPr="00CA0734">
        <w:rPr>
          <w:bCs/>
          <w:lang w:val="en-US"/>
        </w:rPr>
        <w:t> </w:t>
      </w:r>
      <w:r w:rsidR="00F421F1" w:rsidRPr="00CA0734">
        <w:rPr>
          <w:bCs/>
        </w:rPr>
        <w:t>указанием групп/категорий</w:t>
      </w:r>
    </w:p>
    <w:tbl>
      <w:tblPr>
        <w:tblW w:w="0" w:type="auto"/>
        <w:tblInd w:w="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2520"/>
        <w:gridCol w:w="490"/>
        <w:gridCol w:w="921"/>
        <w:gridCol w:w="502"/>
        <w:gridCol w:w="778"/>
        <w:gridCol w:w="490"/>
        <w:gridCol w:w="819"/>
        <w:gridCol w:w="703"/>
        <w:gridCol w:w="966"/>
      </w:tblGrid>
      <w:tr w:rsidR="00CF0146" w:rsidRPr="00CF0146" w:rsidTr="00F76382">
        <w:trPr>
          <w:trHeight w:val="46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F1" w:rsidRPr="00CF0146" w:rsidRDefault="00F421F1" w:rsidP="006B5258">
            <w:pPr>
              <w:pStyle w:val="SingleTxtGR"/>
              <w:spacing w:before="80" w:after="80" w:line="200" w:lineRule="exact"/>
              <w:ind w:left="72" w:right="0" w:firstLine="2"/>
              <w:jc w:val="left"/>
              <w:rPr>
                <w:i/>
                <w:sz w:val="16"/>
              </w:rPr>
            </w:pPr>
            <w:r w:rsidRPr="00CF0146">
              <w:rPr>
                <w:i/>
                <w:sz w:val="16"/>
              </w:rPr>
              <w:t>Группа/Категория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F1" w:rsidRPr="00CF0146" w:rsidRDefault="00F421F1" w:rsidP="00CF0146">
            <w:pPr>
              <w:pStyle w:val="SingleTxtGR"/>
              <w:spacing w:before="80" w:after="80" w:line="200" w:lineRule="exact"/>
              <w:ind w:left="0" w:right="0"/>
              <w:jc w:val="center"/>
              <w:rPr>
                <w:i/>
                <w:sz w:val="16"/>
              </w:rPr>
            </w:pPr>
            <w:r w:rsidRPr="00CF0146">
              <w:rPr>
                <w:i/>
                <w:sz w:val="16"/>
              </w:rPr>
              <w:t>Универсальная</w:t>
            </w:r>
            <w:r w:rsidRPr="00CF0146">
              <w:rPr>
                <w:i/>
                <w:sz w:val="16"/>
                <w:vertAlign w:val="superscript"/>
              </w:rPr>
              <w:t>(1)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F1" w:rsidRPr="00CF0146" w:rsidRDefault="00F421F1" w:rsidP="00CF0146">
            <w:pPr>
              <w:pStyle w:val="SingleTxtGR"/>
              <w:spacing w:before="80" w:after="80" w:line="200" w:lineRule="exact"/>
              <w:ind w:left="0" w:right="0"/>
              <w:jc w:val="center"/>
              <w:rPr>
                <w:i/>
                <w:sz w:val="16"/>
              </w:rPr>
            </w:pPr>
            <w:proofErr w:type="spellStart"/>
            <w:r w:rsidRPr="00CF0146">
              <w:rPr>
                <w:i/>
                <w:sz w:val="16"/>
              </w:rPr>
              <w:t>Полуунивер</w:t>
            </w:r>
            <w:proofErr w:type="spellEnd"/>
            <w:r w:rsidRPr="00CF0146">
              <w:rPr>
                <w:i/>
                <w:sz w:val="16"/>
              </w:rPr>
              <w:t>-сальная</w:t>
            </w:r>
            <w:r w:rsidRPr="00CF0146">
              <w:rPr>
                <w:i/>
                <w:sz w:val="16"/>
                <w:vertAlign w:val="superscript"/>
              </w:rPr>
              <w:t>(2)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F1" w:rsidRPr="00CF0146" w:rsidRDefault="00F421F1" w:rsidP="00CF0146">
            <w:pPr>
              <w:pStyle w:val="SingleTxtGR"/>
              <w:spacing w:before="80" w:after="80" w:line="200" w:lineRule="exact"/>
              <w:ind w:left="0" w:right="0"/>
              <w:jc w:val="center"/>
              <w:rPr>
                <w:i/>
                <w:sz w:val="16"/>
              </w:rPr>
            </w:pPr>
            <w:r w:rsidRPr="00CF0146">
              <w:rPr>
                <w:i/>
                <w:sz w:val="16"/>
              </w:rPr>
              <w:t>Ограниченного</w:t>
            </w:r>
            <w:r w:rsidRPr="00CF0146">
              <w:rPr>
                <w:i/>
                <w:sz w:val="16"/>
              </w:rPr>
              <w:br/>
              <w:t>использования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F1" w:rsidRPr="00CF0146" w:rsidRDefault="00F421F1" w:rsidP="00CF0146">
            <w:pPr>
              <w:pStyle w:val="SingleTxtGR"/>
              <w:spacing w:before="80" w:after="80" w:line="200" w:lineRule="exact"/>
              <w:ind w:left="0" w:right="0"/>
              <w:jc w:val="center"/>
              <w:rPr>
                <w:i/>
                <w:sz w:val="16"/>
              </w:rPr>
            </w:pPr>
            <w:r w:rsidRPr="00CF0146">
              <w:rPr>
                <w:i/>
                <w:sz w:val="16"/>
              </w:rPr>
              <w:t>Конкретного тран</w:t>
            </w:r>
            <w:r w:rsidRPr="00CF0146">
              <w:rPr>
                <w:i/>
                <w:sz w:val="16"/>
              </w:rPr>
              <w:t>с</w:t>
            </w:r>
            <w:r w:rsidRPr="00CF0146">
              <w:rPr>
                <w:i/>
                <w:sz w:val="16"/>
              </w:rPr>
              <w:t>портного средства</w:t>
            </w:r>
          </w:p>
        </w:tc>
      </w:tr>
      <w:tr w:rsidR="00741C4E" w:rsidRPr="00CF0146" w:rsidTr="00741C4E">
        <w:trPr>
          <w:trHeight w:val="465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F1" w:rsidRPr="00CF0146" w:rsidRDefault="00F421F1" w:rsidP="00CF0146">
            <w:pPr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F1" w:rsidRPr="00CF0146" w:rsidRDefault="00F421F1" w:rsidP="006B5258">
            <w:pPr>
              <w:pStyle w:val="SingleTxtGR"/>
              <w:spacing w:before="36" w:after="36" w:line="220" w:lineRule="exact"/>
              <w:ind w:left="57" w:right="0"/>
              <w:rPr>
                <w:i/>
                <w:sz w:val="16"/>
                <w:szCs w:val="16"/>
              </w:rPr>
            </w:pPr>
            <w:r w:rsidRPr="006B5258">
              <w:rPr>
                <w:i/>
                <w:sz w:val="16"/>
                <w:szCs w:val="16"/>
              </w:rPr>
              <w:t>ДУС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F1" w:rsidRPr="00CF0146" w:rsidRDefault="00F421F1" w:rsidP="006B5258">
            <w:pPr>
              <w:pStyle w:val="SingleTxtGR"/>
              <w:spacing w:before="36" w:after="36" w:line="220" w:lineRule="exact"/>
              <w:ind w:left="57" w:right="0"/>
              <w:rPr>
                <w:i/>
                <w:sz w:val="16"/>
                <w:szCs w:val="16"/>
              </w:rPr>
            </w:pPr>
            <w:r w:rsidRPr="006B5258">
              <w:rPr>
                <w:i/>
                <w:sz w:val="16"/>
                <w:szCs w:val="16"/>
              </w:rPr>
              <w:t>ДУС ISOFIX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F1" w:rsidRPr="00CF0146" w:rsidRDefault="00F421F1" w:rsidP="006B5258">
            <w:pPr>
              <w:pStyle w:val="SingleTxtGR"/>
              <w:spacing w:before="36" w:after="36" w:line="220" w:lineRule="exact"/>
              <w:ind w:left="57" w:right="0"/>
              <w:rPr>
                <w:i/>
                <w:sz w:val="16"/>
                <w:szCs w:val="16"/>
              </w:rPr>
            </w:pPr>
            <w:r w:rsidRPr="006B5258">
              <w:rPr>
                <w:i/>
                <w:sz w:val="16"/>
                <w:szCs w:val="16"/>
              </w:rPr>
              <w:t>ДУС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F1" w:rsidRPr="00CF0146" w:rsidRDefault="00F421F1" w:rsidP="006B5258">
            <w:pPr>
              <w:pStyle w:val="SingleTxtGR"/>
              <w:spacing w:before="36" w:after="36" w:line="220" w:lineRule="exact"/>
              <w:ind w:left="57" w:right="0"/>
              <w:rPr>
                <w:i/>
                <w:sz w:val="16"/>
                <w:szCs w:val="16"/>
              </w:rPr>
            </w:pPr>
            <w:r w:rsidRPr="006B5258">
              <w:rPr>
                <w:i/>
                <w:sz w:val="16"/>
                <w:szCs w:val="16"/>
              </w:rPr>
              <w:t>ДУС ISOFIX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F1" w:rsidRPr="006B5258" w:rsidRDefault="006B5258" w:rsidP="006B5258">
            <w:pPr>
              <w:pStyle w:val="SingleTxtGR"/>
              <w:spacing w:before="36" w:after="36" w:line="220" w:lineRule="exact"/>
              <w:ind w:left="57" w:right="0"/>
              <w:rPr>
                <w:i/>
                <w:sz w:val="16"/>
                <w:szCs w:val="16"/>
              </w:rPr>
            </w:pPr>
            <w:r w:rsidRPr="006B5258">
              <w:rPr>
                <w:i/>
                <w:sz w:val="16"/>
                <w:szCs w:val="16"/>
              </w:rPr>
              <w:t>ДУС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F1" w:rsidRPr="006B5258" w:rsidRDefault="006B5258" w:rsidP="006B5258">
            <w:pPr>
              <w:pStyle w:val="SingleTxtGR"/>
              <w:spacing w:before="36" w:after="36" w:line="220" w:lineRule="exact"/>
              <w:ind w:left="57" w:right="0"/>
              <w:rPr>
                <w:i/>
                <w:sz w:val="16"/>
                <w:szCs w:val="16"/>
              </w:rPr>
            </w:pPr>
            <w:r w:rsidRPr="006B5258">
              <w:rPr>
                <w:i/>
                <w:sz w:val="16"/>
                <w:szCs w:val="16"/>
              </w:rPr>
              <w:t>ДУС ISOFIX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F1" w:rsidRPr="006B5258" w:rsidRDefault="00F421F1" w:rsidP="006B5258">
            <w:pPr>
              <w:pStyle w:val="SingleTxtGR"/>
              <w:spacing w:before="36" w:after="36" w:line="220" w:lineRule="exact"/>
              <w:ind w:left="57" w:right="0"/>
              <w:rPr>
                <w:i/>
                <w:sz w:val="16"/>
                <w:szCs w:val="16"/>
              </w:rPr>
            </w:pPr>
            <w:r w:rsidRPr="006B5258">
              <w:rPr>
                <w:i/>
                <w:sz w:val="16"/>
                <w:szCs w:val="16"/>
              </w:rPr>
              <w:t xml:space="preserve">ДУС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F1" w:rsidRPr="00913F57" w:rsidRDefault="00F421F1" w:rsidP="00913F57">
            <w:pPr>
              <w:pStyle w:val="SingleTxtGR"/>
              <w:spacing w:before="36" w:after="36" w:line="220" w:lineRule="exact"/>
              <w:ind w:left="57" w:right="0"/>
              <w:rPr>
                <w:i/>
                <w:sz w:val="16"/>
                <w:szCs w:val="16"/>
              </w:rPr>
            </w:pPr>
            <w:r w:rsidRPr="00913F57">
              <w:rPr>
                <w:i/>
                <w:sz w:val="16"/>
                <w:szCs w:val="16"/>
              </w:rPr>
              <w:t>ДУС</w:t>
            </w:r>
            <w:r w:rsidR="006B5258">
              <w:rPr>
                <w:i/>
                <w:sz w:val="16"/>
                <w:szCs w:val="16"/>
              </w:rPr>
              <w:t xml:space="preserve"> </w:t>
            </w:r>
            <w:r w:rsidR="006B5258">
              <w:rPr>
                <w:i/>
                <w:sz w:val="16"/>
                <w:szCs w:val="16"/>
              </w:rPr>
              <w:br/>
            </w:r>
            <w:r w:rsidR="006B5258" w:rsidRPr="00CF0146">
              <w:rPr>
                <w:i/>
                <w:sz w:val="16"/>
              </w:rPr>
              <w:t>ISOFIX</w:t>
            </w:r>
          </w:p>
        </w:tc>
      </w:tr>
      <w:tr w:rsidR="00CF0146" w:rsidRPr="00746A1F" w:rsidTr="00CF0146">
        <w:trPr>
          <w:trHeight w:hRule="exact" w:val="400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  <w:jc w:val="left"/>
            </w:pPr>
            <w:r w:rsidRPr="00EA1D66">
              <w:t>Детская люлька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П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НП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П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П</w:t>
            </w:r>
            <w:r w:rsidRPr="00EA1D66">
              <w:rPr>
                <w:i/>
                <w:vertAlign w:val="superscript"/>
              </w:rPr>
              <w:t>(3)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П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НП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П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П</w:t>
            </w:r>
            <w:r w:rsidRPr="00EA1D66">
              <w:rPr>
                <w:i/>
                <w:vertAlign w:val="superscript"/>
              </w:rPr>
              <w:t>(3)</w:t>
            </w:r>
          </w:p>
        </w:tc>
      </w:tr>
      <w:tr w:rsidR="00CF0146" w:rsidRPr="00746A1F" w:rsidTr="00CF0146">
        <w:trPr>
          <w:trHeight w:hRule="exact" w:val="550"/>
        </w:trPr>
        <w:tc>
          <w:tcPr>
            <w:tcW w:w="0" w:type="auto"/>
            <w:vMerge/>
            <w:shd w:val="clear" w:color="auto" w:fill="auto"/>
            <w:vAlign w:val="center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EA1D66">
            <w:pPr>
              <w:pStyle w:val="SingleTxtGR"/>
              <w:spacing w:before="36" w:after="36" w:line="220" w:lineRule="exact"/>
              <w:ind w:left="57" w:right="0"/>
              <w:jc w:val="left"/>
            </w:pPr>
            <w:r w:rsidRPr="00EA1D66">
              <w:t>Против направления дв</w:t>
            </w:r>
            <w:r w:rsidRPr="00EA1D66">
              <w:t>и</w:t>
            </w:r>
            <w:r w:rsidRPr="00EA1D66">
              <w:t>жения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НП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П</w:t>
            </w:r>
            <w:r w:rsidRPr="00EA1D66">
              <w:rPr>
                <w:i/>
                <w:szCs w:val="20"/>
                <w:vertAlign w:val="superscript"/>
              </w:rPr>
              <w:t>(3)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НП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П</w:t>
            </w:r>
            <w:r w:rsidRPr="00EA1D66">
              <w:rPr>
                <w:i/>
                <w:szCs w:val="20"/>
                <w:vertAlign w:val="superscript"/>
              </w:rPr>
              <w:t>(3)</w:t>
            </w:r>
          </w:p>
        </w:tc>
      </w:tr>
      <w:tr w:rsidR="00CF0146" w:rsidRPr="00746A1F" w:rsidTr="00CF0146">
        <w:trPr>
          <w:trHeight w:hRule="exact" w:val="570"/>
        </w:trPr>
        <w:tc>
          <w:tcPr>
            <w:tcW w:w="0" w:type="auto"/>
            <w:shd w:val="clear" w:color="auto" w:fill="auto"/>
            <w:vAlign w:val="center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0+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  <w:jc w:val="left"/>
            </w:pPr>
            <w:r w:rsidRPr="00EA1D66">
              <w:t>Против направления дв</w:t>
            </w:r>
            <w:r w:rsidRPr="00EA1D66">
              <w:t>и</w:t>
            </w:r>
            <w:r w:rsidRPr="00EA1D66">
              <w:t>жения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НП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П</w:t>
            </w:r>
            <w:r w:rsidRPr="00EA1D66">
              <w:rPr>
                <w:i/>
                <w:vertAlign w:val="superscript"/>
              </w:rPr>
              <w:t>(3)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НП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П</w:t>
            </w:r>
            <w:r w:rsidRPr="00EA1D66">
              <w:rPr>
                <w:i/>
                <w:vertAlign w:val="superscript"/>
              </w:rPr>
              <w:t>(3)</w:t>
            </w:r>
          </w:p>
        </w:tc>
      </w:tr>
      <w:tr w:rsidR="00CF0146" w:rsidRPr="00746A1F" w:rsidTr="00CF0146">
        <w:trPr>
          <w:trHeight w:val="39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I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  <w:jc w:val="left"/>
            </w:pPr>
            <w:r w:rsidRPr="00EA1D66">
              <w:t>Против направления</w:t>
            </w:r>
            <w:r w:rsidRPr="00EA1D66">
              <w:br/>
              <w:t xml:space="preserve">движения 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НП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П</w:t>
            </w:r>
            <w:r w:rsidRPr="00EA1D66">
              <w:rPr>
                <w:i/>
                <w:vertAlign w:val="superscript"/>
              </w:rPr>
              <w:t>(3)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НП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П</w:t>
            </w:r>
            <w:r w:rsidRPr="00EA1D66">
              <w:rPr>
                <w:i/>
                <w:vertAlign w:val="superscript"/>
              </w:rPr>
              <w:t>(3)</w:t>
            </w:r>
          </w:p>
        </w:tc>
      </w:tr>
      <w:tr w:rsidR="00CF0146" w:rsidRPr="00746A1F" w:rsidTr="00CF0146">
        <w:trPr>
          <w:trHeight w:val="568"/>
        </w:trPr>
        <w:tc>
          <w:tcPr>
            <w:tcW w:w="0" w:type="auto"/>
            <w:vMerge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EA1D66">
            <w:pPr>
              <w:pStyle w:val="SingleTxtGR"/>
              <w:spacing w:before="36" w:after="36" w:line="220" w:lineRule="exact"/>
              <w:ind w:left="57" w:right="0"/>
              <w:jc w:val="left"/>
            </w:pPr>
            <w:r w:rsidRPr="00EA1D66">
              <w:t>По направлению движ</w:t>
            </w:r>
            <w:r w:rsidRPr="00EA1D66">
              <w:t>е</w:t>
            </w:r>
            <w:r w:rsidRPr="00EA1D66">
              <w:t>ния (цельная конструкция)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П</w:t>
            </w:r>
            <w:r w:rsidRPr="00EA1D66">
              <w:rPr>
                <w:i/>
                <w:szCs w:val="20"/>
                <w:vertAlign w:val="superscript"/>
              </w:rPr>
              <w:t>(3)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П</w:t>
            </w:r>
            <w:r w:rsidRPr="00EA1D66">
              <w:rPr>
                <w:i/>
                <w:szCs w:val="20"/>
                <w:vertAlign w:val="superscript"/>
              </w:rPr>
              <w:t>(3)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НП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П</w:t>
            </w:r>
            <w:r w:rsidRPr="00EA1D66">
              <w:rPr>
                <w:i/>
                <w:szCs w:val="20"/>
                <w:vertAlign w:val="superscript"/>
              </w:rPr>
              <w:t>(3)</w:t>
            </w:r>
          </w:p>
        </w:tc>
      </w:tr>
      <w:tr w:rsidR="00CF0146" w:rsidRPr="00746A1F" w:rsidTr="00CF0146">
        <w:trPr>
          <w:trHeight w:val="578"/>
        </w:trPr>
        <w:tc>
          <w:tcPr>
            <w:tcW w:w="0" w:type="auto"/>
            <w:vMerge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EA1D66">
            <w:pPr>
              <w:pStyle w:val="SingleTxtGR"/>
              <w:spacing w:before="36" w:after="36" w:line="220" w:lineRule="exact"/>
              <w:ind w:left="57" w:right="0"/>
              <w:jc w:val="left"/>
            </w:pPr>
            <w:r w:rsidRPr="00EA1D66">
              <w:t>По направлению движ</w:t>
            </w:r>
            <w:r w:rsidRPr="00EA1D66">
              <w:t>е</w:t>
            </w:r>
            <w:r w:rsidRPr="00EA1D66">
              <w:t>ния (</w:t>
            </w:r>
            <w:proofErr w:type="spellStart"/>
            <w:r w:rsidRPr="00EA1D66">
              <w:t>нецельная</w:t>
            </w:r>
            <w:proofErr w:type="spellEnd"/>
            <w:r w:rsidRPr="00EA1D66">
              <w:t xml:space="preserve"> констру</w:t>
            </w:r>
            <w:r w:rsidRPr="00EA1D66">
              <w:t>к</w:t>
            </w:r>
            <w:r w:rsidRPr="00EA1D66">
              <w:t>ция)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НП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НП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НП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НП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НП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НП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НП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НП</w:t>
            </w:r>
          </w:p>
        </w:tc>
      </w:tr>
      <w:tr w:rsidR="00CF0146" w:rsidRPr="00746A1F" w:rsidTr="00CF0146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EA1D66">
            <w:pPr>
              <w:pStyle w:val="SingleTxtGR"/>
              <w:spacing w:before="36" w:after="36" w:line="220" w:lineRule="exact"/>
              <w:ind w:left="57" w:right="0"/>
              <w:jc w:val="left"/>
            </w:pPr>
            <w:r w:rsidRPr="00EA1D66">
              <w:t>По направлению движ</w:t>
            </w:r>
            <w:r w:rsidRPr="00EA1D66">
              <w:t>е</w:t>
            </w:r>
            <w:r w:rsidRPr="00EA1D66">
              <w:t>ния (</w:t>
            </w:r>
            <w:proofErr w:type="spellStart"/>
            <w:r w:rsidRPr="00EA1D66">
              <w:t>нецельная</w:t>
            </w:r>
            <w:proofErr w:type="spellEnd"/>
            <w:r w:rsidRPr="00EA1D66">
              <w:t xml:space="preserve"> констру</w:t>
            </w:r>
            <w:r w:rsidRPr="00EA1D66">
              <w:t>к</w:t>
            </w:r>
            <w:r w:rsidRPr="00EA1D66">
              <w:t>ция − см. пункт 6.1.12)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НП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НП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НП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П</w:t>
            </w:r>
            <w:r w:rsidRPr="00EA1D66">
              <w:rPr>
                <w:i/>
                <w:szCs w:val="20"/>
                <w:vertAlign w:val="superscript"/>
              </w:rPr>
              <w:t>(3)</w:t>
            </w:r>
          </w:p>
        </w:tc>
      </w:tr>
      <w:tr w:rsidR="00CF0146" w:rsidRPr="00746A1F" w:rsidTr="00CF0146">
        <w:trPr>
          <w:trHeight w:val="30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II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  <w:jc w:val="left"/>
            </w:pPr>
            <w:r w:rsidRPr="00EA1D66">
              <w:t>Против направления</w:t>
            </w:r>
            <w:r w:rsidRPr="00EA1D66">
              <w:br/>
              <w:t>движения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НП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НП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НП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П</w:t>
            </w:r>
          </w:p>
        </w:tc>
      </w:tr>
      <w:tr w:rsidR="00CF0146" w:rsidRPr="00746A1F" w:rsidTr="00CF0146">
        <w:trPr>
          <w:trHeight w:val="465"/>
        </w:trPr>
        <w:tc>
          <w:tcPr>
            <w:tcW w:w="0" w:type="auto"/>
            <w:vMerge/>
            <w:shd w:val="clear" w:color="auto" w:fill="auto"/>
            <w:vAlign w:val="center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EA1D66">
            <w:pPr>
              <w:pStyle w:val="SingleTxtGR"/>
              <w:spacing w:before="36" w:after="36" w:line="220" w:lineRule="exact"/>
              <w:ind w:left="57" w:right="0"/>
              <w:jc w:val="left"/>
            </w:pPr>
            <w:r w:rsidRPr="00EA1D66">
              <w:t>По направлению движ</w:t>
            </w:r>
            <w:r w:rsidRPr="00EA1D66">
              <w:t>е</w:t>
            </w:r>
            <w:r w:rsidRPr="00EA1D66">
              <w:t>ния (цельная конструкция)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НП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НП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НП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П</w:t>
            </w:r>
          </w:p>
        </w:tc>
      </w:tr>
      <w:tr w:rsidR="00CF0146" w:rsidRPr="00746A1F" w:rsidTr="00CF0146">
        <w:trPr>
          <w:trHeight w:val="465"/>
        </w:trPr>
        <w:tc>
          <w:tcPr>
            <w:tcW w:w="0" w:type="auto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EA1D66">
            <w:pPr>
              <w:pStyle w:val="SingleTxtGR"/>
              <w:spacing w:before="36" w:after="36" w:line="220" w:lineRule="exact"/>
              <w:ind w:left="57" w:right="0"/>
              <w:jc w:val="left"/>
            </w:pPr>
            <w:r w:rsidRPr="00EA1D66">
              <w:t>По направлению движ</w:t>
            </w:r>
            <w:r w:rsidRPr="00EA1D66">
              <w:t>е</w:t>
            </w:r>
            <w:r w:rsidRPr="00EA1D66">
              <w:t>ния (</w:t>
            </w:r>
            <w:proofErr w:type="spellStart"/>
            <w:r w:rsidRPr="00EA1D66">
              <w:t>нецельная</w:t>
            </w:r>
            <w:proofErr w:type="spellEnd"/>
            <w:r w:rsidRPr="00EA1D66">
              <w:t xml:space="preserve"> констру</w:t>
            </w:r>
            <w:r w:rsidRPr="00EA1D66">
              <w:t>к</w:t>
            </w:r>
            <w:r w:rsidRPr="00EA1D66">
              <w:t>ция)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b/>
                <w:szCs w:val="20"/>
              </w:rPr>
            </w:pPr>
            <w:r w:rsidRPr="00EA1D66">
              <w:rPr>
                <w:szCs w:val="20"/>
              </w:rPr>
              <w:t>П</w:t>
            </w:r>
            <w:r w:rsidRPr="00EA1D66">
              <w:rPr>
                <w:b/>
                <w:bCs/>
                <w:i/>
                <w:iCs/>
                <w:szCs w:val="20"/>
                <w:vertAlign w:val="superscript"/>
              </w:rPr>
              <w:t>(4)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НП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П</w:t>
            </w:r>
            <w:r w:rsidRPr="00EA1D66">
              <w:rPr>
                <w:i/>
                <w:iCs/>
                <w:szCs w:val="20"/>
                <w:vertAlign w:val="superscript"/>
              </w:rPr>
              <w:t>(4)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НП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П</w:t>
            </w:r>
            <w:r w:rsidRPr="00EA1D66">
              <w:rPr>
                <w:b/>
                <w:bCs/>
                <w:i/>
                <w:iCs/>
                <w:szCs w:val="20"/>
                <w:vertAlign w:val="superscript"/>
              </w:rPr>
              <w:t>(4)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НП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П</w:t>
            </w:r>
            <w:r w:rsidRPr="00EA1D66">
              <w:rPr>
                <w:b/>
                <w:bCs/>
                <w:i/>
                <w:iCs/>
                <w:szCs w:val="20"/>
                <w:vertAlign w:val="superscript"/>
              </w:rPr>
              <w:t>(4)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П</w:t>
            </w:r>
            <w:r w:rsidRPr="00EA1D66">
              <w:rPr>
                <w:b/>
                <w:bCs/>
                <w:i/>
                <w:iCs/>
                <w:szCs w:val="20"/>
                <w:vertAlign w:val="superscript"/>
              </w:rPr>
              <w:t>(4)</w:t>
            </w:r>
          </w:p>
        </w:tc>
      </w:tr>
      <w:tr w:rsidR="00CF0146" w:rsidRPr="00746A1F" w:rsidTr="00CF0146">
        <w:trPr>
          <w:trHeight w:val="389"/>
        </w:trPr>
        <w:tc>
          <w:tcPr>
            <w:tcW w:w="0" w:type="auto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III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  <w:jc w:val="left"/>
            </w:pPr>
            <w:r w:rsidRPr="00EA1D66">
              <w:t>Против направления</w:t>
            </w:r>
            <w:r w:rsidRPr="00EA1D66">
              <w:br/>
              <w:t>движения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НП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НП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НП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П</w:t>
            </w:r>
          </w:p>
        </w:tc>
        <w:tc>
          <w:tcPr>
            <w:tcW w:w="0" w:type="auto"/>
            <w:shd w:val="clear" w:color="auto" w:fill="auto"/>
          </w:tcPr>
          <w:p w:rsidR="00F421F1" w:rsidRPr="00EA1D66" w:rsidRDefault="00F421F1" w:rsidP="00284762">
            <w:pPr>
              <w:pStyle w:val="SingleTxtGR"/>
              <w:spacing w:before="36" w:after="36" w:line="220" w:lineRule="exact"/>
              <w:ind w:left="57" w:right="0"/>
            </w:pPr>
            <w:r w:rsidRPr="00EA1D66">
              <w:t>П</w:t>
            </w:r>
          </w:p>
        </w:tc>
      </w:tr>
      <w:tr w:rsidR="00CF0146" w:rsidRPr="00746A1F" w:rsidTr="00CF0146">
        <w:trPr>
          <w:trHeight w:val="465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szCs w:val="20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F421F1" w:rsidRPr="00EA1D66" w:rsidRDefault="00F421F1" w:rsidP="00EA1D66">
            <w:pPr>
              <w:pStyle w:val="SingleTxtGR"/>
              <w:spacing w:before="36" w:after="36" w:line="220" w:lineRule="exact"/>
              <w:ind w:left="57" w:right="0"/>
              <w:jc w:val="left"/>
            </w:pPr>
            <w:r w:rsidRPr="00EA1D66">
              <w:t>По направлению движ</w:t>
            </w:r>
            <w:r w:rsidRPr="00EA1D66">
              <w:t>е</w:t>
            </w:r>
            <w:r w:rsidRPr="00EA1D66">
              <w:t>ния (цельная конструкция)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П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НП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П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НП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П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НП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П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П</w:t>
            </w:r>
          </w:p>
        </w:tc>
      </w:tr>
      <w:tr w:rsidR="001D1C45" w:rsidRPr="00746A1F" w:rsidTr="001D1C45">
        <w:trPr>
          <w:trHeight w:val="465"/>
        </w:trPr>
        <w:tc>
          <w:tcPr>
            <w:tcW w:w="0" w:type="auto"/>
            <w:vMerge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szCs w:val="20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F421F1" w:rsidRPr="00EA1D66" w:rsidRDefault="00F421F1" w:rsidP="00EA1D66">
            <w:pPr>
              <w:pStyle w:val="SingleTxtGR"/>
              <w:spacing w:before="36" w:after="36" w:line="220" w:lineRule="exact"/>
              <w:ind w:left="57" w:right="0"/>
              <w:jc w:val="left"/>
            </w:pPr>
            <w:r w:rsidRPr="00EA1D66">
              <w:t>По направлению движ</w:t>
            </w:r>
            <w:r w:rsidRPr="00EA1D66">
              <w:t>е</w:t>
            </w:r>
            <w:r w:rsidRPr="00EA1D66">
              <w:t>ния (</w:t>
            </w:r>
            <w:proofErr w:type="spellStart"/>
            <w:r w:rsidRPr="00EA1D66">
              <w:t>нецельная</w:t>
            </w:r>
            <w:proofErr w:type="spellEnd"/>
            <w:r w:rsidRPr="00EA1D66">
              <w:t xml:space="preserve"> констру</w:t>
            </w:r>
            <w:r w:rsidRPr="00EA1D66">
              <w:t>к</w:t>
            </w:r>
            <w:r w:rsidRPr="00EA1D66">
              <w:t>ция)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П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НП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П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НП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П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НП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П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F421F1" w:rsidRPr="00EA1D66" w:rsidRDefault="00F421F1" w:rsidP="00284762">
            <w:pPr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szCs w:val="20"/>
              </w:rPr>
            </w:pPr>
            <w:r w:rsidRPr="00EA1D66">
              <w:rPr>
                <w:szCs w:val="20"/>
              </w:rPr>
              <w:t>П</w:t>
            </w:r>
          </w:p>
        </w:tc>
      </w:tr>
      <w:tr w:rsidR="00F421F1" w:rsidRPr="00A96916" w:rsidTr="001D1C45">
        <w:trPr>
          <w:trHeight w:val="465"/>
        </w:trPr>
        <w:tc>
          <w:tcPr>
            <w:tcW w:w="0" w:type="auto"/>
            <w:gridSpan w:val="10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F421F1" w:rsidRPr="0075426B" w:rsidRDefault="00F421F1" w:rsidP="0075426B">
            <w:pPr>
              <w:pStyle w:val="SingleTxtGR"/>
              <w:tabs>
                <w:tab w:val="clear" w:pos="1701"/>
                <w:tab w:val="left" w:pos="509"/>
                <w:tab w:val="left" w:pos="812"/>
              </w:tabs>
              <w:suppressAutoHyphens/>
              <w:spacing w:before="60" w:after="0" w:line="180" w:lineRule="exact"/>
              <w:ind w:left="57" w:right="0" w:firstLine="170"/>
              <w:jc w:val="left"/>
              <w:rPr>
                <w:sz w:val="18"/>
                <w:szCs w:val="18"/>
              </w:rPr>
            </w:pPr>
            <w:r w:rsidRPr="0075426B">
              <w:rPr>
                <w:i/>
                <w:sz w:val="18"/>
                <w:szCs w:val="18"/>
              </w:rPr>
              <w:t>Обозначения</w:t>
            </w:r>
            <w:r w:rsidRPr="0075426B">
              <w:rPr>
                <w:sz w:val="18"/>
                <w:szCs w:val="18"/>
              </w:rPr>
              <w:t>:</w:t>
            </w:r>
          </w:p>
          <w:p w:rsidR="00F421F1" w:rsidRPr="0075426B" w:rsidRDefault="00F421F1" w:rsidP="0075426B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761"/>
                <w:tab w:val="left" w:pos="999"/>
              </w:tabs>
              <w:suppressAutoHyphens/>
              <w:spacing w:after="0" w:line="180" w:lineRule="exact"/>
              <w:ind w:left="57" w:right="0" w:firstLine="170"/>
              <w:jc w:val="left"/>
              <w:rPr>
                <w:sz w:val="18"/>
                <w:szCs w:val="18"/>
              </w:rPr>
            </w:pPr>
            <w:r w:rsidRPr="0075426B">
              <w:rPr>
                <w:sz w:val="18"/>
                <w:szCs w:val="18"/>
              </w:rPr>
              <w:t>ДУС</w:t>
            </w:r>
            <w:r w:rsidRPr="0075426B">
              <w:rPr>
                <w:sz w:val="18"/>
                <w:szCs w:val="18"/>
              </w:rPr>
              <w:tab/>
              <w:t>−</w:t>
            </w:r>
            <w:r w:rsidRPr="0075426B">
              <w:rPr>
                <w:sz w:val="18"/>
                <w:szCs w:val="18"/>
              </w:rPr>
              <w:tab/>
              <w:t>детская удерживающая система</w:t>
            </w:r>
          </w:p>
          <w:p w:rsidR="00F421F1" w:rsidRPr="0075426B" w:rsidRDefault="00F421F1" w:rsidP="0075426B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761"/>
                <w:tab w:val="left" w:pos="999"/>
              </w:tabs>
              <w:suppressAutoHyphens/>
              <w:spacing w:after="0" w:line="180" w:lineRule="exact"/>
              <w:ind w:left="57" w:right="0" w:firstLine="170"/>
              <w:jc w:val="left"/>
              <w:rPr>
                <w:sz w:val="18"/>
                <w:szCs w:val="18"/>
              </w:rPr>
            </w:pPr>
            <w:r w:rsidRPr="0075426B">
              <w:rPr>
                <w:sz w:val="18"/>
                <w:szCs w:val="18"/>
              </w:rPr>
              <w:t>П</w:t>
            </w:r>
            <w:r w:rsidRPr="0075426B">
              <w:rPr>
                <w:sz w:val="18"/>
                <w:szCs w:val="18"/>
              </w:rPr>
              <w:tab/>
              <w:t>−</w:t>
            </w:r>
            <w:r w:rsidRPr="0075426B">
              <w:rPr>
                <w:sz w:val="18"/>
                <w:szCs w:val="18"/>
              </w:rPr>
              <w:tab/>
              <w:t>применяется</w:t>
            </w:r>
          </w:p>
          <w:p w:rsidR="00F421F1" w:rsidRDefault="00F421F1" w:rsidP="0075426B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761"/>
                <w:tab w:val="left" w:pos="999"/>
              </w:tabs>
              <w:suppressAutoHyphens/>
              <w:spacing w:after="40" w:line="180" w:lineRule="exact"/>
              <w:ind w:left="57" w:right="0" w:firstLine="170"/>
              <w:jc w:val="left"/>
              <w:rPr>
                <w:sz w:val="18"/>
                <w:szCs w:val="18"/>
              </w:rPr>
            </w:pPr>
            <w:r w:rsidRPr="0075426B">
              <w:rPr>
                <w:sz w:val="18"/>
                <w:szCs w:val="18"/>
              </w:rPr>
              <w:t>НП</w:t>
            </w:r>
            <w:r w:rsidRPr="0075426B">
              <w:rPr>
                <w:sz w:val="18"/>
                <w:szCs w:val="18"/>
              </w:rPr>
              <w:tab/>
              <w:t>−</w:t>
            </w:r>
            <w:r w:rsidRPr="0075426B">
              <w:rPr>
                <w:sz w:val="18"/>
                <w:szCs w:val="18"/>
              </w:rPr>
              <w:tab/>
              <w:t>не применяется</w:t>
            </w:r>
          </w:p>
          <w:p w:rsidR="0075426B" w:rsidRPr="0075426B" w:rsidRDefault="0075426B" w:rsidP="0075426B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761"/>
                <w:tab w:val="left" w:pos="999"/>
              </w:tabs>
              <w:suppressAutoHyphens/>
              <w:spacing w:after="40" w:line="180" w:lineRule="exact"/>
              <w:ind w:left="57" w:right="0" w:firstLine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</w:t>
            </w:r>
          </w:p>
          <w:p w:rsidR="00F421F1" w:rsidRPr="0075426B" w:rsidRDefault="00F421F1" w:rsidP="00A7392D">
            <w:pPr>
              <w:pStyle w:val="SingleTxtGR"/>
              <w:tabs>
                <w:tab w:val="clear" w:pos="1701"/>
                <w:tab w:val="left" w:pos="564"/>
              </w:tabs>
              <w:suppressAutoHyphens/>
              <w:spacing w:before="40" w:after="40" w:line="180" w:lineRule="exact"/>
              <w:ind w:left="564" w:right="282" w:hanging="301"/>
              <w:jc w:val="left"/>
              <w:rPr>
                <w:sz w:val="18"/>
                <w:szCs w:val="18"/>
              </w:rPr>
            </w:pPr>
            <w:r w:rsidRPr="0075426B">
              <w:rPr>
                <w:i/>
                <w:sz w:val="18"/>
                <w:szCs w:val="18"/>
                <w:vertAlign w:val="superscript"/>
              </w:rPr>
              <w:t>(1)</w:t>
            </w:r>
            <w:r w:rsidR="00A7392D">
              <w:rPr>
                <w:sz w:val="18"/>
                <w:szCs w:val="18"/>
              </w:rPr>
              <w:tab/>
            </w:r>
            <w:r w:rsidRPr="0075426B">
              <w:rPr>
                <w:sz w:val="18"/>
                <w:szCs w:val="18"/>
              </w:rPr>
              <w:t xml:space="preserve">Под универсальной ДУС </w:t>
            </w:r>
            <w:r w:rsidRPr="0075426B">
              <w:rPr>
                <w:sz w:val="18"/>
                <w:szCs w:val="18"/>
                <w:lang w:val="en-GB"/>
              </w:rPr>
              <w:t>ISOFIX</w:t>
            </w:r>
            <w:r w:rsidRPr="0075426B">
              <w:rPr>
                <w:sz w:val="18"/>
                <w:szCs w:val="18"/>
              </w:rPr>
              <w:t xml:space="preserve"> подразумеваются удерживающие устройства, устанавливаемые</w:t>
            </w:r>
            <w:r w:rsidR="0075426B">
              <w:rPr>
                <w:sz w:val="18"/>
                <w:szCs w:val="18"/>
              </w:rPr>
              <w:t xml:space="preserve"> </w:t>
            </w:r>
            <w:r w:rsidRPr="0075426B">
              <w:rPr>
                <w:sz w:val="18"/>
                <w:szCs w:val="18"/>
              </w:rPr>
              <w:t>в транспортном средстве по направлению его движения с целью эксплуатации в положениях,</w:t>
            </w:r>
            <w:r w:rsidR="0075426B">
              <w:rPr>
                <w:sz w:val="18"/>
                <w:szCs w:val="18"/>
              </w:rPr>
              <w:t xml:space="preserve"> </w:t>
            </w:r>
            <w:r w:rsidRPr="0075426B">
              <w:rPr>
                <w:sz w:val="18"/>
                <w:szCs w:val="18"/>
              </w:rPr>
              <w:t xml:space="preserve">предусматривающих использование системы креплений </w:t>
            </w:r>
            <w:r w:rsidRPr="0075426B">
              <w:rPr>
                <w:sz w:val="18"/>
                <w:szCs w:val="18"/>
                <w:lang w:val="en-GB"/>
              </w:rPr>
              <w:t>ISOFIX</w:t>
            </w:r>
            <w:r w:rsidRPr="0075426B">
              <w:rPr>
                <w:sz w:val="18"/>
                <w:szCs w:val="18"/>
              </w:rPr>
              <w:t xml:space="preserve"> и верхнего крепления страховочного троса.</w:t>
            </w:r>
          </w:p>
          <w:p w:rsidR="00F421F1" w:rsidRPr="0075426B" w:rsidRDefault="00F421F1" w:rsidP="00A7392D">
            <w:pPr>
              <w:pStyle w:val="SingleTxtGR"/>
              <w:tabs>
                <w:tab w:val="clear" w:pos="1701"/>
                <w:tab w:val="left" w:pos="817"/>
              </w:tabs>
              <w:suppressAutoHyphens/>
              <w:spacing w:after="0" w:line="180" w:lineRule="exact"/>
              <w:ind w:left="249" w:right="282" w:firstLine="14"/>
              <w:jc w:val="left"/>
              <w:rPr>
                <w:sz w:val="18"/>
                <w:szCs w:val="18"/>
              </w:rPr>
            </w:pPr>
            <w:r w:rsidRPr="0075426B">
              <w:rPr>
                <w:i/>
                <w:sz w:val="18"/>
                <w:szCs w:val="18"/>
                <w:vertAlign w:val="superscript"/>
              </w:rPr>
              <w:t>(</w:t>
            </w:r>
            <w:r w:rsidRPr="0075426B">
              <w:rPr>
                <w:bCs/>
                <w:i/>
                <w:sz w:val="18"/>
                <w:szCs w:val="18"/>
                <w:vertAlign w:val="superscript"/>
              </w:rPr>
              <w:t>2</w:t>
            </w:r>
            <w:r w:rsidRPr="0075426B">
              <w:rPr>
                <w:i/>
                <w:sz w:val="18"/>
                <w:szCs w:val="18"/>
                <w:vertAlign w:val="superscript"/>
              </w:rPr>
              <w:t>)</w:t>
            </w:r>
            <w:r w:rsidR="00E16451" w:rsidRPr="00E16451">
              <w:rPr>
                <w:sz w:val="18"/>
                <w:szCs w:val="18"/>
              </w:rPr>
              <w:t xml:space="preserve"> </w:t>
            </w:r>
            <w:r w:rsidRPr="0075426B">
              <w:rPr>
                <w:sz w:val="18"/>
                <w:szCs w:val="18"/>
              </w:rPr>
              <w:t xml:space="preserve">Под </w:t>
            </w:r>
            <w:proofErr w:type="spellStart"/>
            <w:r w:rsidRPr="0075426B">
              <w:rPr>
                <w:sz w:val="18"/>
                <w:szCs w:val="18"/>
              </w:rPr>
              <w:t>полууниверсальной</w:t>
            </w:r>
            <w:proofErr w:type="spellEnd"/>
            <w:r w:rsidRPr="0075426B">
              <w:rPr>
                <w:sz w:val="18"/>
                <w:szCs w:val="18"/>
              </w:rPr>
              <w:t xml:space="preserve"> ДУС ISOFIX подразумеваются:</w:t>
            </w:r>
          </w:p>
          <w:p w:rsidR="00F421F1" w:rsidRDefault="00F421F1" w:rsidP="000C3E70">
            <w:pPr>
              <w:pStyle w:val="Bullet1GR"/>
              <w:suppressAutoHyphens/>
              <w:spacing w:after="0" w:line="180" w:lineRule="exact"/>
              <w:ind w:left="564" w:right="282" w:hanging="318"/>
              <w:jc w:val="left"/>
              <w:rPr>
                <w:sz w:val="18"/>
                <w:szCs w:val="18"/>
              </w:rPr>
            </w:pPr>
            <w:r w:rsidRPr="0075426B">
              <w:rPr>
                <w:sz w:val="18"/>
                <w:szCs w:val="18"/>
              </w:rPr>
              <w:t>устанавливаемые по направлению движения удерживающие устройства, оборудованные опорой для ног; или</w:t>
            </w:r>
          </w:p>
          <w:p w:rsidR="00F421F1" w:rsidRPr="00472580" w:rsidRDefault="00472580" w:rsidP="00472580">
            <w:pPr>
              <w:pStyle w:val="Bullet1GR"/>
              <w:suppressAutoHyphens/>
              <w:spacing w:after="0" w:line="180" w:lineRule="exact"/>
              <w:ind w:left="564" w:right="282" w:hanging="318"/>
              <w:jc w:val="left"/>
              <w:rPr>
                <w:sz w:val="18"/>
                <w:szCs w:val="18"/>
              </w:rPr>
            </w:pPr>
            <w:r w:rsidRPr="0075426B">
              <w:rPr>
                <w:sz w:val="18"/>
                <w:szCs w:val="18"/>
              </w:rPr>
              <w:t xml:space="preserve">устанавливаемые против направления движения удерживающие устройства, оборудованные опорой для ног либо лямкой верхнего страховочного троса и предназначенные для </w:t>
            </w:r>
            <w:r w:rsidRPr="0075426B">
              <w:rPr>
                <w:sz w:val="18"/>
                <w:szCs w:val="18"/>
              </w:rPr>
              <w:lastRenderedPageBreak/>
              <w:t>эксплуатации на транспортных средствах в положениях, предусматривающих использование системы креплений ISOFIX и крепления верхнего страховочного троса, если это необходимо;</w:t>
            </w:r>
          </w:p>
        </w:tc>
      </w:tr>
      <w:tr w:rsidR="001D1C45" w:rsidRPr="00A96916" w:rsidTr="001D1C45">
        <w:trPr>
          <w:trHeight w:val="465"/>
        </w:trPr>
        <w:tc>
          <w:tcPr>
            <w:tcW w:w="0" w:type="auto"/>
            <w:gridSpan w:val="10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D1C45" w:rsidRPr="0075426B" w:rsidRDefault="001D1C45" w:rsidP="001D1C45">
            <w:pPr>
              <w:pStyle w:val="Bullet1GR"/>
              <w:suppressAutoHyphens/>
              <w:spacing w:after="0" w:line="180" w:lineRule="exact"/>
              <w:ind w:left="562" w:right="284" w:hanging="318"/>
              <w:jc w:val="left"/>
              <w:rPr>
                <w:sz w:val="18"/>
                <w:szCs w:val="18"/>
              </w:rPr>
            </w:pPr>
            <w:r w:rsidRPr="0075426B">
              <w:rPr>
                <w:sz w:val="18"/>
                <w:szCs w:val="18"/>
              </w:rPr>
              <w:lastRenderedPageBreak/>
              <w:t>либо устанавливаемые против направления движения удерживающие устройства с опорой на приборную панель транспортного средства, предназначенные для эксплуатации на переднем пассажирском сиденье, оборудованном системой креплений ISOFIX;</w:t>
            </w:r>
          </w:p>
          <w:p w:rsidR="001D1C45" w:rsidRPr="0075426B" w:rsidRDefault="001D1C45" w:rsidP="001D1C45">
            <w:pPr>
              <w:pStyle w:val="Bullet1GR"/>
              <w:suppressAutoHyphens/>
              <w:spacing w:after="0" w:line="180" w:lineRule="exact"/>
              <w:ind w:left="564" w:right="282" w:hanging="318"/>
              <w:jc w:val="left"/>
              <w:rPr>
                <w:sz w:val="18"/>
                <w:szCs w:val="18"/>
              </w:rPr>
            </w:pPr>
            <w:r w:rsidRPr="0075426B">
              <w:rPr>
                <w:sz w:val="18"/>
                <w:szCs w:val="18"/>
              </w:rPr>
              <w:t>либо устанавливаемые в боковом положении удерживающие устройства, оснащенные при необходимости препятствующим угловому перемещению приспособлением и предназначенные для эксплуатации</w:t>
            </w:r>
            <w:r>
              <w:rPr>
                <w:sz w:val="18"/>
                <w:szCs w:val="18"/>
              </w:rPr>
              <w:t xml:space="preserve"> </w:t>
            </w:r>
            <w:r w:rsidRPr="0075426B">
              <w:rPr>
                <w:sz w:val="18"/>
                <w:szCs w:val="18"/>
              </w:rPr>
              <w:t>на транспортных средствах в положениях, предусматривающих использование системы</w:t>
            </w:r>
            <w:r>
              <w:rPr>
                <w:sz w:val="18"/>
                <w:szCs w:val="18"/>
              </w:rPr>
              <w:t xml:space="preserve"> </w:t>
            </w:r>
            <w:r w:rsidRPr="0075426B">
              <w:rPr>
                <w:sz w:val="18"/>
                <w:szCs w:val="18"/>
              </w:rPr>
              <w:t>креплений ISOFIX и крепления верхнего страховочного троса, если это необходимо.</w:t>
            </w:r>
          </w:p>
          <w:p w:rsidR="001D1C45" w:rsidRPr="0075426B" w:rsidRDefault="001D1C45" w:rsidP="001D1C45">
            <w:pPr>
              <w:pStyle w:val="SingleTxtGR"/>
              <w:tabs>
                <w:tab w:val="clear" w:pos="1701"/>
                <w:tab w:val="left" w:pos="564"/>
              </w:tabs>
              <w:suppressAutoHyphens/>
              <w:spacing w:after="0" w:line="180" w:lineRule="exact"/>
              <w:ind w:left="562" w:right="284" w:hanging="301"/>
              <w:jc w:val="left"/>
              <w:rPr>
                <w:sz w:val="18"/>
                <w:szCs w:val="18"/>
              </w:rPr>
            </w:pPr>
            <w:r w:rsidRPr="0075426B">
              <w:rPr>
                <w:i/>
                <w:sz w:val="18"/>
                <w:szCs w:val="18"/>
                <w:vertAlign w:val="superscript"/>
              </w:rPr>
              <w:t>(3)</w:t>
            </w:r>
            <w:r>
              <w:rPr>
                <w:i/>
                <w:sz w:val="18"/>
                <w:szCs w:val="18"/>
                <w:vertAlign w:val="superscript"/>
              </w:rPr>
              <w:tab/>
            </w:r>
            <w:r w:rsidRPr="0075426B">
              <w:rPr>
                <w:sz w:val="18"/>
                <w:szCs w:val="18"/>
              </w:rPr>
              <w:t>Новые официальные утверждения и распространения официальных утверждений будут предоставляться</w:t>
            </w:r>
            <w:r>
              <w:rPr>
                <w:sz w:val="18"/>
                <w:szCs w:val="18"/>
              </w:rPr>
              <w:t xml:space="preserve"> </w:t>
            </w:r>
            <w:r w:rsidRPr="0075426B">
              <w:rPr>
                <w:sz w:val="18"/>
                <w:szCs w:val="18"/>
              </w:rPr>
              <w:t>в соответствии с пунктами 17.16 и 17.17.</w:t>
            </w:r>
          </w:p>
          <w:p w:rsidR="001D1C45" w:rsidRPr="0075426B" w:rsidRDefault="001D1C45" w:rsidP="0014709F">
            <w:pPr>
              <w:pStyle w:val="SingleTxtGR"/>
              <w:tabs>
                <w:tab w:val="clear" w:pos="1701"/>
                <w:tab w:val="left" w:pos="564"/>
              </w:tabs>
              <w:suppressAutoHyphens/>
              <w:spacing w:line="180" w:lineRule="exact"/>
              <w:ind w:left="562" w:right="284" w:hanging="301"/>
              <w:jc w:val="left"/>
              <w:rPr>
                <w:i/>
                <w:sz w:val="18"/>
                <w:szCs w:val="18"/>
              </w:rPr>
            </w:pPr>
            <w:r w:rsidRPr="0075426B">
              <w:rPr>
                <w:b/>
                <w:bCs/>
                <w:i/>
                <w:iCs/>
                <w:sz w:val="18"/>
                <w:szCs w:val="18"/>
                <w:vertAlign w:val="superscript"/>
              </w:rPr>
              <w:t xml:space="preserve">(4) </w:t>
            </w:r>
            <w:r>
              <w:rPr>
                <w:b/>
                <w:bCs/>
                <w:i/>
                <w:iCs/>
                <w:sz w:val="18"/>
                <w:szCs w:val="18"/>
                <w:vertAlign w:val="superscript"/>
              </w:rPr>
              <w:tab/>
            </w:r>
            <w:r w:rsidRPr="0075426B">
              <w:rPr>
                <w:b/>
                <w:bCs/>
                <w:sz w:val="18"/>
                <w:szCs w:val="18"/>
              </w:rPr>
              <w:t xml:space="preserve">Новые официальные </w:t>
            </w:r>
            <w:r w:rsidRPr="0014709F">
              <w:rPr>
                <w:b/>
                <w:sz w:val="18"/>
                <w:szCs w:val="18"/>
              </w:rPr>
              <w:t>утверждения</w:t>
            </w:r>
            <w:r w:rsidRPr="0075426B">
              <w:rPr>
                <w:b/>
                <w:bCs/>
                <w:sz w:val="18"/>
                <w:szCs w:val="18"/>
              </w:rPr>
              <w:t xml:space="preserve"> и распространения официальных утверждений будут предоставляться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5426B">
              <w:rPr>
                <w:b/>
                <w:bCs/>
                <w:sz w:val="18"/>
                <w:szCs w:val="18"/>
              </w:rPr>
              <w:t>в соответствии с пунктами 17.16 и 17.17</w:t>
            </w:r>
            <w:r w:rsidRPr="0075426B">
              <w:rPr>
                <w:sz w:val="18"/>
                <w:szCs w:val="18"/>
              </w:rPr>
              <w:t>.</w:t>
            </w:r>
          </w:p>
        </w:tc>
      </w:tr>
    </w:tbl>
    <w:p w:rsidR="00F421F1" w:rsidRPr="00F421F1" w:rsidRDefault="0014709F" w:rsidP="00F76382">
      <w:pPr>
        <w:pStyle w:val="para"/>
        <w:ind w:right="140"/>
        <w:jc w:val="right"/>
        <w:rPr>
          <w:lang w:val="ru-RU"/>
        </w:rPr>
      </w:pPr>
      <w:r>
        <w:rPr>
          <w:lang w:val="ru-RU"/>
        </w:rPr>
        <w:t>».</w:t>
      </w:r>
    </w:p>
    <w:p w:rsidR="00F421F1" w:rsidRPr="00F421F1" w:rsidRDefault="00F421F1" w:rsidP="00472580">
      <w:pPr>
        <w:pStyle w:val="SingleTxtGR"/>
      </w:pPr>
      <w:r>
        <w:rPr>
          <w:i/>
        </w:rPr>
        <w:t>Пункт</w:t>
      </w:r>
      <w:r w:rsidRPr="00F421F1">
        <w:rPr>
          <w:i/>
        </w:rPr>
        <w:t xml:space="preserve"> 12</w:t>
      </w:r>
      <w:r w:rsidRPr="00F421F1">
        <w:t xml:space="preserve"> </w:t>
      </w:r>
      <w:r>
        <w:t>изменить следующим образом</w:t>
      </w:r>
      <w:r w:rsidRPr="00F421F1">
        <w:t>:</w:t>
      </w:r>
    </w:p>
    <w:p w:rsidR="00F421F1" w:rsidRPr="008C0E09" w:rsidRDefault="00F421F1" w:rsidP="00472580">
      <w:pPr>
        <w:pStyle w:val="HChGR"/>
      </w:pPr>
      <w:r w:rsidRPr="00F421F1">
        <w:tab/>
      </w:r>
      <w:r w:rsidRPr="00F421F1">
        <w:tab/>
      </w:r>
      <w:r w:rsidR="00472580" w:rsidRPr="00472580">
        <w:rPr>
          <w:b w:val="0"/>
        </w:rPr>
        <w:t>«</w:t>
      </w:r>
      <w:r w:rsidRPr="003F15E8">
        <w:fldChar w:fldCharType="begin"/>
      </w:r>
      <w:r w:rsidRPr="00F421F1">
        <w:instrText xml:space="preserve"> </w:instrText>
      </w:r>
      <w:r w:rsidRPr="003F15E8">
        <w:instrText>SEQ</w:instrText>
      </w:r>
      <w:r w:rsidRPr="00F421F1">
        <w:instrText xml:space="preserve"> </w:instrText>
      </w:r>
      <w:r w:rsidRPr="003F15E8">
        <w:instrText>CHAPTER</w:instrText>
      </w:r>
      <w:r w:rsidRPr="00F421F1">
        <w:instrText xml:space="preserve"> \</w:instrText>
      </w:r>
      <w:r w:rsidRPr="003F15E8">
        <w:instrText>h</w:instrText>
      </w:r>
      <w:r w:rsidRPr="00F421F1">
        <w:instrText xml:space="preserve"> \</w:instrText>
      </w:r>
      <w:r w:rsidRPr="003F15E8">
        <w:instrText>r</w:instrText>
      </w:r>
      <w:r w:rsidRPr="00F421F1">
        <w:instrText xml:space="preserve"> 1</w:instrText>
      </w:r>
      <w:r w:rsidRPr="003F15E8">
        <w:fldChar w:fldCharType="end"/>
      </w:r>
      <w:bookmarkStart w:id="1" w:name="_Toc367372571"/>
      <w:r w:rsidRPr="00F421F1">
        <w:t>12.</w:t>
      </w:r>
      <w:r w:rsidRPr="00F421F1">
        <w:tab/>
      </w:r>
      <w:r w:rsidRPr="00F421F1">
        <w:tab/>
      </w:r>
      <w:bookmarkEnd w:id="1"/>
      <w:r w:rsidRPr="008C0E09">
        <w:t>Соответствие производства и обычные</w:t>
      </w:r>
      <w:r w:rsidR="00472580">
        <w:t xml:space="preserve"> </w:t>
      </w:r>
      <w:r w:rsidR="00472580">
        <w:br/>
      </w:r>
      <w:r w:rsidR="00472580">
        <w:tab/>
      </w:r>
      <w:r w:rsidR="00472580">
        <w:tab/>
      </w:r>
      <w:r w:rsidRPr="008C0E09">
        <w:t>испытания</w:t>
      </w:r>
    </w:p>
    <w:p w:rsidR="00F421F1" w:rsidRPr="008C0E09" w:rsidRDefault="00F421F1" w:rsidP="00472580">
      <w:pPr>
        <w:pStyle w:val="SingleTxtGR"/>
        <w:ind w:left="2268"/>
      </w:pPr>
      <w:r w:rsidRPr="008C0E09">
        <w:rPr>
          <w:rFonts w:eastAsia="Calibri"/>
        </w:rPr>
        <w:t>Процедуры проверки соответствия производства должны соотве</w:t>
      </w:r>
      <w:r w:rsidRPr="008C0E09">
        <w:rPr>
          <w:rFonts w:eastAsia="Calibri"/>
        </w:rPr>
        <w:t>т</w:t>
      </w:r>
      <w:r w:rsidRPr="008C0E09">
        <w:rPr>
          <w:rFonts w:eastAsia="Calibri"/>
        </w:rPr>
        <w:t xml:space="preserve">ствовать процедурам, изложенным в </w:t>
      </w:r>
      <w:r w:rsidRPr="008C0E09">
        <w:rPr>
          <w:rFonts w:eastAsia="Calibri"/>
          <w:strike/>
        </w:rPr>
        <w:t>добавлении 2</w:t>
      </w:r>
      <w:r w:rsidRPr="008C0E09">
        <w:rPr>
          <w:rFonts w:eastAsia="Calibri"/>
        </w:rPr>
        <w:t xml:space="preserve"> </w:t>
      </w:r>
      <w:r w:rsidRPr="008C0E09">
        <w:rPr>
          <w:rFonts w:eastAsia="Calibri"/>
          <w:b/>
          <w:bCs/>
        </w:rPr>
        <w:t>дополнении 1</w:t>
      </w:r>
      <w:r>
        <w:rPr>
          <w:rFonts w:eastAsia="Calibri"/>
        </w:rPr>
        <w:t xml:space="preserve"> </w:t>
      </w:r>
      <w:r w:rsidRPr="008C0E09">
        <w:rPr>
          <w:rFonts w:eastAsia="Calibri"/>
        </w:rPr>
        <w:t>к Соглашению (</w:t>
      </w:r>
      <w:r w:rsidRPr="008C0E09">
        <w:rPr>
          <w:rFonts w:eastAsia="Calibri"/>
          <w:lang w:val="en-US"/>
        </w:rPr>
        <w:t>E</w:t>
      </w:r>
      <w:r w:rsidRPr="008C0E09">
        <w:rPr>
          <w:rFonts w:eastAsia="Calibri"/>
        </w:rPr>
        <w:t>/</w:t>
      </w:r>
      <w:r w:rsidRPr="008C0E09">
        <w:rPr>
          <w:rFonts w:eastAsia="Calibri"/>
          <w:lang w:val="en-US"/>
        </w:rPr>
        <w:t>ECE</w:t>
      </w:r>
      <w:r w:rsidRPr="008C0E09">
        <w:rPr>
          <w:rFonts w:eastAsia="Calibri"/>
        </w:rPr>
        <w:t>/324-</w:t>
      </w:r>
      <w:r w:rsidRPr="008C0E09">
        <w:rPr>
          <w:rFonts w:eastAsia="Calibri"/>
          <w:lang w:val="en-US"/>
        </w:rPr>
        <w:t>E</w:t>
      </w:r>
      <w:r w:rsidRPr="008C0E09">
        <w:rPr>
          <w:rFonts w:eastAsia="Calibri"/>
        </w:rPr>
        <w:t>/</w:t>
      </w:r>
      <w:r w:rsidRPr="008C0E09">
        <w:rPr>
          <w:rFonts w:eastAsia="Calibri"/>
          <w:lang w:val="en-US"/>
        </w:rPr>
        <w:t>ECE</w:t>
      </w:r>
      <w:r w:rsidRPr="008C0E09">
        <w:rPr>
          <w:rFonts w:eastAsia="Calibri"/>
        </w:rPr>
        <w:t>/</w:t>
      </w:r>
      <w:r w:rsidRPr="008C0E09">
        <w:rPr>
          <w:rFonts w:eastAsia="Calibri"/>
          <w:lang w:val="en-US"/>
        </w:rPr>
        <w:t>TRANS</w:t>
      </w:r>
      <w:r w:rsidRPr="008C0E09">
        <w:rPr>
          <w:rFonts w:eastAsia="Calibri"/>
        </w:rPr>
        <w:t>/505/</w:t>
      </w:r>
      <w:r w:rsidRPr="008C0E09">
        <w:rPr>
          <w:rFonts w:eastAsia="Calibri"/>
          <w:lang w:val="en-US"/>
        </w:rPr>
        <w:t>Rev</w:t>
      </w:r>
      <w:r w:rsidRPr="008C0E09">
        <w:rPr>
          <w:rFonts w:eastAsia="Calibri"/>
        </w:rPr>
        <w:t>.</w:t>
      </w:r>
      <w:r w:rsidRPr="008C0E09">
        <w:rPr>
          <w:rFonts w:eastAsia="Calibri"/>
          <w:b/>
          <w:bCs/>
        </w:rPr>
        <w:t>3</w:t>
      </w:r>
      <w:r w:rsidRPr="008C0E09">
        <w:rPr>
          <w:rFonts w:eastAsia="Calibri"/>
        </w:rPr>
        <w:t>)</w:t>
      </w:r>
      <w:r>
        <w:rPr>
          <w:rFonts w:eastAsia="Calibri"/>
        </w:rPr>
        <w:t>,</w:t>
      </w:r>
      <w:r w:rsidRPr="008C0E09">
        <w:rPr>
          <w:rFonts w:eastAsia="Calibri"/>
        </w:rPr>
        <w:t xml:space="preserve"> с учетом сл</w:t>
      </w:r>
      <w:r w:rsidRPr="008C0E09">
        <w:rPr>
          <w:rFonts w:eastAsia="Calibri"/>
        </w:rPr>
        <w:t>е</w:t>
      </w:r>
      <w:r w:rsidRPr="008C0E09">
        <w:rPr>
          <w:rFonts w:eastAsia="Calibri"/>
        </w:rPr>
        <w:t>дующих требований:</w:t>
      </w:r>
      <w:r w:rsidR="00472580">
        <w:rPr>
          <w:rFonts w:eastAsia="Calibri"/>
        </w:rPr>
        <w:t>».</w:t>
      </w:r>
    </w:p>
    <w:p w:rsidR="00F421F1" w:rsidRPr="005D65A8" w:rsidRDefault="00F421F1" w:rsidP="00472580">
      <w:pPr>
        <w:pStyle w:val="SingleTxtGR"/>
      </w:pPr>
      <w:r w:rsidRPr="00F76382">
        <w:rPr>
          <w:i/>
        </w:rPr>
        <w:t>Включить новые пункты 17.18 и 17.19</w:t>
      </w:r>
      <w:r>
        <w:t xml:space="preserve"> следующего содержания</w:t>
      </w:r>
      <w:r w:rsidRPr="005D65A8">
        <w:t>:</w:t>
      </w:r>
    </w:p>
    <w:p w:rsidR="00F421F1" w:rsidRPr="00472580" w:rsidRDefault="00472580" w:rsidP="00472580">
      <w:pPr>
        <w:pStyle w:val="SingleTxtGR"/>
        <w:ind w:left="2268" w:hanging="1134"/>
        <w:rPr>
          <w:b/>
        </w:rPr>
      </w:pPr>
      <w:r>
        <w:t>«</w:t>
      </w:r>
      <w:r w:rsidR="00F421F1" w:rsidRPr="00472580">
        <w:rPr>
          <w:b/>
        </w:rPr>
        <w:t>17.18</w:t>
      </w:r>
      <w:r w:rsidR="00F421F1" w:rsidRPr="00472580">
        <w:rPr>
          <w:b/>
        </w:rPr>
        <w:tab/>
        <w:t xml:space="preserve">Начиная с [1 сентября 2018 года] никаких новых официальных утверждений на основании настоящих Правил в отношении детских </w:t>
      </w:r>
      <w:r w:rsidR="00F421F1" w:rsidRPr="00472580">
        <w:rPr>
          <w:b/>
          <w:bCs/>
        </w:rPr>
        <w:t xml:space="preserve">удерживающих систем </w:t>
      </w:r>
      <w:proofErr w:type="spellStart"/>
      <w:r w:rsidR="00F421F1" w:rsidRPr="00472580">
        <w:rPr>
          <w:b/>
          <w:bCs/>
        </w:rPr>
        <w:t>нецельной</w:t>
      </w:r>
      <w:proofErr w:type="spellEnd"/>
      <w:r w:rsidR="00F421F1" w:rsidRPr="00472580">
        <w:rPr>
          <w:b/>
          <w:bCs/>
        </w:rPr>
        <w:t xml:space="preserve"> конструкции гру</w:t>
      </w:r>
      <w:r w:rsidR="00F421F1" w:rsidRPr="00472580">
        <w:rPr>
          <w:b/>
          <w:bCs/>
        </w:rPr>
        <w:t>п</w:t>
      </w:r>
      <w:r w:rsidR="00F421F1" w:rsidRPr="00472580">
        <w:rPr>
          <w:b/>
          <w:bCs/>
        </w:rPr>
        <w:t>пы</w:t>
      </w:r>
      <w:r w:rsidR="00E16451">
        <w:rPr>
          <w:b/>
          <w:bCs/>
        </w:rPr>
        <w:t> </w:t>
      </w:r>
      <w:r w:rsidR="00F421F1" w:rsidRPr="00472580">
        <w:rPr>
          <w:b/>
          <w:bCs/>
        </w:rPr>
        <w:t>2 или группы 2/3, устанавливаемых по направлению дв</w:t>
      </w:r>
      <w:r w:rsidR="00F421F1" w:rsidRPr="00472580">
        <w:rPr>
          <w:b/>
          <w:bCs/>
        </w:rPr>
        <w:t>и</w:t>
      </w:r>
      <w:r w:rsidR="00F421F1" w:rsidRPr="00472580">
        <w:rPr>
          <w:b/>
          <w:bCs/>
        </w:rPr>
        <w:t>жения</w:t>
      </w:r>
      <w:r w:rsidR="00F421F1" w:rsidRPr="00472580">
        <w:rPr>
          <w:b/>
        </w:rPr>
        <w:t xml:space="preserve">, не предоставляется. </w:t>
      </w:r>
    </w:p>
    <w:p w:rsidR="00F421F1" w:rsidRPr="00270C1E" w:rsidRDefault="00F421F1" w:rsidP="00472580">
      <w:pPr>
        <w:pStyle w:val="SingleTxtGR"/>
        <w:ind w:left="2268" w:hanging="1134"/>
      </w:pPr>
      <w:r w:rsidRPr="00472580">
        <w:rPr>
          <w:b/>
        </w:rPr>
        <w:t xml:space="preserve">17.19 </w:t>
      </w:r>
      <w:r w:rsidRPr="00472580">
        <w:rPr>
          <w:b/>
        </w:rPr>
        <w:tab/>
      </w:r>
      <w:r w:rsidR="00472580">
        <w:rPr>
          <w:b/>
        </w:rPr>
        <w:tab/>
      </w:r>
      <w:r w:rsidRPr="00472580">
        <w:rPr>
          <w:b/>
        </w:rPr>
        <w:t xml:space="preserve">Начиная с [1 сентября 2021 года] никаких распространений на основании настоящих Правил в отношении детских </w:t>
      </w:r>
      <w:r w:rsidRPr="00472580">
        <w:rPr>
          <w:b/>
          <w:bCs/>
        </w:rPr>
        <w:t>удержив</w:t>
      </w:r>
      <w:r w:rsidRPr="00472580">
        <w:rPr>
          <w:b/>
          <w:bCs/>
        </w:rPr>
        <w:t>а</w:t>
      </w:r>
      <w:r w:rsidRPr="00472580">
        <w:rPr>
          <w:b/>
          <w:bCs/>
        </w:rPr>
        <w:t xml:space="preserve">ющих систем </w:t>
      </w:r>
      <w:proofErr w:type="spellStart"/>
      <w:r w:rsidRPr="00472580">
        <w:rPr>
          <w:b/>
          <w:bCs/>
        </w:rPr>
        <w:t>нецельной</w:t>
      </w:r>
      <w:proofErr w:type="spellEnd"/>
      <w:r w:rsidRPr="00472580">
        <w:rPr>
          <w:b/>
          <w:bCs/>
        </w:rPr>
        <w:t xml:space="preserve"> конструкции группы 2 или группы</w:t>
      </w:r>
      <w:r w:rsidR="00E16451">
        <w:rPr>
          <w:b/>
          <w:bCs/>
        </w:rPr>
        <w:t> </w:t>
      </w:r>
      <w:r w:rsidRPr="00472580">
        <w:rPr>
          <w:b/>
          <w:bCs/>
        </w:rPr>
        <w:t>2/3, устанавливаемых по направлению движения</w:t>
      </w:r>
      <w:r w:rsidRPr="00472580">
        <w:rPr>
          <w:b/>
        </w:rPr>
        <w:t>, не предоставл</w:t>
      </w:r>
      <w:r w:rsidRPr="00472580">
        <w:rPr>
          <w:b/>
        </w:rPr>
        <w:t>я</w:t>
      </w:r>
      <w:r w:rsidRPr="00472580">
        <w:rPr>
          <w:b/>
        </w:rPr>
        <w:t>ется</w:t>
      </w:r>
      <w:r w:rsidR="00E16451">
        <w:t>»</w:t>
      </w:r>
      <w:r w:rsidRPr="00270C1E">
        <w:t>.</w:t>
      </w:r>
    </w:p>
    <w:p w:rsidR="00F421F1" w:rsidRPr="00270C1E" w:rsidRDefault="00F421F1" w:rsidP="00E16451">
      <w:pPr>
        <w:pStyle w:val="HChGR"/>
      </w:pPr>
      <w:r w:rsidRPr="00270C1E">
        <w:tab/>
      </w:r>
      <w:r w:rsidRPr="004A1237">
        <w:rPr>
          <w:snapToGrid w:val="0"/>
        </w:rPr>
        <w:t>II</w:t>
      </w:r>
      <w:r w:rsidRPr="0007231C">
        <w:rPr>
          <w:snapToGrid w:val="0"/>
        </w:rPr>
        <w:t>.</w:t>
      </w:r>
      <w:r w:rsidRPr="0007231C">
        <w:rPr>
          <w:snapToGrid w:val="0"/>
        </w:rPr>
        <w:tab/>
      </w:r>
      <w:r>
        <w:rPr>
          <w:snapToGrid w:val="0"/>
        </w:rPr>
        <w:t>Обоснование</w:t>
      </w:r>
    </w:p>
    <w:p w:rsidR="00F421F1" w:rsidRPr="0007231C" w:rsidRDefault="00F421F1" w:rsidP="00E16451">
      <w:pPr>
        <w:pStyle w:val="SingleTxtGR"/>
        <w:rPr>
          <w:rFonts w:eastAsia="MS Mincho"/>
        </w:rPr>
      </w:pPr>
      <w:r w:rsidRPr="0007231C">
        <w:rPr>
          <w:rFonts w:eastAsia="MS Mincho"/>
        </w:rPr>
        <w:t>1.</w:t>
      </w:r>
      <w:r w:rsidRPr="0007231C">
        <w:rPr>
          <w:rFonts w:eastAsia="MS Mincho"/>
        </w:rPr>
        <w:tab/>
      </w:r>
      <w:r>
        <w:rPr>
          <w:rFonts w:eastAsia="MS Mincho"/>
        </w:rPr>
        <w:t>Этап</w:t>
      </w:r>
      <w:r w:rsidRPr="0007231C">
        <w:rPr>
          <w:rFonts w:eastAsia="MS Mincho"/>
        </w:rPr>
        <w:t xml:space="preserve"> 2 </w:t>
      </w:r>
      <w:r>
        <w:rPr>
          <w:rFonts w:eastAsia="MS Mincho"/>
        </w:rPr>
        <w:t>разработки Правил № 129 ООН</w:t>
      </w:r>
      <w:r w:rsidRPr="0007231C">
        <w:rPr>
          <w:rFonts w:eastAsia="MS Mincho"/>
        </w:rPr>
        <w:t xml:space="preserve"> (</w:t>
      </w:r>
      <w:r>
        <w:rPr>
          <w:rFonts w:eastAsia="MS Mincho"/>
        </w:rPr>
        <w:t>невстроенные УДУС</w:t>
      </w:r>
      <w:r w:rsidRPr="0007231C">
        <w:rPr>
          <w:rFonts w:eastAsia="MS Mincho"/>
        </w:rPr>
        <w:t xml:space="preserve">) </w:t>
      </w:r>
      <w:r>
        <w:rPr>
          <w:rFonts w:eastAsia="MS Mincho"/>
        </w:rPr>
        <w:t>вступил в силу 22 июня 2017 года</w:t>
      </w:r>
      <w:r w:rsidRPr="0007231C">
        <w:rPr>
          <w:rFonts w:eastAsia="MS Mincho"/>
        </w:rPr>
        <w:t>.</w:t>
      </w:r>
      <w:r w:rsidR="00E16451">
        <w:rPr>
          <w:rFonts w:eastAsia="MS Mincho"/>
        </w:rPr>
        <w:t xml:space="preserve"> </w:t>
      </w:r>
    </w:p>
    <w:p w:rsidR="00F421F1" w:rsidRPr="001211CB" w:rsidRDefault="00F421F1" w:rsidP="00E16451">
      <w:pPr>
        <w:pStyle w:val="SingleTxtGR"/>
        <w:rPr>
          <w:rFonts w:eastAsia="MS Mincho"/>
        </w:rPr>
      </w:pPr>
      <w:r w:rsidRPr="001211CB">
        <w:rPr>
          <w:rFonts w:eastAsia="MS Mincho"/>
        </w:rPr>
        <w:t>2.</w:t>
      </w:r>
      <w:r w:rsidRPr="001211CB">
        <w:rPr>
          <w:rFonts w:eastAsia="MS Mincho"/>
        </w:rPr>
        <w:tab/>
      </w:r>
      <w:r>
        <w:rPr>
          <w:rFonts w:eastAsia="MS Mincho"/>
        </w:rPr>
        <w:t>Начиная</w:t>
      </w:r>
      <w:r w:rsidRPr="001211CB">
        <w:rPr>
          <w:rFonts w:eastAsia="MS Mincho"/>
        </w:rPr>
        <w:t xml:space="preserve"> </w:t>
      </w:r>
      <w:r>
        <w:rPr>
          <w:rFonts w:eastAsia="MS Mincho"/>
        </w:rPr>
        <w:t>с</w:t>
      </w:r>
      <w:r w:rsidRPr="001211CB">
        <w:rPr>
          <w:rFonts w:eastAsia="MS Mincho"/>
        </w:rPr>
        <w:t xml:space="preserve"> </w:t>
      </w:r>
      <w:r>
        <w:rPr>
          <w:rFonts w:eastAsia="MS Mincho"/>
        </w:rPr>
        <w:t>этой</w:t>
      </w:r>
      <w:r w:rsidRPr="001211CB">
        <w:rPr>
          <w:rFonts w:eastAsia="MS Mincho"/>
        </w:rPr>
        <w:t xml:space="preserve"> </w:t>
      </w:r>
      <w:r>
        <w:rPr>
          <w:rFonts w:eastAsia="MS Mincho"/>
        </w:rPr>
        <w:t>даты</w:t>
      </w:r>
      <w:r w:rsidRPr="001211CB">
        <w:rPr>
          <w:rFonts w:eastAsia="MS Mincho"/>
        </w:rPr>
        <w:t xml:space="preserve"> </w:t>
      </w:r>
      <w:r>
        <w:rPr>
          <w:rFonts w:eastAsia="MS Mincho"/>
        </w:rPr>
        <w:t>невстроенные УДУС</w:t>
      </w:r>
      <w:r w:rsidR="00E16451">
        <w:rPr>
          <w:rFonts w:eastAsia="MS Mincho"/>
        </w:rPr>
        <w:t xml:space="preserve"> </w:t>
      </w:r>
      <w:r>
        <w:rPr>
          <w:rFonts w:eastAsia="MS Mincho"/>
        </w:rPr>
        <w:t>могут официально утверждат</w:t>
      </w:r>
      <w:r>
        <w:rPr>
          <w:rFonts w:eastAsia="MS Mincho"/>
        </w:rPr>
        <w:t>ь</w:t>
      </w:r>
      <w:r>
        <w:rPr>
          <w:rFonts w:eastAsia="MS Mincho"/>
        </w:rPr>
        <w:t>ся на основании правил № 44 или 129 по усмотрению изготовителя в течение неопределенного периода</w:t>
      </w:r>
      <w:r w:rsidRPr="001211CB">
        <w:rPr>
          <w:rFonts w:eastAsia="MS Mincho"/>
        </w:rPr>
        <w:t>.</w:t>
      </w:r>
      <w:r w:rsidR="00E16451">
        <w:rPr>
          <w:rFonts w:eastAsia="MS Mincho"/>
        </w:rPr>
        <w:t xml:space="preserve"> </w:t>
      </w:r>
    </w:p>
    <w:p w:rsidR="00F421F1" w:rsidRPr="001211CB" w:rsidRDefault="00F421F1" w:rsidP="00E16451">
      <w:pPr>
        <w:pStyle w:val="SingleTxtGR"/>
        <w:rPr>
          <w:rFonts w:eastAsia="MS Mincho"/>
        </w:rPr>
      </w:pPr>
      <w:r w:rsidRPr="001211CB">
        <w:rPr>
          <w:rFonts w:eastAsia="MS Mincho"/>
        </w:rPr>
        <w:t>3.</w:t>
      </w:r>
      <w:r w:rsidRPr="001211CB">
        <w:rPr>
          <w:rFonts w:eastAsia="MS Mincho"/>
        </w:rPr>
        <w:tab/>
      </w:r>
      <w:r w:rsidRPr="00D94C7E">
        <w:t>Международн</w:t>
      </w:r>
      <w:r>
        <w:t xml:space="preserve">ая </w:t>
      </w:r>
      <w:r w:rsidRPr="00D94C7E">
        <w:t>организаци</w:t>
      </w:r>
      <w:r>
        <w:t>я</w:t>
      </w:r>
      <w:r w:rsidRPr="00D94C7E">
        <w:t xml:space="preserve"> потребительских союзов</w:t>
      </w:r>
      <w:r>
        <w:t xml:space="preserve"> и Европейская</w:t>
      </w:r>
      <w:r w:rsidRPr="00367C5A">
        <w:t xml:space="preserve"> </w:t>
      </w:r>
      <w:r>
        <w:t>а</w:t>
      </w:r>
      <w:r>
        <w:t>с</w:t>
      </w:r>
      <w:r>
        <w:t>социация</w:t>
      </w:r>
      <w:r w:rsidRPr="00367C5A">
        <w:t xml:space="preserve"> </w:t>
      </w:r>
      <w:r>
        <w:t>по координации участия потребителей в деятельности по стандарт</w:t>
      </w:r>
      <w:r>
        <w:t>и</w:t>
      </w:r>
      <w:r>
        <w:t>зации считают, что нецелесообразно разрешать изготовителям УДУС прист</w:t>
      </w:r>
      <w:r>
        <w:t>у</w:t>
      </w:r>
      <w:r>
        <w:t>пать к разработке новых изделий на основании Правил № 44 ООН в течение неопределенного периода, так ка это чревато следующими последствиями</w:t>
      </w:r>
      <w:r w:rsidRPr="001211CB">
        <w:rPr>
          <w:rFonts w:eastAsia="MS Mincho"/>
        </w:rPr>
        <w:t xml:space="preserve">: </w:t>
      </w:r>
    </w:p>
    <w:p w:rsidR="00F421F1" w:rsidRPr="007709DD" w:rsidRDefault="00F421F1" w:rsidP="00E16451">
      <w:pPr>
        <w:pStyle w:val="SingleTxtGR"/>
        <w:rPr>
          <w:rFonts w:eastAsia="MS Mincho"/>
        </w:rPr>
      </w:pPr>
      <w:r w:rsidRPr="001211CB">
        <w:rPr>
          <w:rFonts w:eastAsia="MS Mincho"/>
        </w:rPr>
        <w:tab/>
      </w:r>
      <w:r>
        <w:rPr>
          <w:rFonts w:eastAsia="MS Mincho"/>
        </w:rPr>
        <w:t>a</w:t>
      </w:r>
      <w:r w:rsidRPr="007709DD">
        <w:rPr>
          <w:rFonts w:eastAsia="MS Mincho"/>
        </w:rPr>
        <w:t>)</w:t>
      </w:r>
      <w:r w:rsidRPr="007709DD">
        <w:rPr>
          <w:rFonts w:eastAsia="MS Mincho"/>
        </w:rPr>
        <w:tab/>
        <w:t>возможность поступления на рынок двух категорий изделий, обе</w:t>
      </w:r>
      <w:r w:rsidRPr="007709DD">
        <w:rPr>
          <w:rFonts w:eastAsia="MS Mincho"/>
        </w:rPr>
        <w:t>с</w:t>
      </w:r>
      <w:r w:rsidRPr="007709DD">
        <w:rPr>
          <w:rFonts w:eastAsia="MS Mincho"/>
        </w:rPr>
        <w:t>печивающих два уровня защиты (Правила № 44 ООН: отсутствие требования в отношении бокового удара);</w:t>
      </w:r>
    </w:p>
    <w:p w:rsidR="00F421F1" w:rsidRPr="00E730B7" w:rsidRDefault="00F421F1" w:rsidP="00E16451">
      <w:pPr>
        <w:pStyle w:val="SingleTxtGR"/>
        <w:rPr>
          <w:rFonts w:eastAsia="MS Mincho"/>
        </w:rPr>
      </w:pPr>
      <w:r w:rsidRPr="007709DD">
        <w:rPr>
          <w:rFonts w:eastAsia="MS Mincho"/>
        </w:rPr>
        <w:tab/>
      </w:r>
      <w:r>
        <w:rPr>
          <w:rFonts w:eastAsia="MS Mincho"/>
        </w:rPr>
        <w:t>b</w:t>
      </w:r>
      <w:r w:rsidRPr="00E730B7">
        <w:rPr>
          <w:rFonts w:eastAsia="MS Mincho"/>
        </w:rPr>
        <w:t>)</w:t>
      </w:r>
      <w:r w:rsidRPr="00E730B7">
        <w:rPr>
          <w:rFonts w:eastAsia="MS Mincho"/>
        </w:rPr>
        <w:tab/>
        <w:t xml:space="preserve">дезориентация пользователей (критерий массы против критерия роста); </w:t>
      </w:r>
    </w:p>
    <w:p w:rsidR="00F421F1" w:rsidRPr="00E730B7" w:rsidRDefault="00F421F1" w:rsidP="00E16451">
      <w:pPr>
        <w:pStyle w:val="SingleTxtGR"/>
        <w:rPr>
          <w:rFonts w:eastAsia="MS Mincho"/>
        </w:rPr>
      </w:pPr>
      <w:r w:rsidRPr="00E730B7">
        <w:rPr>
          <w:rFonts w:eastAsia="MS Mincho"/>
        </w:rPr>
        <w:tab/>
      </w:r>
      <w:r>
        <w:rPr>
          <w:rFonts w:eastAsia="MS Mincho"/>
        </w:rPr>
        <w:t>c</w:t>
      </w:r>
      <w:r w:rsidRPr="00E730B7">
        <w:rPr>
          <w:rFonts w:eastAsia="MS Mincho"/>
        </w:rPr>
        <w:t>)</w:t>
      </w:r>
      <w:r w:rsidRPr="00E730B7">
        <w:rPr>
          <w:rFonts w:eastAsia="MS Mincho"/>
        </w:rPr>
        <w:tab/>
        <w:t>снижение стимулов, поощряющих изготовителей разрабатывать и</w:t>
      </w:r>
      <w:r w:rsidRPr="00E730B7">
        <w:rPr>
          <w:rFonts w:eastAsia="MS Mincho"/>
        </w:rPr>
        <w:t>з</w:t>
      </w:r>
      <w:r w:rsidRPr="00E730B7">
        <w:rPr>
          <w:rFonts w:eastAsia="MS Mincho"/>
        </w:rPr>
        <w:t xml:space="preserve">делия, соответствующие самому последнему стандарту. </w:t>
      </w:r>
    </w:p>
    <w:p w:rsidR="00F421F1" w:rsidRPr="00AD6876" w:rsidRDefault="00F421F1" w:rsidP="00E16451">
      <w:pPr>
        <w:pStyle w:val="SingleTxtGR"/>
        <w:rPr>
          <w:rFonts w:eastAsia="MS Mincho"/>
        </w:rPr>
      </w:pPr>
      <w:r w:rsidRPr="00E730B7">
        <w:rPr>
          <w:rFonts w:eastAsia="MS Mincho"/>
        </w:rPr>
        <w:t>4.</w:t>
      </w:r>
      <w:r w:rsidRPr="00E730B7">
        <w:rPr>
          <w:rFonts w:eastAsia="MS Mincho"/>
        </w:rPr>
        <w:tab/>
        <w:t>На сегодняшний день 4</w:t>
      </w:r>
      <w:r>
        <w:rPr>
          <w:rFonts w:eastAsia="MS Mincho"/>
        </w:rPr>
        <w:t>5</w:t>
      </w:r>
      <w:r w:rsidRPr="00E730B7">
        <w:rPr>
          <w:rFonts w:eastAsia="MS Mincho"/>
        </w:rPr>
        <w:t xml:space="preserve"> Договаривающи</w:t>
      </w:r>
      <w:r>
        <w:rPr>
          <w:rFonts w:eastAsia="MS Mincho"/>
        </w:rPr>
        <w:t>х</w:t>
      </w:r>
      <w:r w:rsidRPr="00E730B7">
        <w:rPr>
          <w:rFonts w:eastAsia="MS Mincho"/>
        </w:rPr>
        <w:t xml:space="preserve">ся сторон </w:t>
      </w:r>
      <w:r>
        <w:rPr>
          <w:rFonts w:eastAsia="MS Mincho"/>
        </w:rPr>
        <w:t>Соглашения 1958 г</w:t>
      </w:r>
      <w:r>
        <w:rPr>
          <w:rFonts w:eastAsia="MS Mincho"/>
        </w:rPr>
        <w:t>о</w:t>
      </w:r>
      <w:r>
        <w:rPr>
          <w:rFonts w:eastAsia="MS Mincho"/>
        </w:rPr>
        <w:t>да подписали п</w:t>
      </w:r>
      <w:r w:rsidRPr="00E730B7">
        <w:rPr>
          <w:rFonts w:eastAsia="MS Mincho"/>
        </w:rPr>
        <w:t xml:space="preserve">равила № 44 ООН и 52 − </w:t>
      </w:r>
      <w:r>
        <w:rPr>
          <w:rFonts w:eastAsia="MS Mincho"/>
        </w:rPr>
        <w:t>п</w:t>
      </w:r>
      <w:r w:rsidRPr="00E730B7">
        <w:rPr>
          <w:rFonts w:eastAsia="MS Mincho"/>
        </w:rPr>
        <w:t xml:space="preserve">равила № 129 ООН. </w:t>
      </w:r>
      <w:r>
        <w:rPr>
          <w:rFonts w:eastAsia="MS Mincho"/>
        </w:rPr>
        <w:t>Н</w:t>
      </w:r>
      <w:r w:rsidRPr="00E730B7">
        <w:rPr>
          <w:rFonts w:eastAsia="MS Mincho"/>
        </w:rPr>
        <w:t>ет ни одной Д</w:t>
      </w:r>
      <w:r w:rsidRPr="00E730B7">
        <w:rPr>
          <w:rFonts w:eastAsia="MS Mincho"/>
        </w:rPr>
        <w:t>о</w:t>
      </w:r>
      <w:r w:rsidRPr="00E730B7">
        <w:rPr>
          <w:rFonts w:eastAsia="MS Mincho"/>
        </w:rPr>
        <w:t>говаривающейся стороны, которая подписала бы Правила № 44 ООН, не подп</w:t>
      </w:r>
      <w:r w:rsidRPr="00E730B7">
        <w:rPr>
          <w:rFonts w:eastAsia="MS Mincho"/>
        </w:rPr>
        <w:t>и</w:t>
      </w:r>
      <w:r w:rsidRPr="00E730B7">
        <w:rPr>
          <w:rFonts w:eastAsia="MS Mincho"/>
        </w:rPr>
        <w:t xml:space="preserve">сав при этом Правила № 129 ООН. </w:t>
      </w:r>
      <w:r w:rsidRPr="00AD6876">
        <w:rPr>
          <w:rFonts w:eastAsia="MS Mincho"/>
        </w:rPr>
        <w:t>Поэто</w:t>
      </w:r>
      <w:r>
        <w:rPr>
          <w:rFonts w:eastAsia="MS Mincho"/>
        </w:rPr>
        <w:t>му</w:t>
      </w:r>
      <w:r w:rsidRPr="00AD6876">
        <w:rPr>
          <w:rFonts w:eastAsia="MS Mincho"/>
        </w:rPr>
        <w:t xml:space="preserve"> нет никакого риска в </w:t>
      </w:r>
      <w:r>
        <w:rPr>
          <w:rFonts w:eastAsia="MS Mincho"/>
        </w:rPr>
        <w:t xml:space="preserve">отношении </w:t>
      </w:r>
      <w:r w:rsidRPr="00AD6876">
        <w:rPr>
          <w:rFonts w:eastAsia="MS Mincho"/>
        </w:rPr>
        <w:t>то</w:t>
      </w:r>
      <w:r>
        <w:rPr>
          <w:rFonts w:eastAsia="MS Mincho"/>
        </w:rPr>
        <w:t>го</w:t>
      </w:r>
      <w:r w:rsidRPr="00AD6876">
        <w:rPr>
          <w:rFonts w:eastAsia="MS Mincho"/>
        </w:rPr>
        <w:t>, что недавно разработанные ДУС с креплениями I</w:t>
      </w:r>
      <w:r>
        <w:rPr>
          <w:rFonts w:eastAsia="MS Mincho"/>
        </w:rPr>
        <w:t>SOFIX</w:t>
      </w:r>
      <w:r w:rsidRPr="00AD6876">
        <w:rPr>
          <w:rFonts w:eastAsia="MS Mincho"/>
        </w:rPr>
        <w:t xml:space="preserve"> </w:t>
      </w:r>
      <w:r>
        <w:rPr>
          <w:rFonts w:eastAsia="MS Mincho"/>
        </w:rPr>
        <w:t>не будут иметь доступа</w:t>
      </w:r>
      <w:r w:rsidRPr="00AD6876">
        <w:rPr>
          <w:rFonts w:eastAsia="MS Mincho"/>
        </w:rPr>
        <w:t xml:space="preserve"> на некоторые рынки.</w:t>
      </w:r>
    </w:p>
    <w:p w:rsidR="00E16451" w:rsidRDefault="00F421F1" w:rsidP="00E16451">
      <w:pPr>
        <w:pStyle w:val="SingleTxtGR"/>
      </w:pPr>
      <w:r w:rsidRPr="00454063">
        <w:rPr>
          <w:rFonts w:eastAsia="MS Mincho"/>
        </w:rPr>
        <w:t>5.</w:t>
      </w:r>
      <w:r w:rsidRPr="00454063">
        <w:rPr>
          <w:rFonts w:eastAsia="MS Mincho"/>
        </w:rPr>
        <w:tab/>
        <w:t xml:space="preserve">В этой связи </w:t>
      </w:r>
      <w:r w:rsidRPr="00D94C7E">
        <w:t>Международн</w:t>
      </w:r>
      <w:r>
        <w:t xml:space="preserve">ая </w:t>
      </w:r>
      <w:r w:rsidRPr="00D94C7E">
        <w:t>организаци</w:t>
      </w:r>
      <w:r>
        <w:t>я</w:t>
      </w:r>
      <w:r w:rsidRPr="00D94C7E">
        <w:t xml:space="preserve"> потребительских союзов</w:t>
      </w:r>
      <w:r>
        <w:t xml:space="preserve"> и Е</w:t>
      </w:r>
      <w:r>
        <w:t>в</w:t>
      </w:r>
      <w:r>
        <w:t>ропейская</w:t>
      </w:r>
      <w:r w:rsidRPr="00367C5A">
        <w:t xml:space="preserve"> </w:t>
      </w:r>
      <w:r>
        <w:t>ассоциация</w:t>
      </w:r>
      <w:r w:rsidRPr="00367C5A">
        <w:t xml:space="preserve"> </w:t>
      </w:r>
      <w:r>
        <w:t>по координации участия потребителей в деятельности по стандартизации</w:t>
      </w:r>
      <w:r w:rsidRPr="00454063">
        <w:rPr>
          <w:rFonts w:eastAsia="MS Mincho"/>
        </w:rPr>
        <w:t xml:space="preserve"> предлага</w:t>
      </w:r>
      <w:r>
        <w:rPr>
          <w:rFonts w:eastAsia="MS Mincho"/>
        </w:rPr>
        <w:t>ю</w:t>
      </w:r>
      <w:r w:rsidRPr="00454063">
        <w:rPr>
          <w:rFonts w:eastAsia="MS Mincho"/>
        </w:rPr>
        <w:t xml:space="preserve">т </w:t>
      </w:r>
      <w:r>
        <w:rPr>
          <w:rFonts w:eastAsia="MS Mincho"/>
        </w:rPr>
        <w:t xml:space="preserve">не </w:t>
      </w:r>
      <w:r w:rsidRPr="00454063">
        <w:rPr>
          <w:rFonts w:eastAsia="MS Mincho"/>
        </w:rPr>
        <w:t xml:space="preserve">предоставлять </w:t>
      </w:r>
      <w:r>
        <w:rPr>
          <w:rFonts w:eastAsia="MS Mincho"/>
        </w:rPr>
        <w:t xml:space="preserve">никаких новых </w:t>
      </w:r>
      <w:r w:rsidRPr="00454063">
        <w:rPr>
          <w:rFonts w:eastAsia="MS Mincho"/>
        </w:rPr>
        <w:t>официальны</w:t>
      </w:r>
      <w:r>
        <w:rPr>
          <w:rFonts w:eastAsia="MS Mincho"/>
        </w:rPr>
        <w:t>х</w:t>
      </w:r>
      <w:r w:rsidRPr="00454063">
        <w:rPr>
          <w:rFonts w:eastAsia="MS Mincho"/>
        </w:rPr>
        <w:t xml:space="preserve"> утверждени</w:t>
      </w:r>
      <w:r>
        <w:rPr>
          <w:rFonts w:eastAsia="MS Mincho"/>
        </w:rPr>
        <w:t>й в отношении не</w:t>
      </w:r>
      <w:r w:rsidRPr="00454063">
        <w:rPr>
          <w:rFonts w:eastAsia="MS Mincho"/>
        </w:rPr>
        <w:t xml:space="preserve">встроенных ДУС </w:t>
      </w:r>
      <w:r>
        <w:rPr>
          <w:rFonts w:eastAsia="MS Mincho"/>
        </w:rPr>
        <w:t xml:space="preserve">группы 2 или группы 2/3 </w:t>
      </w:r>
      <w:r w:rsidRPr="00454063">
        <w:rPr>
          <w:rFonts w:eastAsia="MS Mincho"/>
        </w:rPr>
        <w:t>на о</w:t>
      </w:r>
      <w:r w:rsidRPr="00454063">
        <w:rPr>
          <w:rFonts w:eastAsia="MS Mincho"/>
        </w:rPr>
        <w:t>с</w:t>
      </w:r>
      <w:r w:rsidRPr="00454063">
        <w:rPr>
          <w:rFonts w:eastAsia="MS Mincho"/>
        </w:rPr>
        <w:t>новании Правил № 44 ООН начиная с [1</w:t>
      </w:r>
      <w:r>
        <w:rPr>
          <w:rFonts w:eastAsia="MS Mincho"/>
        </w:rPr>
        <w:t xml:space="preserve"> сентября</w:t>
      </w:r>
      <w:r w:rsidRPr="00454063">
        <w:rPr>
          <w:rFonts w:eastAsia="MS Mincho"/>
        </w:rPr>
        <w:t xml:space="preserve"> 201</w:t>
      </w:r>
      <w:r>
        <w:rPr>
          <w:rFonts w:eastAsia="MS Mincho"/>
        </w:rPr>
        <w:t>8</w:t>
      </w:r>
      <w:r w:rsidRPr="00454063">
        <w:rPr>
          <w:rFonts w:eastAsia="MS Mincho"/>
        </w:rPr>
        <w:t xml:space="preserve"> года] и изменить соо</w:t>
      </w:r>
      <w:r w:rsidRPr="00454063">
        <w:rPr>
          <w:rFonts w:eastAsia="MS Mincho"/>
        </w:rPr>
        <w:t>т</w:t>
      </w:r>
      <w:r w:rsidRPr="00454063">
        <w:rPr>
          <w:rFonts w:eastAsia="MS Mincho"/>
        </w:rPr>
        <w:t>ветствующим образом переходные положения</w:t>
      </w:r>
      <w:r>
        <w:rPr>
          <w:rFonts w:eastAsia="MS Mincho"/>
        </w:rPr>
        <w:t>.</w:t>
      </w:r>
    </w:p>
    <w:p w:rsidR="00F421F1" w:rsidRPr="00E16451" w:rsidRDefault="00E16451" w:rsidP="00E1645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421F1" w:rsidRPr="00E16451" w:rsidSect="00F421F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CF" w:rsidRPr="00A312BC" w:rsidRDefault="00B009CF" w:rsidP="00A312BC"/>
  </w:endnote>
  <w:endnote w:type="continuationSeparator" w:id="0">
    <w:p w:rsidR="00B009CF" w:rsidRPr="00A312BC" w:rsidRDefault="00B009C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F1" w:rsidRPr="00F421F1" w:rsidRDefault="00F421F1">
    <w:pPr>
      <w:pStyle w:val="Footer"/>
    </w:pPr>
    <w:r w:rsidRPr="00F421F1">
      <w:rPr>
        <w:b/>
        <w:sz w:val="18"/>
      </w:rPr>
      <w:fldChar w:fldCharType="begin"/>
    </w:r>
    <w:r w:rsidRPr="00F421F1">
      <w:rPr>
        <w:b/>
        <w:sz w:val="18"/>
      </w:rPr>
      <w:instrText xml:space="preserve"> PAGE  \* MERGEFORMAT </w:instrText>
    </w:r>
    <w:r w:rsidRPr="00F421F1">
      <w:rPr>
        <w:b/>
        <w:sz w:val="18"/>
      </w:rPr>
      <w:fldChar w:fldCharType="separate"/>
    </w:r>
    <w:r w:rsidR="00133CAB">
      <w:rPr>
        <w:b/>
        <w:noProof/>
        <w:sz w:val="18"/>
      </w:rPr>
      <w:t>4</w:t>
    </w:r>
    <w:r w:rsidRPr="00F421F1">
      <w:rPr>
        <w:b/>
        <w:sz w:val="18"/>
      </w:rPr>
      <w:fldChar w:fldCharType="end"/>
    </w:r>
    <w:r>
      <w:rPr>
        <w:b/>
        <w:sz w:val="18"/>
      </w:rPr>
      <w:tab/>
    </w:r>
    <w:r>
      <w:t>GE.17-16623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F1" w:rsidRPr="00F421F1" w:rsidRDefault="00F421F1" w:rsidP="00F421F1">
    <w:pPr>
      <w:pStyle w:val="Footer"/>
      <w:tabs>
        <w:tab w:val="clear" w:pos="9639"/>
        <w:tab w:val="right" w:pos="9638"/>
      </w:tabs>
      <w:rPr>
        <w:b/>
        <w:sz w:val="18"/>
      </w:rPr>
    </w:pPr>
    <w:r>
      <w:t>GE.17-16623</w:t>
    </w:r>
    <w:r>
      <w:tab/>
    </w:r>
    <w:r w:rsidRPr="00F421F1">
      <w:rPr>
        <w:b/>
        <w:sz w:val="18"/>
      </w:rPr>
      <w:fldChar w:fldCharType="begin"/>
    </w:r>
    <w:r w:rsidRPr="00F421F1">
      <w:rPr>
        <w:b/>
        <w:sz w:val="18"/>
      </w:rPr>
      <w:instrText xml:space="preserve"> PAGE  \* MERGEFORMAT </w:instrText>
    </w:r>
    <w:r w:rsidRPr="00F421F1">
      <w:rPr>
        <w:b/>
        <w:sz w:val="18"/>
      </w:rPr>
      <w:fldChar w:fldCharType="separate"/>
    </w:r>
    <w:r w:rsidR="00133CAB">
      <w:rPr>
        <w:b/>
        <w:noProof/>
        <w:sz w:val="18"/>
      </w:rPr>
      <w:t>3</w:t>
    </w:r>
    <w:r w:rsidRPr="00F421F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F421F1" w:rsidRDefault="00F421F1" w:rsidP="00F421F1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78ADF62" wp14:editId="75A872F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17-16623  (R)</w:t>
    </w:r>
    <w:r w:rsidR="00010A8D">
      <w:rPr>
        <w:lang w:val="en-US"/>
      </w:rPr>
      <w:t xml:space="preserve">  270917  290917</w:t>
    </w:r>
    <w:r>
      <w:br/>
    </w:r>
    <w:r w:rsidRPr="00F421F1">
      <w:rPr>
        <w:rFonts w:ascii="C39T30Lfz" w:hAnsi="C39T30Lfz"/>
        <w:spacing w:val="0"/>
        <w:w w:val="100"/>
        <w:sz w:val="56"/>
      </w:rPr>
      <w:t></w:t>
    </w:r>
    <w:r w:rsidRPr="00F421F1">
      <w:rPr>
        <w:rFonts w:ascii="C39T30Lfz" w:hAnsi="C39T30Lfz"/>
        <w:spacing w:val="0"/>
        <w:w w:val="100"/>
        <w:sz w:val="56"/>
      </w:rPr>
      <w:t></w:t>
    </w:r>
    <w:r w:rsidRPr="00F421F1">
      <w:rPr>
        <w:rFonts w:ascii="C39T30Lfz" w:hAnsi="C39T30Lfz"/>
        <w:spacing w:val="0"/>
        <w:w w:val="100"/>
        <w:sz w:val="56"/>
      </w:rPr>
      <w:t></w:t>
    </w:r>
    <w:r w:rsidRPr="00F421F1">
      <w:rPr>
        <w:rFonts w:ascii="C39T30Lfz" w:hAnsi="C39T30Lfz"/>
        <w:spacing w:val="0"/>
        <w:w w:val="100"/>
        <w:sz w:val="56"/>
      </w:rPr>
      <w:t></w:t>
    </w:r>
    <w:r w:rsidRPr="00F421F1">
      <w:rPr>
        <w:rFonts w:ascii="C39T30Lfz" w:hAnsi="C39T30Lfz"/>
        <w:spacing w:val="0"/>
        <w:w w:val="100"/>
        <w:sz w:val="56"/>
      </w:rPr>
      <w:t></w:t>
    </w:r>
    <w:r w:rsidRPr="00F421F1">
      <w:rPr>
        <w:rFonts w:ascii="C39T30Lfz" w:hAnsi="C39T30Lfz"/>
        <w:spacing w:val="0"/>
        <w:w w:val="100"/>
        <w:sz w:val="56"/>
      </w:rPr>
      <w:t></w:t>
    </w:r>
    <w:r w:rsidRPr="00F421F1">
      <w:rPr>
        <w:rFonts w:ascii="C39T30Lfz" w:hAnsi="C39T30Lfz"/>
        <w:spacing w:val="0"/>
        <w:w w:val="100"/>
        <w:sz w:val="56"/>
      </w:rPr>
      <w:t></w:t>
    </w:r>
    <w:r w:rsidRPr="00F421F1">
      <w:rPr>
        <w:rFonts w:ascii="C39T30Lfz" w:hAnsi="C39T30Lfz"/>
        <w:spacing w:val="0"/>
        <w:w w:val="100"/>
        <w:sz w:val="56"/>
      </w:rPr>
      <w:t></w:t>
    </w:r>
    <w:r w:rsidRPr="00F421F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SP/2017/2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2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CF" w:rsidRPr="001075E9" w:rsidRDefault="00B009C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009CF" w:rsidRDefault="00B009C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421F1" w:rsidRPr="00FF244E" w:rsidRDefault="00F421F1" w:rsidP="0063532E">
      <w:pPr>
        <w:pStyle w:val="FootnoteText"/>
        <w:rPr>
          <w:lang w:val="ru-RU"/>
        </w:rPr>
      </w:pPr>
      <w:r>
        <w:tab/>
      </w:r>
      <w:r w:rsidRPr="0063532E">
        <w:rPr>
          <w:rStyle w:val="FootnoteReference"/>
          <w:sz w:val="20"/>
          <w:vertAlign w:val="baseline"/>
          <w:lang w:val="ru-RU"/>
        </w:rPr>
        <w:t>*</w:t>
      </w:r>
      <w:r w:rsidRPr="00CB183F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F57F93" w:rsidRPr="00F57F93">
        <w:rPr>
          <w:lang w:val="ru-RU"/>
        </w:rPr>
        <w:br/>
      </w:r>
      <w:r w:rsidRPr="00CB183F">
        <w:rPr>
          <w:lang w:val="ru-RU"/>
        </w:rPr>
        <w:t>на 2016−2017 годы (</w:t>
      </w:r>
      <w:r w:rsidRPr="00CB183F">
        <w:rPr>
          <w:lang w:val="en-US"/>
        </w:rPr>
        <w:t>ECE</w:t>
      </w:r>
      <w:r w:rsidRPr="00CB183F">
        <w:rPr>
          <w:lang w:val="ru-RU"/>
        </w:rPr>
        <w:t>/</w:t>
      </w:r>
      <w:r w:rsidRPr="00CB183F">
        <w:rPr>
          <w:lang w:val="en-US"/>
        </w:rPr>
        <w:t>TRANS</w:t>
      </w:r>
      <w:r w:rsidRPr="00CB183F">
        <w:rPr>
          <w:lang w:val="ru-RU"/>
        </w:rPr>
        <w:t xml:space="preserve">/254, пункт 159, и </w:t>
      </w:r>
      <w:r w:rsidRPr="00CB183F">
        <w:rPr>
          <w:lang w:val="en-US"/>
        </w:rPr>
        <w:t>ECE</w:t>
      </w:r>
      <w:r w:rsidRPr="00CB183F">
        <w:rPr>
          <w:lang w:val="ru-RU"/>
        </w:rPr>
        <w:t>/</w:t>
      </w:r>
      <w:r w:rsidRPr="00CB183F">
        <w:rPr>
          <w:lang w:val="en-US"/>
        </w:rPr>
        <w:t>TRANS</w:t>
      </w:r>
      <w:r w:rsidRPr="00CB183F">
        <w:rPr>
          <w:lang w:val="ru-RU"/>
        </w:rPr>
        <w:t>/2014/28/</w:t>
      </w:r>
      <w:r w:rsidRPr="00CB183F">
        <w:rPr>
          <w:lang w:val="en-US"/>
        </w:rPr>
        <w:t>Add</w:t>
      </w:r>
      <w:r w:rsidRPr="00CB183F">
        <w:rPr>
          <w:lang w:val="ru-RU"/>
        </w:rPr>
        <w:t xml:space="preserve">.1, направление работы 3.1) Всемирный форум будет разрабатывать, согласовывать </w:t>
      </w:r>
      <w:r w:rsidR="00F57F93" w:rsidRPr="00F57F93">
        <w:rPr>
          <w:lang w:val="ru-RU"/>
        </w:rPr>
        <w:br/>
      </w:r>
      <w:r w:rsidRPr="00CB183F">
        <w:rPr>
          <w:lang w:val="ru-RU"/>
        </w:rPr>
        <w:t xml:space="preserve">и обновлять правила в </w:t>
      </w:r>
      <w:r w:rsidRPr="00F57F93">
        <w:rPr>
          <w:lang w:val="ru-RU"/>
        </w:rPr>
        <w:t>целях</w:t>
      </w:r>
      <w:r w:rsidRPr="00CB183F">
        <w:rPr>
          <w:lang w:val="ru-RU"/>
        </w:rPr>
        <w:t xml:space="preserve"> улучшения характеристик транспортных средств.</w:t>
      </w:r>
      <w:r>
        <w:rPr>
          <w:lang w:val="ru-RU"/>
        </w:rPr>
        <w:t xml:space="preserve"> </w:t>
      </w:r>
      <w:r w:rsidRPr="00CB183F">
        <w:rPr>
          <w:lang w:val="ru-RU"/>
        </w:rPr>
        <w:t>Настоящий</w:t>
      </w:r>
      <w:r w:rsidRPr="00FF244E">
        <w:rPr>
          <w:lang w:val="ru-RU"/>
        </w:rPr>
        <w:t xml:space="preserve"> </w:t>
      </w:r>
      <w:r w:rsidRPr="00CB183F">
        <w:rPr>
          <w:lang w:val="ru-RU"/>
        </w:rPr>
        <w:t>документ</w:t>
      </w:r>
      <w:r w:rsidRPr="00FF244E">
        <w:rPr>
          <w:lang w:val="ru-RU"/>
        </w:rPr>
        <w:t xml:space="preserve"> </w:t>
      </w:r>
      <w:r w:rsidRPr="00CB183F">
        <w:rPr>
          <w:lang w:val="ru-RU"/>
        </w:rPr>
        <w:t>представлен</w:t>
      </w:r>
      <w:r w:rsidRPr="00FF244E">
        <w:rPr>
          <w:lang w:val="ru-RU"/>
        </w:rPr>
        <w:t xml:space="preserve"> </w:t>
      </w:r>
      <w:r w:rsidRPr="00CB183F">
        <w:rPr>
          <w:lang w:val="ru-RU"/>
        </w:rPr>
        <w:t>в</w:t>
      </w:r>
      <w:r w:rsidRPr="00FF244E">
        <w:rPr>
          <w:lang w:val="ru-RU"/>
        </w:rPr>
        <w:t xml:space="preserve"> </w:t>
      </w:r>
      <w:r w:rsidRPr="00CB183F">
        <w:rPr>
          <w:lang w:val="ru-RU"/>
        </w:rPr>
        <w:t>соответствии</w:t>
      </w:r>
      <w:r w:rsidRPr="00FF244E">
        <w:rPr>
          <w:lang w:val="ru-RU"/>
        </w:rPr>
        <w:t xml:space="preserve"> </w:t>
      </w:r>
      <w:r w:rsidRPr="00CB183F">
        <w:rPr>
          <w:lang w:val="ru-RU"/>
        </w:rPr>
        <w:t>с</w:t>
      </w:r>
      <w:r w:rsidRPr="00FF244E">
        <w:rPr>
          <w:lang w:val="ru-RU"/>
        </w:rPr>
        <w:t xml:space="preserve"> </w:t>
      </w:r>
      <w:r w:rsidRPr="00CB183F">
        <w:rPr>
          <w:lang w:val="ru-RU"/>
        </w:rPr>
        <w:t>этим</w:t>
      </w:r>
      <w:r w:rsidRPr="00FF244E">
        <w:rPr>
          <w:lang w:val="ru-RU"/>
        </w:rPr>
        <w:t xml:space="preserve"> </w:t>
      </w:r>
      <w:r w:rsidRPr="00CB183F">
        <w:rPr>
          <w:lang w:val="ru-RU"/>
        </w:rPr>
        <w:t>мандатом</w:t>
      </w:r>
      <w:r w:rsidRPr="00FF244E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F1" w:rsidRPr="00F421F1" w:rsidRDefault="00034094">
    <w:pPr>
      <w:pStyle w:val="Header"/>
    </w:pPr>
    <w:fldSimple w:instr=" TITLE  \* MERGEFORMAT ">
      <w:r>
        <w:t>ECE/TRANS/WP.29/GRSP/2017/20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F1" w:rsidRPr="00F421F1" w:rsidRDefault="00034094" w:rsidP="00F421F1">
    <w:pPr>
      <w:pStyle w:val="Header"/>
      <w:jc w:val="right"/>
    </w:pPr>
    <w:fldSimple w:instr=" TITLE  \* MERGEFORMAT ">
      <w:r>
        <w:t>ECE/TRANS/WP.29/GRSP/2017/20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595"/>
        </w:tabs>
        <w:ind w:left="595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isplayBackgroundShape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CF"/>
    <w:rsid w:val="00010A8D"/>
    <w:rsid w:val="00033EE1"/>
    <w:rsid w:val="00034094"/>
    <w:rsid w:val="00042B72"/>
    <w:rsid w:val="000558BD"/>
    <w:rsid w:val="000B57E7"/>
    <w:rsid w:val="000B6373"/>
    <w:rsid w:val="000C3E70"/>
    <w:rsid w:val="000E4E5B"/>
    <w:rsid w:val="000F09DF"/>
    <w:rsid w:val="000F61B2"/>
    <w:rsid w:val="001075E9"/>
    <w:rsid w:val="00133CAB"/>
    <w:rsid w:val="0014152F"/>
    <w:rsid w:val="0014709F"/>
    <w:rsid w:val="00180183"/>
    <w:rsid w:val="0018024D"/>
    <w:rsid w:val="0018649F"/>
    <w:rsid w:val="00196389"/>
    <w:rsid w:val="001B3EF6"/>
    <w:rsid w:val="001C7A89"/>
    <w:rsid w:val="001D1C45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3926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580"/>
    <w:rsid w:val="00472C5C"/>
    <w:rsid w:val="004868C7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3532E"/>
    <w:rsid w:val="00640F49"/>
    <w:rsid w:val="00680D03"/>
    <w:rsid w:val="00681A10"/>
    <w:rsid w:val="006A1ED8"/>
    <w:rsid w:val="006B5258"/>
    <w:rsid w:val="006C2031"/>
    <w:rsid w:val="006D461A"/>
    <w:rsid w:val="006F35EE"/>
    <w:rsid w:val="007021FF"/>
    <w:rsid w:val="00712895"/>
    <w:rsid w:val="00734ACB"/>
    <w:rsid w:val="00741C4E"/>
    <w:rsid w:val="0075426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3F57"/>
    <w:rsid w:val="00951972"/>
    <w:rsid w:val="009608F3"/>
    <w:rsid w:val="009A24AC"/>
    <w:rsid w:val="009C6FE6"/>
    <w:rsid w:val="009D7E7D"/>
    <w:rsid w:val="00A033D2"/>
    <w:rsid w:val="00A14DA8"/>
    <w:rsid w:val="00A312BC"/>
    <w:rsid w:val="00A7392D"/>
    <w:rsid w:val="00A84021"/>
    <w:rsid w:val="00A84D35"/>
    <w:rsid w:val="00A917B3"/>
    <w:rsid w:val="00AB4B51"/>
    <w:rsid w:val="00B009CF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C5475"/>
    <w:rsid w:val="00CE5A1A"/>
    <w:rsid w:val="00CF0146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16451"/>
    <w:rsid w:val="00E73F76"/>
    <w:rsid w:val="00EA1D66"/>
    <w:rsid w:val="00EA2C9F"/>
    <w:rsid w:val="00EA420E"/>
    <w:rsid w:val="00ED0BDA"/>
    <w:rsid w:val="00EE142A"/>
    <w:rsid w:val="00EF1360"/>
    <w:rsid w:val="00EF3220"/>
    <w:rsid w:val="00F2523A"/>
    <w:rsid w:val="00F421F1"/>
    <w:rsid w:val="00F43903"/>
    <w:rsid w:val="00F57F93"/>
    <w:rsid w:val="00F76382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,Fußnotenzeichen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F421F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qFormat/>
    <w:rsid w:val="00F421F1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F421F1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BlockText">
    <w:name w:val="Block Text"/>
    <w:basedOn w:val="Normal"/>
    <w:semiHidden/>
    <w:rsid w:val="00F421F1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F421F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ChGChar">
    <w:name w:val="_ H _Ch_G Char"/>
    <w:link w:val="HChG"/>
    <w:rsid w:val="00F421F1"/>
    <w:rPr>
      <w:b/>
      <w:sz w:val="28"/>
      <w:lang w:val="en-GB" w:eastAsia="en-US"/>
    </w:rPr>
  </w:style>
  <w:style w:type="paragraph" w:customStyle="1" w:styleId="para">
    <w:name w:val="para"/>
    <w:basedOn w:val="Normal"/>
    <w:link w:val="paraChar"/>
    <w:qFormat/>
    <w:rsid w:val="00F421F1"/>
    <w:pPr>
      <w:spacing w:after="120"/>
      <w:ind w:left="2268" w:right="1134" w:hanging="1134"/>
      <w:jc w:val="both"/>
    </w:pPr>
    <w:rPr>
      <w:rFonts w:eastAsia="Times New Roman" w:cs="Times New Roman"/>
      <w:snapToGrid w:val="0"/>
      <w:spacing w:val="0"/>
      <w:w w:val="100"/>
      <w:kern w:val="0"/>
      <w:szCs w:val="20"/>
      <w:lang w:val="fr-FR" w:eastAsia="en-US"/>
    </w:rPr>
  </w:style>
  <w:style w:type="character" w:customStyle="1" w:styleId="paraChar">
    <w:name w:val="para Char"/>
    <w:link w:val="para"/>
    <w:rsid w:val="00F421F1"/>
    <w:rPr>
      <w:snapToGrid w:val="0"/>
      <w:lang w:val="fr-FR" w:eastAsia="en-US"/>
    </w:rPr>
  </w:style>
  <w:style w:type="character" w:customStyle="1" w:styleId="SingleTxtGR0">
    <w:name w:val="_ Single Txt_GR Знак"/>
    <w:link w:val="SingleTxtGR"/>
    <w:locked/>
    <w:rsid w:val="00F421F1"/>
    <w:rPr>
      <w:spacing w:val="4"/>
      <w:w w:val="103"/>
      <w:kern w:val="1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,Fußnotenzeichen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F421F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qFormat/>
    <w:rsid w:val="00F421F1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F421F1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BlockText">
    <w:name w:val="Block Text"/>
    <w:basedOn w:val="Normal"/>
    <w:semiHidden/>
    <w:rsid w:val="00F421F1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F421F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ChGChar">
    <w:name w:val="_ H _Ch_G Char"/>
    <w:link w:val="HChG"/>
    <w:rsid w:val="00F421F1"/>
    <w:rPr>
      <w:b/>
      <w:sz w:val="28"/>
      <w:lang w:val="en-GB" w:eastAsia="en-US"/>
    </w:rPr>
  </w:style>
  <w:style w:type="paragraph" w:customStyle="1" w:styleId="para">
    <w:name w:val="para"/>
    <w:basedOn w:val="Normal"/>
    <w:link w:val="paraChar"/>
    <w:qFormat/>
    <w:rsid w:val="00F421F1"/>
    <w:pPr>
      <w:spacing w:after="120"/>
      <w:ind w:left="2268" w:right="1134" w:hanging="1134"/>
      <w:jc w:val="both"/>
    </w:pPr>
    <w:rPr>
      <w:rFonts w:eastAsia="Times New Roman" w:cs="Times New Roman"/>
      <w:snapToGrid w:val="0"/>
      <w:spacing w:val="0"/>
      <w:w w:val="100"/>
      <w:kern w:val="0"/>
      <w:szCs w:val="20"/>
      <w:lang w:val="fr-FR" w:eastAsia="en-US"/>
    </w:rPr>
  </w:style>
  <w:style w:type="character" w:customStyle="1" w:styleId="paraChar">
    <w:name w:val="para Char"/>
    <w:link w:val="para"/>
    <w:rsid w:val="00F421F1"/>
    <w:rPr>
      <w:snapToGrid w:val="0"/>
      <w:lang w:val="fr-FR" w:eastAsia="en-US"/>
    </w:rPr>
  </w:style>
  <w:style w:type="character" w:customStyle="1" w:styleId="SingleTxtGR0">
    <w:name w:val="_ Single Txt_GR Знак"/>
    <w:link w:val="SingleTxtGR"/>
    <w:locked/>
    <w:rsid w:val="00F421F1"/>
    <w:rPr>
      <w:spacing w:val="4"/>
      <w:w w:val="103"/>
      <w:kern w:val="1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1028</Words>
  <Characters>5860</Characters>
  <Application>Microsoft Office Word</Application>
  <DocSecurity>4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ECE/TRANS/WP.29/GRSP/2017/20</vt:lpstr>
      <vt:lpstr>ECE/TRANS/WP.29/GRSP/2017/20</vt:lpstr>
      <vt:lpstr>A/</vt:lpstr>
    </vt:vector>
  </TitlesOfParts>
  <Company>DCM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ECE/TRANS/WP.29/GRSP/2017/20</dc:title>
  <dc:creator>Prokoudina S.</dc:creator>
  <cp:lastModifiedBy>Benedicte Boudol</cp:lastModifiedBy>
  <cp:revision>2</cp:revision>
  <cp:lastPrinted>2017-09-29T09:05:00Z</cp:lastPrinted>
  <dcterms:created xsi:type="dcterms:W3CDTF">2017-10-26T13:39:00Z</dcterms:created>
  <dcterms:modified xsi:type="dcterms:W3CDTF">2017-10-26T13:39:00Z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