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F322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F3228" w:rsidP="00FF3228">
            <w:pPr>
              <w:jc w:val="right"/>
            </w:pPr>
            <w:r w:rsidRPr="00FF3228">
              <w:rPr>
                <w:sz w:val="40"/>
              </w:rPr>
              <w:t>ST</w:t>
            </w:r>
            <w:r>
              <w:t>/SG/AC.10/C.4/2018/5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F3228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F3228" w:rsidRDefault="00FF3228" w:rsidP="00FF3228">
            <w:pPr>
              <w:spacing w:line="240" w:lineRule="exact"/>
            </w:pPr>
            <w:r>
              <w:t>11 avril 2018</w:t>
            </w:r>
          </w:p>
          <w:p w:rsidR="00FF3228" w:rsidRDefault="00FF3228" w:rsidP="00FF3228">
            <w:pPr>
              <w:spacing w:line="240" w:lineRule="exact"/>
            </w:pPr>
            <w:r>
              <w:t>Français</w:t>
            </w:r>
          </w:p>
          <w:p w:rsidR="00FF3228" w:rsidRPr="00DB58B5" w:rsidRDefault="00FF3228" w:rsidP="00FF3228">
            <w:pPr>
              <w:spacing w:line="240" w:lineRule="exact"/>
            </w:pPr>
            <w:r>
              <w:t>Original : anglais</w:t>
            </w:r>
          </w:p>
        </w:tc>
      </w:tr>
    </w:tbl>
    <w:p w:rsidR="00FF3228" w:rsidRPr="00CA0680" w:rsidRDefault="00FF322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FF3228" w:rsidRPr="00CA0680" w:rsidRDefault="00FF322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>
        <w:rPr>
          <w:b/>
        </w:rPr>
        <w:br/>
        <w:t>de classification et d’étiquetage des produits chimiques</w:t>
      </w:r>
    </w:p>
    <w:p w:rsidR="00FF3228" w:rsidRDefault="00FF3228" w:rsidP="000305D3">
      <w:pPr>
        <w:spacing w:before="120"/>
        <w:rPr>
          <w:b/>
        </w:rPr>
      </w:pPr>
      <w:r>
        <w:rPr>
          <w:b/>
        </w:rPr>
        <w:t>Trente-cinquième</w:t>
      </w:r>
      <w:r w:rsidRPr="00CA0680">
        <w:rPr>
          <w:b/>
        </w:rPr>
        <w:t xml:space="preserve"> session</w:t>
      </w:r>
    </w:p>
    <w:p w:rsidR="00FF3228" w:rsidRDefault="00FF3228" w:rsidP="000305D3">
      <w:r>
        <w:t>Genève, 4-6 juillet 2018</w:t>
      </w:r>
    </w:p>
    <w:p w:rsidR="00FF3228" w:rsidRDefault="00FF3228" w:rsidP="000305D3">
      <w:r>
        <w:t>Point 4 b) de l’ordre du jour provisoire</w:t>
      </w:r>
    </w:p>
    <w:p w:rsidR="00FF3228" w:rsidRDefault="00FF3228" w:rsidP="00AC3823">
      <w:r>
        <w:rPr>
          <w:b/>
        </w:rPr>
        <w:t xml:space="preserve">Questions relatives à la communication des dangers : </w:t>
      </w:r>
      <w:r>
        <w:rPr>
          <w:b/>
        </w:rPr>
        <w:br/>
        <w:t xml:space="preserve">amélioration des annexes 1 à 3 et poursuite de </w:t>
      </w:r>
      <w:r>
        <w:rPr>
          <w:b/>
        </w:rPr>
        <w:br/>
        <w:t>la rationalisation des conseils de prudence</w:t>
      </w:r>
    </w:p>
    <w:p w:rsidR="00FF3228" w:rsidRPr="00FF3228" w:rsidRDefault="00FF3228" w:rsidP="00FF3228">
      <w:pPr>
        <w:pStyle w:val="HChG"/>
      </w:pPr>
      <w:r w:rsidRPr="00FF3228">
        <w:tab/>
      </w:r>
      <w:r w:rsidRPr="00FF3228">
        <w:tab/>
        <w:t>Proposition de pictogrammes de mise en garde équivalant au conseil de prudence P 102 « </w:t>
      </w:r>
      <w:r w:rsidRPr="00FF3228">
        <w:rPr>
          <w:i/>
        </w:rPr>
        <w:t>Tenir hors de portée des enfants</w:t>
      </w:r>
      <w:r w:rsidRPr="00FF3228">
        <w:t> »</w:t>
      </w:r>
    </w:p>
    <w:p w:rsidR="00FF3228" w:rsidRPr="00FF3228" w:rsidRDefault="00FF3228" w:rsidP="00FF3228">
      <w:pPr>
        <w:pStyle w:val="H1G"/>
      </w:pPr>
      <w:r w:rsidRPr="00FF3228">
        <w:tab/>
      </w:r>
      <w:r w:rsidRPr="00FF3228">
        <w:tab/>
        <w:t>Communication du Royaume</w:t>
      </w:r>
      <w:r w:rsidR="00FF483A">
        <w:t>-</w:t>
      </w:r>
      <w:r w:rsidRPr="00FF3228">
        <w:t>Uni au nom du groupe de travail informel sur l’amélioration des annexes 1 à 3 du SGH</w:t>
      </w:r>
      <w:r w:rsidRPr="00D658C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F3228" w:rsidRPr="00FF3228" w:rsidRDefault="00FF3228" w:rsidP="00FF3228">
      <w:pPr>
        <w:pStyle w:val="HChG"/>
      </w:pPr>
      <w:r w:rsidRPr="00FF3228">
        <w:tab/>
      </w:r>
      <w:r w:rsidRPr="00FF3228">
        <w:tab/>
        <w:t>Contexte</w:t>
      </w:r>
    </w:p>
    <w:p w:rsidR="00FF3228" w:rsidRPr="00FF3228" w:rsidRDefault="00FF3228" w:rsidP="00FF3228">
      <w:pPr>
        <w:pStyle w:val="SingleTxtG"/>
      </w:pPr>
      <w:r w:rsidRPr="00FF3228">
        <w:t>1.</w:t>
      </w:r>
      <w:r w:rsidRPr="00FF3228">
        <w:tab/>
        <w:t>Le programme de travail pour 2017-2018 du groupe de travail informel sur l’amélioration des annexes 1 à 3 du SGH</w:t>
      </w:r>
      <w:r w:rsidR="002D086E">
        <w:t xml:space="preserve"> </w:t>
      </w:r>
      <w:r w:rsidRPr="00FF3228">
        <w:t>prévoyait l’examen d’une proposition concernant l’élaboration d’un pictogram</w:t>
      </w:r>
      <w:r w:rsidR="00D658C7">
        <w:t xml:space="preserve">me de mise en garde (filière </w:t>
      </w:r>
      <w:r w:rsidR="00D658C7" w:rsidRPr="002D76F4">
        <w:rPr>
          <w:rFonts w:eastAsia="MS Mincho"/>
          <w:szCs w:val="22"/>
        </w:rPr>
        <w:t>n</w:t>
      </w:r>
      <w:r w:rsidR="00D658C7" w:rsidRPr="002D76F4">
        <w:rPr>
          <w:rFonts w:eastAsia="MS Mincho"/>
          <w:szCs w:val="22"/>
          <w:vertAlign w:val="superscript"/>
        </w:rPr>
        <w:t>o</w:t>
      </w:r>
      <w:r w:rsidR="00D658C7">
        <w:t> </w:t>
      </w:r>
      <w:r w:rsidRPr="00FF3228">
        <w:t xml:space="preserve">3). La proposition présentée par l’AISE a été examinée lors des deux dernières réunions du Groupe de travail informel qui se sont tenues à l’occasion des trente-troisième et </w:t>
      </w:r>
      <w:proofErr w:type="gramStart"/>
      <w:r w:rsidRPr="00FF3228">
        <w:t>trente-quatrième sessions</w:t>
      </w:r>
      <w:proofErr w:type="gramEnd"/>
      <w:r w:rsidRPr="00FF3228">
        <w:t xml:space="preserve"> du Sous-</w:t>
      </w:r>
      <w:r w:rsidR="00FF483A">
        <w:t>C</w:t>
      </w:r>
      <w:r w:rsidRPr="00FF3228">
        <w:t xml:space="preserve">omité du SGH (juillet et décembre 2017). </w:t>
      </w:r>
    </w:p>
    <w:p w:rsidR="00FF3228" w:rsidRPr="00FF3228" w:rsidRDefault="00FF3228" w:rsidP="00FF3228">
      <w:pPr>
        <w:pStyle w:val="SingleTxtG"/>
      </w:pPr>
      <w:r w:rsidRPr="00FF3228">
        <w:t>2.</w:t>
      </w:r>
      <w:r w:rsidRPr="00FF3228">
        <w:tab/>
        <w:t>Plusieurs études scientifiques ont confirmé qu’une image ou un pictogramme est plus facile à reconnaître et attire intrinsèquement davantage l’œil qu’une mise en garde écrite</w:t>
      </w:r>
      <w:r w:rsidR="00D658C7">
        <w:rPr>
          <w:rStyle w:val="FootnoteReference"/>
        </w:rPr>
        <w:footnoteReference w:id="3"/>
      </w:r>
      <w:r w:rsidRPr="00FF3228">
        <w:t xml:space="preserve">. </w:t>
      </w:r>
      <w:proofErr w:type="spellStart"/>
      <w:r w:rsidRPr="00FF3228">
        <w:t>Boelhouwer</w:t>
      </w:r>
      <w:proofErr w:type="spellEnd"/>
      <w:r w:rsidR="00D658C7">
        <w:rPr>
          <w:rStyle w:val="FootnoteReference"/>
        </w:rPr>
        <w:footnoteReference w:id="4"/>
      </w:r>
      <w:r w:rsidRPr="00FF3228">
        <w:t xml:space="preserve"> a conclu que le public a tout à gagner de l’inclusion de pictogrammes de danger et de pictogrammes de mise en garde du SGH dans les fiches de données de sécurité (FDS) et les étiquettes.</w:t>
      </w:r>
    </w:p>
    <w:p w:rsidR="00FF3228" w:rsidRPr="00FF3228" w:rsidRDefault="00FF3228" w:rsidP="002D086E">
      <w:pPr>
        <w:pStyle w:val="SingleTxtG"/>
        <w:keepNext/>
      </w:pPr>
      <w:r w:rsidRPr="00FF3228">
        <w:t>3.</w:t>
      </w:r>
      <w:r w:rsidRPr="00FF3228">
        <w:tab/>
        <w:t>Environ 14</w:t>
      </w:r>
      <w:r w:rsidR="00FF483A">
        <w:t xml:space="preserve"> % </w:t>
      </w:r>
      <w:r w:rsidRPr="00FF3228">
        <w:t>de la population mondiale ne sait pas lire</w:t>
      </w:r>
      <w:r w:rsidR="00D658C7">
        <w:rPr>
          <w:rStyle w:val="FootnoteReference"/>
        </w:rPr>
        <w:footnoteReference w:id="5"/>
      </w:r>
      <w:r w:rsidRPr="00FF3228">
        <w:t>. En Afrique, dans plusieurs pays à économie émergente, le taux d’alphabétisation est inférieur à 50</w:t>
      </w:r>
      <w:r w:rsidR="00D658C7">
        <w:t> %</w:t>
      </w:r>
      <w:r w:rsidRPr="00FF3228">
        <w:t>. En</w:t>
      </w:r>
      <w:r w:rsidR="002D086E">
        <w:t> </w:t>
      </w:r>
      <w:r w:rsidRPr="00FF3228">
        <w:t>Europe, 16</w:t>
      </w:r>
      <w:r w:rsidR="00D658C7">
        <w:t xml:space="preserve"> % </w:t>
      </w:r>
      <w:proofErr w:type="gramStart"/>
      <w:r w:rsidRPr="00FF3228">
        <w:lastRenderedPageBreak/>
        <w:t>de</w:t>
      </w:r>
      <w:proofErr w:type="gramEnd"/>
      <w:r w:rsidRPr="00FF3228">
        <w:t xml:space="preserve"> la population, soit environ 55</w:t>
      </w:r>
      <w:r w:rsidR="00D658C7">
        <w:t> </w:t>
      </w:r>
      <w:r w:rsidRPr="00FF3228">
        <w:t>millions d’adultes, ont des difficultés à</w:t>
      </w:r>
      <w:r w:rsidR="002D086E">
        <w:t> </w:t>
      </w:r>
      <w:r w:rsidRPr="00FF3228">
        <w:t>lire</w:t>
      </w:r>
      <w:r w:rsidR="00D658C7">
        <w:rPr>
          <w:rStyle w:val="FootnoteReference"/>
        </w:rPr>
        <w:footnoteReference w:id="6"/>
      </w:r>
      <w:r w:rsidR="00D658C7">
        <w:t xml:space="preserve">. </w:t>
      </w:r>
      <w:r w:rsidRPr="00FF3228">
        <w:t>Il en va de même aux États-Unis d’Amérique</w:t>
      </w:r>
      <w:r w:rsidR="002D086E">
        <w:t xml:space="preserve"> </w:t>
      </w:r>
      <w:r w:rsidRPr="00FF3228">
        <w:t>où environ 14</w:t>
      </w:r>
      <w:r w:rsidR="00FF483A">
        <w:t xml:space="preserve"> % </w:t>
      </w:r>
      <w:r w:rsidRPr="00FF3228">
        <w:t>des adultes ont un niveau d’alphabétisation extrêmement bas</w:t>
      </w:r>
      <w:r w:rsidR="00D658C7">
        <w:rPr>
          <w:rStyle w:val="FootnoteReference"/>
        </w:rPr>
        <w:footnoteReference w:id="7"/>
      </w:r>
      <w:r w:rsidRPr="00FF3228">
        <w:t>.</w:t>
      </w:r>
    </w:p>
    <w:p w:rsidR="00FF3228" w:rsidRPr="00FF3228" w:rsidRDefault="00FF3228" w:rsidP="00FF3228">
      <w:pPr>
        <w:pStyle w:val="SingleTxtG"/>
      </w:pPr>
      <w:r w:rsidRPr="00FF3228">
        <w:t>4.</w:t>
      </w:r>
      <w:r w:rsidRPr="00FF3228">
        <w:tab/>
        <w:t>L’utilisation de pictogrammes de mise en garde à la fois simples et parlants est un bon moyen de transmettre au public des informations indispensables pour qu’il puisse se servir des produits chimiques dangereux en toute sécurité.</w:t>
      </w:r>
    </w:p>
    <w:p w:rsidR="00FF3228" w:rsidRPr="00FF3228" w:rsidRDefault="00FF3228" w:rsidP="00FF3228">
      <w:pPr>
        <w:pStyle w:val="SingleTxtG"/>
      </w:pPr>
      <w:r w:rsidRPr="00FF3228">
        <w:t>5.</w:t>
      </w:r>
      <w:r w:rsidRPr="00FF3228">
        <w:tab/>
        <w:t>Lorsque des enfants sont victimes de produits chimiques, il s’agit le plus souvent de matières ou de mélanges de matières plus ou moins dangereuses qui n’ont pas é</w:t>
      </w:r>
      <w:r w:rsidR="00D658C7">
        <w:t>té rangées hors de leur portée.</w:t>
      </w:r>
    </w:p>
    <w:p w:rsidR="00FF3228" w:rsidRPr="00FF3228" w:rsidRDefault="00FF3228" w:rsidP="00FF3228">
      <w:pPr>
        <w:pStyle w:val="SingleTxtG"/>
      </w:pPr>
      <w:r w:rsidRPr="00FF3228">
        <w:t>6.</w:t>
      </w:r>
      <w:r w:rsidRPr="00FF3228">
        <w:tab/>
        <w:t>La présente proposition vise à trouver le moyen, au niveau mondial, de réduire le nombre de jeunes enfants victimes de produits chimiques, par exemple en adoptant un pictogramme de mise en garde à la fois simple et parlant, qui signifie « tenir hors de portée des enfants » (conseil de prudence P</w:t>
      </w:r>
      <w:r w:rsidR="00D658C7">
        <w:t> </w:t>
      </w:r>
      <w:r w:rsidRPr="00FF3228">
        <w:t xml:space="preserve">102). Pour cela, il suffirait d’insérer ce pictogramme dans la </w:t>
      </w:r>
      <w:r w:rsidR="00D658C7">
        <w:t>s</w:t>
      </w:r>
      <w:r w:rsidRPr="00FF3228">
        <w:t>ection 5 de l’annexe 3 du SGH.</w:t>
      </w:r>
    </w:p>
    <w:p w:rsidR="00FF3228" w:rsidRPr="00FF3228" w:rsidRDefault="00D658C7" w:rsidP="00D658C7">
      <w:pPr>
        <w:pStyle w:val="HChG"/>
      </w:pPr>
      <w:r>
        <w:tab/>
      </w:r>
      <w:r>
        <w:tab/>
      </w:r>
      <w:r w:rsidR="00FF3228" w:rsidRPr="00FF3228">
        <w:t>Argumentation</w:t>
      </w:r>
    </w:p>
    <w:p w:rsidR="00FF3228" w:rsidRPr="00FF3228" w:rsidRDefault="00FF3228" w:rsidP="00FF3228">
      <w:pPr>
        <w:pStyle w:val="SingleTxtG"/>
      </w:pPr>
      <w:r w:rsidRPr="00FF3228">
        <w:t>7.</w:t>
      </w:r>
      <w:r w:rsidRPr="00FF3228">
        <w:tab/>
        <w:t xml:space="preserve">La </w:t>
      </w:r>
      <w:r w:rsidR="00D658C7">
        <w:t>s</w:t>
      </w:r>
      <w:r w:rsidRPr="00FF3228">
        <w:t>ection 2 de l’annexe 3 contient une codification des conseils de prudence qui définit les mesures qui devraient être prises pour réduire le plus possible voire empêcher les dégâts que peuvent causer les</w:t>
      </w:r>
      <w:r w:rsidR="00D658C7">
        <w:t xml:space="preserve"> produits chimiques mal rangés.</w:t>
      </w:r>
    </w:p>
    <w:p w:rsidR="00FF3228" w:rsidRPr="00FF3228" w:rsidRDefault="00FF3228" w:rsidP="00FF3228">
      <w:pPr>
        <w:pStyle w:val="SingleTxtG"/>
        <w:rPr>
          <w:i/>
        </w:rPr>
      </w:pPr>
      <w:r w:rsidRPr="00D658C7">
        <w:t>8.</w:t>
      </w:r>
      <w:r w:rsidRPr="00D658C7">
        <w:tab/>
        <w:t>La section A3.2.1.1 de l’annexe 3 précise qu’un conseil de prudence est une phrase et/ou un pictogramme et la section A3.3.1.8 que</w:t>
      </w:r>
      <w:r w:rsidRPr="00FF3228">
        <w:t xml:space="preserve"> </w:t>
      </w:r>
      <w:r w:rsidRPr="00D658C7">
        <w:t>« </w:t>
      </w:r>
      <w:r w:rsidRPr="00FF3228">
        <w:rPr>
          <w:i/>
        </w:rPr>
        <w:t>Afin de protéger également les personnes qui ont des difficultés de lecture, il pourrait être utile d’inclure à la fois des conseils de prudence sous forme de texte et sous forme de pictogramme pour transmettre l’information de plusieurs manières (voir</w:t>
      </w:r>
      <w:r w:rsidR="00D658C7">
        <w:rPr>
          <w:i/>
        </w:rPr>
        <w:t> </w:t>
      </w:r>
      <w:r w:rsidRPr="00FF3228">
        <w:rPr>
          <w:i/>
        </w:rPr>
        <w:t>1.4.4.1a</w:t>
      </w:r>
      <w:proofErr w:type="gramStart"/>
      <w:r w:rsidRPr="00FF3228">
        <w:rPr>
          <w:i/>
        </w:rPr>
        <w:t>))…</w:t>
      </w:r>
      <w:proofErr w:type="gramEnd"/>
      <w:r w:rsidRPr="00D658C7">
        <w:t> ».</w:t>
      </w:r>
    </w:p>
    <w:p w:rsidR="00FF3228" w:rsidRPr="00FF3228" w:rsidRDefault="00FF3228" w:rsidP="00FF3228">
      <w:pPr>
        <w:pStyle w:val="SingleTxtG"/>
      </w:pPr>
      <w:r w:rsidRPr="00FF3228">
        <w:t>9.</w:t>
      </w:r>
      <w:r w:rsidRPr="00FF3228">
        <w:tab/>
        <w:t>Le tableau A3.2.1 de l’annexe 3 introduit un conseil de prudence général qui doit figurer sur les produits destinés à la consommation, à savoir le P 102 « </w:t>
      </w:r>
      <w:r w:rsidRPr="00FF3228">
        <w:rPr>
          <w:i/>
        </w:rPr>
        <w:t>Tenir hors de portée des enfants</w:t>
      </w:r>
      <w:r w:rsidRPr="00D658C7">
        <w:t> ».</w:t>
      </w:r>
    </w:p>
    <w:p w:rsidR="00FF3228" w:rsidRPr="00FF3228" w:rsidRDefault="00FF3228" w:rsidP="00FF3228">
      <w:pPr>
        <w:pStyle w:val="SingleTxtG"/>
      </w:pPr>
      <w:r w:rsidRPr="00FF3228">
        <w:t>10.</w:t>
      </w:r>
      <w:r w:rsidRPr="00FF3228">
        <w:tab/>
        <w:t>Dans le do</w:t>
      </w:r>
      <w:r w:rsidR="00FF483A">
        <w:t>cument INF.6 soumis à la trente</w:t>
      </w:r>
      <w:r w:rsidRPr="00FF3228">
        <w:t xml:space="preserve">-deuxième session, la RPMASA proposait de supprimer de la </w:t>
      </w:r>
      <w:r w:rsidR="00FF483A">
        <w:t>s</w:t>
      </w:r>
      <w:r w:rsidRPr="00FF3228">
        <w:t xml:space="preserve">ection 5 de l’annexe 3 de la sixième édition révisée du SGH les pictogrammes de mise en garde tirés de la norme sud-africaine SABS </w:t>
      </w:r>
      <w:proofErr w:type="gramStart"/>
      <w:r w:rsidRPr="00FF3228">
        <w:t>0265:</w:t>
      </w:r>
      <w:proofErr w:type="gramEnd"/>
      <w:r w:rsidRPr="00FF3228">
        <w:t xml:space="preserve">1999, notamment le pictogramme équivalant au conseil de prudence </w:t>
      </w:r>
      <w:r w:rsidRPr="00D658C7">
        <w:t>« </w:t>
      </w:r>
      <w:r w:rsidRPr="00FF3228">
        <w:rPr>
          <w:i/>
        </w:rPr>
        <w:t>Garder sous cl</w:t>
      </w:r>
      <w:r w:rsidR="002D086E">
        <w:rPr>
          <w:i/>
        </w:rPr>
        <w:t>ef</w:t>
      </w:r>
      <w:r w:rsidRPr="00FF3228">
        <w:rPr>
          <w:i/>
        </w:rPr>
        <w:t xml:space="preserve"> et tenir hors de portée des enfants</w:t>
      </w:r>
      <w:r w:rsidRPr="00D658C7">
        <w:t> </w:t>
      </w:r>
      <w:r w:rsidRPr="002D086E">
        <w:rPr>
          <w:spacing w:val="-2"/>
        </w:rPr>
        <w:t>»</w:t>
      </w:r>
      <w:r w:rsidRPr="002D086E">
        <w:rPr>
          <w:i/>
          <w:spacing w:val="-2"/>
        </w:rPr>
        <w:t xml:space="preserve"> </w:t>
      </w:r>
      <w:r w:rsidRPr="002D086E">
        <w:rPr>
          <w:spacing w:val="-2"/>
        </w:rPr>
        <w:t xml:space="preserve">étant donné que la norme contenant </w:t>
      </w:r>
      <w:r w:rsidR="00D658C7" w:rsidRPr="002D086E">
        <w:rPr>
          <w:spacing w:val="-2"/>
        </w:rPr>
        <w:t>ce pictogramme n’existait</w:t>
      </w:r>
      <w:r w:rsidR="00D658C7">
        <w:t xml:space="preserve"> plus.</w:t>
      </w:r>
    </w:p>
    <w:p w:rsidR="00FF3228" w:rsidRPr="00FF3228" w:rsidRDefault="00FF3228" w:rsidP="00FF3228">
      <w:pPr>
        <w:pStyle w:val="SingleTxtG"/>
      </w:pPr>
      <w:r w:rsidRPr="00FF3228">
        <w:t>11.</w:t>
      </w:r>
      <w:r w:rsidRPr="00FF3228">
        <w:tab/>
        <w:t xml:space="preserve">Compte tenu du grand nombre d’accidents qui touchent de jeunes enfants, il convient d’insister comme il se doit sur le conseil de prudence </w:t>
      </w:r>
      <w:r w:rsidRPr="00D658C7">
        <w:t>« </w:t>
      </w:r>
      <w:r w:rsidRPr="00FF3228">
        <w:t>tenir hors de portée des enfants</w:t>
      </w:r>
      <w:r w:rsidRPr="00D658C7">
        <w:t> »</w:t>
      </w:r>
      <w:r w:rsidRPr="00FF3228">
        <w:t xml:space="preserve"> et de définir un pictogramme de mise en garde unique. </w:t>
      </w:r>
    </w:p>
    <w:p w:rsidR="00FF3228" w:rsidRPr="00FF3228" w:rsidRDefault="00FF3228" w:rsidP="00FF3228">
      <w:pPr>
        <w:pStyle w:val="SingleTxtG"/>
      </w:pPr>
      <w:r w:rsidRPr="00FF3228">
        <w:t>12.</w:t>
      </w:r>
      <w:r w:rsidRPr="00FF3228">
        <w:tab/>
        <w:t>Les activités du groupe de travail informel sur l’amélioration des annexes 1 à 3 visent à rationaliser encore davantage les conseils de prudence figurant sur les étiquettes.</w:t>
      </w:r>
    </w:p>
    <w:p w:rsidR="00FF3228" w:rsidRPr="00FF3228" w:rsidRDefault="00FF3228" w:rsidP="00FF3228">
      <w:pPr>
        <w:pStyle w:val="SingleTxtG"/>
      </w:pPr>
      <w:r w:rsidRPr="00FF3228">
        <w:t>13.</w:t>
      </w:r>
      <w:r w:rsidRPr="00FF3228">
        <w:tab/>
        <w:t xml:space="preserve">Le groupe de travail informel a décidé que les pictogrammes de mise en garde </w:t>
      </w:r>
      <w:proofErr w:type="gramStart"/>
      <w:r w:rsidRPr="00FF3228">
        <w:t>devraient</w:t>
      </w:r>
      <w:proofErr w:type="gramEnd"/>
      <w:r w:rsidRPr="00FF3228">
        <w:t xml:space="preserve"> obéir au</w:t>
      </w:r>
      <w:r w:rsidR="00D658C7">
        <w:t>x principes généraux suivants :</w:t>
      </w:r>
    </w:p>
    <w:p w:rsidR="00FF3228" w:rsidRPr="00FF3228" w:rsidRDefault="00FF3228" w:rsidP="00D658C7">
      <w:pPr>
        <w:pStyle w:val="Bullet1G"/>
      </w:pPr>
      <w:r w:rsidRPr="00FF3228">
        <w:t>Le message selon lequel les produits chimiques doivent être tenus hors de portée des enfants doit être parfaitement clair, même en l’absence de texte</w:t>
      </w:r>
      <w:r w:rsidR="00D658C7">
        <w:t> ;</w:t>
      </w:r>
    </w:p>
    <w:p w:rsidR="00FF3228" w:rsidRPr="00FF3228" w:rsidRDefault="00FF3228" w:rsidP="00D658C7">
      <w:pPr>
        <w:pStyle w:val="Bullet1G"/>
      </w:pPr>
      <w:r w:rsidRPr="00FF3228">
        <w:t>Le pictogramme devra avoir été validé au moyen d’une méthode internationalement reconnue ou une méthode équivalente par exemple la méthode d’essai de compréhensibilité de l’annexe 6 du SGH ou la méthode définie dans la norme ISO</w:t>
      </w:r>
      <w:r w:rsidR="00D658C7">
        <w:t> 9186 ;</w:t>
      </w:r>
    </w:p>
    <w:p w:rsidR="00FF3228" w:rsidRPr="00FF3228" w:rsidRDefault="00FF3228" w:rsidP="00D658C7">
      <w:pPr>
        <w:pStyle w:val="Bullet1G"/>
      </w:pPr>
      <w:r w:rsidRPr="00FF3228">
        <w:lastRenderedPageBreak/>
        <w:t>Le pictogramme ne doit pas remettre en cause la validité des informations officielles concernant les risques (par exemple éviter d’utiliser des éléments graphiques empruntés à des pictogrammes de danger, comme un carré posé sur un sommet ou d’autres symboles de danger)</w:t>
      </w:r>
      <w:r w:rsidR="00D658C7">
        <w:t> ;</w:t>
      </w:r>
    </w:p>
    <w:p w:rsidR="00FF3228" w:rsidRPr="00FF3228" w:rsidRDefault="00FF3228" w:rsidP="00D658C7">
      <w:pPr>
        <w:pStyle w:val="Bullet1G"/>
      </w:pPr>
      <w:r w:rsidRPr="00FF3228">
        <w:t>L’usage du pictogramme ne doit pas être limité par exemple par des droits d’auteurs ou des conditions d’utilisation spéciales.</w:t>
      </w:r>
    </w:p>
    <w:p w:rsidR="00FF3228" w:rsidRPr="00FF3228" w:rsidRDefault="00FF3228" w:rsidP="00FF3228">
      <w:pPr>
        <w:pStyle w:val="SingleTxtG"/>
      </w:pPr>
      <w:r w:rsidRPr="00FF3228">
        <w:t>14.</w:t>
      </w:r>
      <w:r w:rsidRPr="00FF3228">
        <w:tab/>
        <w:t>Il existe des pictogrammes qui contiennent le même message que le conseil de prudence P</w:t>
      </w:r>
      <w:r w:rsidR="00D658C7">
        <w:t> </w:t>
      </w:r>
      <w:r w:rsidRPr="00FF3228">
        <w:t>102 pour des produits de consommation visés par le SGH</w:t>
      </w:r>
      <w:r w:rsidR="00D658C7">
        <w:t>.</w:t>
      </w:r>
    </w:p>
    <w:p w:rsidR="00FF3228" w:rsidRPr="00FF3228" w:rsidRDefault="00FF3228" w:rsidP="00FF3228">
      <w:pPr>
        <w:pStyle w:val="SingleTxtG"/>
      </w:pPr>
      <w:r w:rsidRPr="00FF3228">
        <w:t>15.</w:t>
      </w:r>
      <w:r w:rsidRPr="00FF3228">
        <w:tab/>
        <w:t xml:space="preserve">Le groupe de travail informel a examiné cinq pictogrammes de ce genre et il a retenu les deux pictogrammes suivants : </w:t>
      </w:r>
    </w:p>
    <w:p w:rsidR="00FF3228" w:rsidRPr="00FF3228" w:rsidRDefault="00FF3228" w:rsidP="00D658C7">
      <w:pPr>
        <w:pStyle w:val="Bullet1G"/>
      </w:pPr>
      <w:r w:rsidRPr="00FF3228">
        <w:t>Le pictogramme « Teni</w:t>
      </w:r>
      <w:r w:rsidR="00D658C7">
        <w:t xml:space="preserve">r hors de portée des enfants » </w:t>
      </w:r>
      <w:r w:rsidRPr="00FF3228">
        <w:t>de l’AISE</w:t>
      </w:r>
      <w:r w:rsidR="00D658C7">
        <w:t> ;</w:t>
      </w:r>
    </w:p>
    <w:p w:rsidR="00FF3228" w:rsidRPr="00FF3228" w:rsidRDefault="00FF3228" w:rsidP="00D658C7">
      <w:pPr>
        <w:pStyle w:val="Bullet1G"/>
      </w:pPr>
      <w:r w:rsidRPr="00FF3228">
        <w:t>Le pictogramme mis au point par l’Association japonaise de la savonnerie et de la détergence (JSDA)</w:t>
      </w:r>
      <w:r w:rsidR="00D658C7">
        <w:t>.</w:t>
      </w:r>
    </w:p>
    <w:p w:rsidR="00FF3228" w:rsidRDefault="00FF3228" w:rsidP="002D086E">
      <w:pPr>
        <w:pStyle w:val="SingleTxtG"/>
        <w:tabs>
          <w:tab w:val="left" w:pos="5670"/>
        </w:tabs>
        <w:ind w:left="2268" w:right="-1"/>
        <w:rPr>
          <w:rFonts w:eastAsia="MS Mincho"/>
        </w:rPr>
      </w:pPr>
      <w:r>
        <w:rPr>
          <w:noProof/>
          <w:lang w:eastAsia="fr-CH"/>
        </w:rPr>
        <w:drawing>
          <wp:inline distT="0" distB="0" distL="0" distR="0">
            <wp:extent cx="942975" cy="8477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6E">
        <w:rPr>
          <w:rFonts w:cs="Calibri"/>
          <w:noProof/>
          <w:lang w:eastAsia="fr-CH"/>
        </w:rPr>
        <w:tab/>
      </w:r>
      <w:r w:rsidR="002D086E" w:rsidRPr="002D086E">
        <w:rPr>
          <w:rFonts w:cs="Calibri"/>
          <w:noProof/>
          <w:lang w:eastAsia="fr-CH"/>
        </w:rPr>
        <w:t xml:space="preserve"> </w:t>
      </w:r>
      <w:r w:rsidR="002D086E">
        <w:rPr>
          <w:rFonts w:cs="Calibri"/>
          <w:noProof/>
          <w:lang w:eastAsia="fr-CH"/>
        </w:rPr>
        <w:drawing>
          <wp:inline distT="0" distB="0" distL="0" distR="0" wp14:anchorId="6B956416" wp14:editId="5D2D872B">
            <wp:extent cx="904875" cy="857250"/>
            <wp:effectExtent l="0" t="0" r="9525" b="0"/>
            <wp:docPr id="4" name="Image 4" descr="20160511 アイ・デザイン飯塚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20160511 アイ・デザイン飯塚 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28" w:rsidRDefault="002D086E" w:rsidP="002D086E">
      <w:pPr>
        <w:pStyle w:val="SingleTxtG"/>
        <w:tabs>
          <w:tab w:val="left" w:pos="5387"/>
        </w:tabs>
        <w:ind w:left="1985"/>
      </w:pPr>
      <w:r>
        <w:rPr>
          <w:rFonts w:cs="Calibri"/>
          <w:b/>
        </w:rPr>
        <w:t>Pictogramme de l’</w:t>
      </w:r>
      <w:r w:rsidR="00FF3228">
        <w:rPr>
          <w:rFonts w:cs="Calibri"/>
          <w:b/>
        </w:rPr>
        <w:t>AISE</w:t>
      </w:r>
      <w:r w:rsidR="00FF3228">
        <w:rPr>
          <w:rFonts w:cs="Calibri"/>
          <w:b/>
        </w:rPr>
        <w:tab/>
        <w:t>Pictogram</w:t>
      </w:r>
      <w:r w:rsidR="00FF483A">
        <w:rPr>
          <w:rFonts w:cs="Calibri"/>
          <w:b/>
        </w:rPr>
        <w:t>m</w:t>
      </w:r>
      <w:r w:rsidR="00FF3228">
        <w:rPr>
          <w:rFonts w:cs="Calibri"/>
          <w:b/>
        </w:rPr>
        <w:t>e de la JSDA</w:t>
      </w:r>
    </w:p>
    <w:p w:rsidR="00FF3228" w:rsidRPr="00FF3228" w:rsidRDefault="00FF3228" w:rsidP="00FF3228">
      <w:pPr>
        <w:pStyle w:val="SingleTxtG"/>
      </w:pPr>
      <w:r w:rsidRPr="00FF3228">
        <w:t>16.</w:t>
      </w:r>
      <w:r w:rsidRPr="00FF3228">
        <w:tab/>
        <w:t>En 2017, des essais de compréhensibilité conformes au SGH ont été effectués sur le pictogramme de l’AISE signifiant « Tenir hors de portée des enfants » (en 2004, ce pictogramme avait été soumis avec succès aux essais de la norme ISO</w:t>
      </w:r>
      <w:r w:rsidR="002D086E">
        <w:t> </w:t>
      </w:r>
      <w:r w:rsidRPr="00FF3228">
        <w:t>9186). Ces essais avaient été menés co</w:t>
      </w:r>
      <w:r w:rsidR="002D086E">
        <w:t xml:space="preserve">nformément à l’annexe 6 du SGH </w:t>
      </w:r>
      <w:r w:rsidRPr="00FF3228">
        <w:t>et 2</w:t>
      </w:r>
      <w:r w:rsidR="00FF483A">
        <w:t> </w:t>
      </w:r>
      <w:r w:rsidRPr="00FF3228">
        <w:t>224 personnes avaient été interrogées dans huit pays du monde, à savoir la Suède, l’Espagne, la France, la Pologne, le Brésil, l’Afrique du Sud, les États-Unis d’Amérique et la Chine. Le pictogramme a été parfaitement compris par la grande majorité des personnes interrogées (88,6</w:t>
      </w:r>
      <w:r w:rsidR="002D086E">
        <w:t> </w:t>
      </w:r>
      <w:r w:rsidRPr="00FF3228">
        <w:t>%) et la confusion critique a été insignifiante (</w:t>
      </w:r>
      <w:r w:rsidR="002D086E">
        <w:t>&lt;</w:t>
      </w:r>
      <w:r w:rsidRPr="00FF3228">
        <w:t>1</w:t>
      </w:r>
      <w:r w:rsidR="002D086E">
        <w:t> </w:t>
      </w:r>
      <w:r w:rsidRPr="00FF3228">
        <w:t>%). Par comparaison, pour la norme Z</w:t>
      </w:r>
      <w:r w:rsidR="002D086E">
        <w:t> </w:t>
      </w:r>
      <w:r w:rsidRPr="00FF3228">
        <w:t>535</w:t>
      </w:r>
      <w:r w:rsidR="002D086E">
        <w:t> </w:t>
      </w:r>
      <w:r w:rsidRPr="00FF3228">
        <w:t>3 de l’Institut national américain de normalisation (ANSI), un pictogramme est considéré comme réussi si le taux de compréhension est supérieur à 85</w:t>
      </w:r>
      <w:r w:rsidR="002D086E">
        <w:t> </w:t>
      </w:r>
      <w:r w:rsidRPr="00FF3228">
        <w:t>% et le taux de confusion critique inférieur à 5</w:t>
      </w:r>
      <w:r w:rsidR="002D086E">
        <w:t> </w:t>
      </w:r>
      <w:r w:rsidRPr="00FF3228">
        <w:t>%.</w:t>
      </w:r>
    </w:p>
    <w:p w:rsidR="00FF3228" w:rsidRPr="00FF3228" w:rsidRDefault="00FF3228" w:rsidP="00FF3228">
      <w:pPr>
        <w:pStyle w:val="SingleTxtG"/>
      </w:pPr>
      <w:r w:rsidRPr="00FF3228">
        <w:t>17.</w:t>
      </w:r>
      <w:r w:rsidRPr="00FF3228">
        <w:tab/>
        <w:t>Le pictogramme de la JSDA a été soumis à des essais conformément à la norme japonaise JIS</w:t>
      </w:r>
      <w:r w:rsidR="002D086E">
        <w:t> </w:t>
      </w:r>
      <w:r w:rsidRPr="00FF3228">
        <w:t>S</w:t>
      </w:r>
      <w:r w:rsidR="002D086E">
        <w:t> </w:t>
      </w:r>
      <w:r w:rsidRPr="00FF3228">
        <w:t>0102 qui définit la procédure d’essai à suivre pour l’étude des symboles graphiques de mise en garde des consommateurs. On ne dispose d’aucun renseignement sur l’équivalence entre cette norme et l’annexe 6 du SGH en ce qui concerne l’évaluation de la compréhensibilité par le public mais on estime qu’elle équivaut à la norme ISO</w:t>
      </w:r>
      <w:r w:rsidR="002D086E">
        <w:t> </w:t>
      </w:r>
      <w:r w:rsidRPr="00FF3228">
        <w:t>9186. Les essais ont été effectués au Japon sur un total de 120 personnes. Le pictogramme a été considéré comme réussi conformément à la norme JIS</w:t>
      </w:r>
      <w:r w:rsidR="002D086E">
        <w:t> </w:t>
      </w:r>
      <w:r w:rsidRPr="00FF3228">
        <w:t>S</w:t>
      </w:r>
      <w:r w:rsidR="002D086E">
        <w:t> </w:t>
      </w:r>
      <w:r w:rsidRPr="00FF3228">
        <w:t>0102, puisqu’il a atteint un taux de compréhension de 96</w:t>
      </w:r>
      <w:r w:rsidR="002D086E">
        <w:t> </w:t>
      </w:r>
      <w:r w:rsidRPr="00FF3228">
        <w:t>% (alors que le taux exigé est &gt;85</w:t>
      </w:r>
      <w:r w:rsidR="002D086E">
        <w:t> </w:t>
      </w:r>
      <w:r w:rsidRPr="00FF3228">
        <w:t>%) et un taux de confusion critique de seulement 1,7</w:t>
      </w:r>
      <w:r w:rsidR="002D086E">
        <w:t> </w:t>
      </w:r>
      <w:r w:rsidRPr="00FF3228">
        <w:t>%.</w:t>
      </w:r>
    </w:p>
    <w:p w:rsidR="00FF3228" w:rsidRPr="00FF3228" w:rsidRDefault="00FF3228" w:rsidP="00FF3228">
      <w:pPr>
        <w:pStyle w:val="SingleTxtG"/>
      </w:pPr>
      <w:r w:rsidRPr="00FF3228">
        <w:t>18.</w:t>
      </w:r>
      <w:r w:rsidRPr="00FF3228">
        <w:tab/>
        <w:t>Le pictogramme de l’AISE comme celui de la JSDA satisfont aux principes généraux</w:t>
      </w:r>
      <w:r w:rsidR="002D086E">
        <w:t xml:space="preserve"> </w:t>
      </w:r>
      <w:r w:rsidRPr="00FF3228">
        <w:t>énoncés au paragraphe 13 et le groupe de travail informel a estimé qu’il faisait bien passer le message « Tenir hors de portée des enfants ». Le groupe de travail informel recommande donc que ces deux pictogrammes de mise en garde soient ajoutés à la liste des exemples figurant à la section 5 de l’annexe 3 du SGH.</w:t>
      </w:r>
    </w:p>
    <w:p w:rsidR="00FF3228" w:rsidRPr="00FF3228" w:rsidRDefault="00FF3228" w:rsidP="00FF3228">
      <w:pPr>
        <w:pStyle w:val="SingleTxtG"/>
      </w:pPr>
      <w:r w:rsidRPr="00FF3228">
        <w:t>19.</w:t>
      </w:r>
      <w:r w:rsidRPr="00FF3228">
        <w:tab/>
        <w:t>Enfin, afin de rationaliser et de simplifier l’utilisation des conseils de prudence généraux (Tableau A3.2.1 de l’annexe 3), le groupe de travail informel</w:t>
      </w:r>
      <w:r w:rsidR="002D086E">
        <w:t xml:space="preserve"> </w:t>
      </w:r>
      <w:r w:rsidRPr="00FF3228">
        <w:t>a commencé à examiner la question de savoir si ces pictogrammes de mise en garde pouvaient remplacer le conseil de prudence général P</w:t>
      </w:r>
      <w:r w:rsidR="002D086E">
        <w:t> </w:t>
      </w:r>
      <w:r w:rsidRPr="00FF3228">
        <w:t>102 mais il n’a pris aucune décision. Il continuera à examiner les conditions d’utilisation des pictogrammes de mise en garde proposés pour voir s’ils peuvent remplacer les conseils de mise en garde écrits.</w:t>
      </w:r>
    </w:p>
    <w:p w:rsidR="00FF3228" w:rsidRPr="00FF3228" w:rsidRDefault="002D086E" w:rsidP="002D086E">
      <w:pPr>
        <w:pStyle w:val="HChG"/>
      </w:pPr>
      <w:r>
        <w:lastRenderedPageBreak/>
        <w:tab/>
      </w:r>
      <w:r>
        <w:tab/>
      </w:r>
      <w:r w:rsidR="00FF3228" w:rsidRPr="00FF3228">
        <w:t>Proposition</w:t>
      </w:r>
    </w:p>
    <w:p w:rsidR="001C51AD" w:rsidRDefault="00FF3228" w:rsidP="00FF3228">
      <w:pPr>
        <w:pStyle w:val="SingleTxtG"/>
      </w:pPr>
      <w:r w:rsidRPr="00FF3228">
        <w:t>20.</w:t>
      </w:r>
      <w:r w:rsidRPr="00FF3228">
        <w:tab/>
        <w:t>Le Sous-</w:t>
      </w:r>
      <w:r w:rsidR="00FF483A">
        <w:t>C</w:t>
      </w:r>
      <w:r w:rsidRPr="00FF3228">
        <w:t>omité est prié d’accepter l’inclusion dans le SGH des nouveaux pictogrammes de mise en garde ci-dessous (sect</w:t>
      </w:r>
      <w:r w:rsidR="00FF483A">
        <w:t>. </w:t>
      </w:r>
      <w:r w:rsidRPr="00FF3228">
        <w:t>5 de l’annexe 3, à la suite du A3.5.1) et des amendements qui en découlent.</w:t>
      </w:r>
    </w:p>
    <w:p w:rsidR="00FF3228" w:rsidRDefault="001C51AD" w:rsidP="001C51AD">
      <w:pPr>
        <w:pStyle w:val="HChG"/>
        <w:rPr>
          <w:rFonts w:eastAsia="SimSun"/>
          <w:lang w:eastAsia="de-DE"/>
        </w:rPr>
      </w:pPr>
      <w:r>
        <w:br w:type="page"/>
      </w:r>
      <w:r w:rsidR="00FF3228">
        <w:rPr>
          <w:lang w:eastAsia="de-DE"/>
        </w:rPr>
        <w:lastRenderedPageBreak/>
        <w:t>Annexe</w:t>
      </w:r>
    </w:p>
    <w:p w:rsidR="00FF3228" w:rsidRDefault="00FF3228" w:rsidP="001C51AD">
      <w:pPr>
        <w:pStyle w:val="SingleTxtG"/>
        <w:rPr>
          <w:lang w:eastAsia="de-DE"/>
        </w:rPr>
      </w:pPr>
      <w:r>
        <w:rPr>
          <w:lang w:eastAsia="de-DE"/>
        </w:rPr>
        <w:t>Texte à insérer dans la section 5 de l’annexe 3 à la suite du paragraphe 3.5.1</w:t>
      </w:r>
      <w:r w:rsidR="001C51AD">
        <w:rPr>
          <w:lang w:eastAsia="de-DE"/>
        </w:rPr>
        <w:t>.</w:t>
      </w:r>
    </w:p>
    <w:p w:rsidR="00FF3228" w:rsidRPr="001C51AD" w:rsidRDefault="00FF3228" w:rsidP="001C51AD">
      <w:pPr>
        <w:pStyle w:val="SingleTxtG"/>
        <w:rPr>
          <w:b/>
          <w:i/>
          <w:lang w:eastAsia="de-DE"/>
        </w:rPr>
      </w:pPr>
      <w:r w:rsidRPr="00862D26">
        <w:rPr>
          <w:lang w:eastAsia="de-DE"/>
        </w:rPr>
        <w:t>« </w:t>
      </w:r>
      <w:r w:rsidRPr="001C51AD">
        <w:rPr>
          <w:b/>
          <w:i/>
          <w:lang w:eastAsia="de-DE"/>
        </w:rPr>
        <w:t xml:space="preserve">A3.5.2 Pictogrammes de mise en garde </w:t>
      </w:r>
      <w:r w:rsidR="00FF483A">
        <w:rPr>
          <w:b/>
          <w:i/>
          <w:lang w:eastAsia="de-DE"/>
        </w:rPr>
        <w:t>“</w:t>
      </w:r>
      <w:r w:rsidRPr="001C51AD">
        <w:rPr>
          <w:b/>
          <w:i/>
          <w:lang w:eastAsia="de-DE"/>
        </w:rPr>
        <w:t>Tenir hors de portée des enfants</w:t>
      </w:r>
      <w:r w:rsidR="00FF483A">
        <w:rPr>
          <w:b/>
          <w:i/>
          <w:lang w:eastAsia="de-DE"/>
        </w:rPr>
        <w:t>”</w:t>
      </w:r>
    </w:p>
    <w:p w:rsidR="00FF3228" w:rsidRPr="001C51AD" w:rsidRDefault="00FF3228" w:rsidP="001C51AD">
      <w:pPr>
        <w:pStyle w:val="SingleTxtG"/>
        <w:ind w:firstLine="567"/>
        <w:rPr>
          <w:i/>
          <w:lang w:eastAsia="de-DE"/>
        </w:rPr>
      </w:pPr>
      <w:r w:rsidRPr="001C51AD">
        <w:rPr>
          <w:i/>
          <w:lang w:eastAsia="de-DE"/>
        </w:rPr>
        <w:t>Les exemples ci-dessous ont la même signification que le conseil de prudence P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 xml:space="preserve">102 </w:t>
      </w:r>
      <w:r w:rsidR="00862D26">
        <w:rPr>
          <w:i/>
          <w:lang w:eastAsia="de-DE"/>
        </w:rPr>
        <w:t>“</w:t>
      </w:r>
      <w:r w:rsidRPr="001C51AD">
        <w:rPr>
          <w:i/>
          <w:lang w:eastAsia="de-DE"/>
        </w:rPr>
        <w:t>Tenir hors de portée des enfants</w:t>
      </w:r>
      <w:r w:rsidR="00862D26">
        <w:rPr>
          <w:i/>
          <w:lang w:eastAsia="de-DE"/>
        </w:rPr>
        <w:t>”</w:t>
      </w:r>
      <w:r w:rsidRPr="001C51AD">
        <w:rPr>
          <w:i/>
          <w:lang w:eastAsia="de-DE"/>
        </w:rPr>
        <w:t xml:space="preserve"> et peuvent être utilisés pour transmettre l’information de plusieurs manières, conformément aux 1.4.4.1 a) et A3.3.1.8.</w:t>
      </w:r>
    </w:p>
    <w:p w:rsidR="00FF3228" w:rsidRPr="001C51AD" w:rsidRDefault="00FF3228" w:rsidP="001C51AD">
      <w:pPr>
        <w:pStyle w:val="SingleTxtG"/>
        <w:rPr>
          <w:b/>
          <w:i/>
          <w:lang w:eastAsia="de-DE"/>
        </w:rPr>
      </w:pPr>
      <w:r w:rsidRPr="001C51AD">
        <w:rPr>
          <w:b/>
          <w:i/>
          <w:lang w:eastAsia="de-DE"/>
        </w:rPr>
        <w:t xml:space="preserve">A3.5.2.1 Pictogrammes de mise en garde de l’AISE </w:t>
      </w:r>
      <w:r w:rsidR="00862D26">
        <w:rPr>
          <w:b/>
          <w:i/>
          <w:lang w:eastAsia="de-DE"/>
        </w:rPr>
        <w:t>“</w:t>
      </w:r>
      <w:r w:rsidRPr="001C51AD">
        <w:rPr>
          <w:b/>
          <w:i/>
          <w:lang w:eastAsia="de-DE"/>
        </w:rPr>
        <w:t>Tenir hors de portée des enfants</w:t>
      </w:r>
      <w:r w:rsidR="00862D26">
        <w:rPr>
          <w:b/>
          <w:i/>
          <w:lang w:eastAsia="de-DE"/>
        </w:rPr>
        <w:t>”</w:t>
      </w:r>
    </w:p>
    <w:p w:rsidR="00FF3228" w:rsidRPr="001C51AD" w:rsidRDefault="00FF3228" w:rsidP="001C51AD">
      <w:pPr>
        <w:pStyle w:val="SingleTxtG"/>
        <w:ind w:firstLine="567"/>
        <w:rPr>
          <w:i/>
          <w:lang w:eastAsia="de-DE"/>
        </w:rPr>
      </w:pPr>
      <w:r w:rsidRPr="001C51AD">
        <w:rPr>
          <w:i/>
          <w:lang w:eastAsia="de-DE"/>
        </w:rPr>
        <w:t>Ce pictogramme, mis au point par l’Association internationale de la savonnerie, de la détergence et des produits d’entretien (AISE) est utilisé depuis 2004 en Europe et ailleurs pour les produits d’entretien ménagers.</w:t>
      </w:r>
    </w:p>
    <w:p w:rsidR="00FF3228" w:rsidRPr="001C51AD" w:rsidRDefault="00FF3228" w:rsidP="001C51AD">
      <w:pPr>
        <w:pStyle w:val="SingleTxtG"/>
        <w:ind w:firstLine="567"/>
        <w:rPr>
          <w:i/>
          <w:lang w:eastAsia="de-DE"/>
        </w:rPr>
      </w:pPr>
      <w:r w:rsidRPr="001C51AD">
        <w:rPr>
          <w:i/>
          <w:lang w:eastAsia="de-DE"/>
        </w:rPr>
        <w:t>Des essais de compréhensibilité ont été effectués avec ce pictogramme de mise en garde. Les études menées dans plusieurs pays, conformément à l’annexe 6 du SGH ont montré que ce pictogramme était compris par 88,6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>% des personnes interrogées et que la confusion</w:t>
      </w:r>
      <w:r w:rsidR="001C51AD">
        <w:rPr>
          <w:i/>
          <w:lang w:eastAsia="de-DE"/>
        </w:rPr>
        <w:t xml:space="preserve"> critique était insignifiante (</w:t>
      </w:r>
      <w:r w:rsidRPr="001C51AD">
        <w:rPr>
          <w:i/>
        </w:rPr>
        <w:t>&lt;</w:t>
      </w:r>
      <w:r w:rsidRPr="001C51AD">
        <w:rPr>
          <w:i/>
          <w:lang w:eastAsia="de-DE"/>
        </w:rPr>
        <w:t>1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>%).</w:t>
      </w:r>
    </w:p>
    <w:p w:rsidR="00FF3228" w:rsidRDefault="00FF3228" w:rsidP="001C51AD">
      <w:pPr>
        <w:pStyle w:val="ListParagraph"/>
        <w:ind w:left="1134" w:right="1133"/>
        <w:jc w:val="center"/>
        <w:rPr>
          <w:i/>
          <w:szCs w:val="20"/>
          <w:lang w:val="fr-CH" w:eastAsia="de-DE"/>
        </w:rPr>
      </w:pPr>
      <w:r>
        <w:rPr>
          <w:noProof/>
          <w:lang w:val="fr-CH" w:eastAsia="fr-CH"/>
        </w:rPr>
        <w:drawing>
          <wp:inline distT="0" distB="0" distL="0" distR="0">
            <wp:extent cx="885825" cy="9334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28" w:rsidRPr="001C51AD" w:rsidRDefault="001C51AD" w:rsidP="001C51AD">
      <w:pPr>
        <w:pStyle w:val="SingleTxtG"/>
        <w:rPr>
          <w:b/>
          <w:i/>
          <w:lang w:eastAsia="de-DE"/>
        </w:rPr>
      </w:pPr>
      <w:r>
        <w:rPr>
          <w:b/>
          <w:i/>
          <w:lang w:eastAsia="de-DE"/>
        </w:rPr>
        <w:t xml:space="preserve">A3.5.2.2 </w:t>
      </w:r>
      <w:r w:rsidR="00FF3228" w:rsidRPr="001C51AD">
        <w:rPr>
          <w:b/>
          <w:i/>
          <w:lang w:eastAsia="de-DE"/>
        </w:rPr>
        <w:t xml:space="preserve">Pictogramme de la JSDA </w:t>
      </w:r>
      <w:r w:rsidR="00862D26">
        <w:rPr>
          <w:b/>
          <w:i/>
          <w:lang w:eastAsia="de-DE"/>
        </w:rPr>
        <w:t>“</w:t>
      </w:r>
      <w:r w:rsidR="00FF3228" w:rsidRPr="001C51AD">
        <w:rPr>
          <w:b/>
          <w:i/>
          <w:lang w:eastAsia="de-DE"/>
        </w:rPr>
        <w:t>Tenir hors de portée des enfants</w:t>
      </w:r>
      <w:r w:rsidR="00862D26">
        <w:rPr>
          <w:b/>
          <w:i/>
          <w:lang w:eastAsia="de-DE"/>
        </w:rPr>
        <w:t>”</w:t>
      </w:r>
    </w:p>
    <w:p w:rsidR="00FF3228" w:rsidRPr="001C51AD" w:rsidRDefault="00FF3228" w:rsidP="001C51AD">
      <w:pPr>
        <w:pStyle w:val="SingleTxtG"/>
        <w:ind w:firstLine="567"/>
        <w:rPr>
          <w:i/>
          <w:lang w:eastAsia="de-DE"/>
        </w:rPr>
      </w:pPr>
      <w:r w:rsidRPr="001C51AD">
        <w:rPr>
          <w:i/>
          <w:lang w:eastAsia="de-DE"/>
        </w:rPr>
        <w:t xml:space="preserve">Ce pictogramme a été mis au point par </w:t>
      </w:r>
      <w:r w:rsidR="00FF483A">
        <w:rPr>
          <w:i/>
          <w:lang w:eastAsia="de-DE"/>
        </w:rPr>
        <w:t>l</w:t>
      </w:r>
      <w:r w:rsidRPr="001C51AD">
        <w:rPr>
          <w:i/>
          <w:lang w:eastAsia="de-DE"/>
        </w:rPr>
        <w:t>’Association japonaise de la savonnerie et de la détergence pour être apposé, par les fabricants qui le souhaitent, sur l’emballage des détergents ménagers au Japon.</w:t>
      </w:r>
    </w:p>
    <w:p w:rsidR="00FF3228" w:rsidRPr="001C51AD" w:rsidRDefault="00FF3228" w:rsidP="001C51AD">
      <w:pPr>
        <w:pStyle w:val="SingleTxtG"/>
        <w:ind w:firstLine="567"/>
        <w:rPr>
          <w:i/>
          <w:szCs w:val="36"/>
          <w:lang w:eastAsia="de-DE"/>
        </w:rPr>
      </w:pPr>
      <w:r w:rsidRPr="001C51AD">
        <w:rPr>
          <w:i/>
          <w:lang w:eastAsia="de-DE"/>
        </w:rPr>
        <w:t xml:space="preserve">Il a été soumis à des essais conformément à la norme JIS S 0102 : </w:t>
      </w:r>
      <w:r w:rsidR="00862D26">
        <w:rPr>
          <w:i/>
          <w:lang w:eastAsia="de-DE"/>
        </w:rPr>
        <w:t>“</w:t>
      </w:r>
      <w:r w:rsidRPr="001C51AD">
        <w:rPr>
          <w:i/>
          <w:lang w:eastAsia="de-DE"/>
        </w:rPr>
        <w:t xml:space="preserve">Procédure d’essai des symboles graphiques de </w:t>
      </w:r>
      <w:r w:rsidR="00862D26">
        <w:rPr>
          <w:i/>
          <w:lang w:eastAsia="de-DE"/>
        </w:rPr>
        <w:t>mise en garde des consommateurs”</w:t>
      </w:r>
      <w:r w:rsidRPr="001C51AD">
        <w:rPr>
          <w:i/>
          <w:lang w:eastAsia="de-DE"/>
        </w:rPr>
        <w:t>. Il a passé ces essais avec succès puisqu’il a atteint un taux de compréhension de 96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>% (alors que le taux exigé est &gt;85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>%) et un taux de confusion critique de</w:t>
      </w:r>
      <w:r w:rsidR="002D086E" w:rsidRPr="001C51AD">
        <w:rPr>
          <w:i/>
          <w:lang w:eastAsia="de-DE"/>
        </w:rPr>
        <w:t xml:space="preserve"> </w:t>
      </w:r>
      <w:r w:rsidRPr="001C51AD">
        <w:rPr>
          <w:i/>
          <w:lang w:eastAsia="de-DE"/>
        </w:rPr>
        <w:t>seulement 1,7</w:t>
      </w:r>
      <w:r w:rsidR="001C51AD">
        <w:rPr>
          <w:i/>
          <w:lang w:eastAsia="de-DE"/>
        </w:rPr>
        <w:t> </w:t>
      </w:r>
      <w:r w:rsidRPr="001C51AD">
        <w:rPr>
          <w:i/>
          <w:lang w:eastAsia="de-DE"/>
        </w:rPr>
        <w:t>%.</w:t>
      </w:r>
    </w:p>
    <w:p w:rsidR="00FF3228" w:rsidRDefault="00FF3228" w:rsidP="001C51AD">
      <w:pPr>
        <w:pStyle w:val="SingleTxtG"/>
        <w:jc w:val="center"/>
      </w:pPr>
      <w:r>
        <w:rPr>
          <w:rFonts w:cs="Calibri"/>
          <w:noProof/>
          <w:lang w:eastAsia="fr-CH"/>
        </w:rPr>
        <w:drawing>
          <wp:inline distT="0" distB="0" distL="0" distR="0">
            <wp:extent cx="857250" cy="857250"/>
            <wp:effectExtent l="0" t="0" r="0" b="0"/>
            <wp:docPr id="6" name="Image 6" descr="20160511 アイ・デザイン飯塚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60511 アイ・デザイン飯塚 01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26">
        <w:rPr>
          <w:lang w:eastAsia="de-DE"/>
        </w:rPr>
        <w:t>».</w:t>
      </w:r>
    </w:p>
    <w:p w:rsidR="00FF3228" w:rsidRPr="001C51AD" w:rsidRDefault="001C51AD" w:rsidP="001C51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3228" w:rsidRPr="001C51AD" w:rsidSect="00FF322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90" w:rsidRDefault="00696F90" w:rsidP="00F95C08">
      <w:pPr>
        <w:spacing w:line="240" w:lineRule="auto"/>
      </w:pPr>
    </w:p>
  </w:endnote>
  <w:endnote w:type="continuationSeparator" w:id="0">
    <w:p w:rsidR="00696F90" w:rsidRPr="00AC3823" w:rsidRDefault="00696F90" w:rsidP="00AC3823">
      <w:pPr>
        <w:pStyle w:val="Footer"/>
      </w:pPr>
    </w:p>
  </w:endnote>
  <w:endnote w:type="continuationNotice" w:id="1">
    <w:p w:rsidR="00696F90" w:rsidRDefault="00696F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28" w:rsidRPr="00FF3228" w:rsidRDefault="00FF3228" w:rsidP="00FF3228">
    <w:pPr>
      <w:pStyle w:val="Footer"/>
      <w:tabs>
        <w:tab w:val="right" w:pos="9638"/>
      </w:tabs>
    </w:pPr>
    <w:r w:rsidRPr="00FF3228">
      <w:rPr>
        <w:b/>
        <w:sz w:val="18"/>
      </w:rPr>
      <w:fldChar w:fldCharType="begin"/>
    </w:r>
    <w:r w:rsidRPr="00FF3228">
      <w:rPr>
        <w:b/>
        <w:sz w:val="18"/>
      </w:rPr>
      <w:instrText xml:space="preserve"> PAGE  \* MERGEFORMAT </w:instrText>
    </w:r>
    <w:r w:rsidRPr="00FF3228">
      <w:rPr>
        <w:b/>
        <w:sz w:val="18"/>
      </w:rPr>
      <w:fldChar w:fldCharType="separate"/>
    </w:r>
    <w:r w:rsidR="00D02513">
      <w:rPr>
        <w:b/>
        <w:noProof/>
        <w:sz w:val="18"/>
      </w:rPr>
      <w:t>4</w:t>
    </w:r>
    <w:r w:rsidRPr="00FF3228">
      <w:rPr>
        <w:b/>
        <w:sz w:val="18"/>
      </w:rPr>
      <w:fldChar w:fldCharType="end"/>
    </w:r>
    <w:r>
      <w:rPr>
        <w:b/>
        <w:sz w:val="18"/>
      </w:rPr>
      <w:tab/>
    </w:r>
    <w:r>
      <w:t>GE.18-05719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28" w:rsidRPr="00FF3228" w:rsidRDefault="00FF3228" w:rsidP="00FF3228">
    <w:pPr>
      <w:pStyle w:val="Footer"/>
      <w:tabs>
        <w:tab w:val="right" w:pos="9638"/>
      </w:tabs>
      <w:rPr>
        <w:b/>
        <w:sz w:val="18"/>
      </w:rPr>
    </w:pPr>
    <w:r>
      <w:t>GE.18-05719</w:t>
    </w:r>
    <w:r>
      <w:tab/>
    </w:r>
    <w:r w:rsidRPr="00FF3228">
      <w:rPr>
        <w:b/>
        <w:sz w:val="18"/>
      </w:rPr>
      <w:fldChar w:fldCharType="begin"/>
    </w:r>
    <w:r w:rsidRPr="00FF3228">
      <w:rPr>
        <w:b/>
        <w:sz w:val="18"/>
      </w:rPr>
      <w:instrText xml:space="preserve"> PAGE  \* MERGEFORMAT </w:instrText>
    </w:r>
    <w:r w:rsidRPr="00FF3228">
      <w:rPr>
        <w:b/>
        <w:sz w:val="18"/>
      </w:rPr>
      <w:fldChar w:fldCharType="separate"/>
    </w:r>
    <w:r w:rsidR="00D02513">
      <w:rPr>
        <w:b/>
        <w:noProof/>
        <w:sz w:val="18"/>
      </w:rPr>
      <w:t>5</w:t>
    </w:r>
    <w:r w:rsidRPr="00FF32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F3228" w:rsidRDefault="00FF3228" w:rsidP="00FF322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05719</w:t>
    </w:r>
    <w:r w:rsidR="002D086E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2D086E">
      <w:rPr>
        <w:sz w:val="20"/>
      </w:rPr>
      <w:t xml:space="preserve">    020518    170518</w:t>
    </w:r>
    <w:r>
      <w:rPr>
        <w:sz w:val="20"/>
      </w:rPr>
      <w:br/>
    </w:r>
    <w:r w:rsidRPr="00FF3228">
      <w:rPr>
        <w:rFonts w:ascii="C39T30Lfz" w:hAnsi="C39T30Lfz"/>
        <w:sz w:val="56"/>
      </w:rPr>
      <w:t></w:t>
    </w:r>
    <w:r w:rsidRPr="00FF3228">
      <w:rPr>
        <w:rFonts w:ascii="C39T30Lfz" w:hAnsi="C39T30Lfz"/>
        <w:sz w:val="56"/>
      </w:rPr>
      <w:t></w:t>
    </w:r>
    <w:r w:rsidRPr="00FF3228">
      <w:rPr>
        <w:rFonts w:ascii="C39T30Lfz" w:hAnsi="C39T30Lfz"/>
        <w:sz w:val="56"/>
      </w:rPr>
      <w:t></w:t>
    </w:r>
    <w:r w:rsidRPr="00FF3228">
      <w:rPr>
        <w:rFonts w:ascii="C39T30Lfz" w:hAnsi="C39T30Lfz"/>
        <w:sz w:val="56"/>
      </w:rPr>
      <w:t></w:t>
    </w:r>
    <w:r w:rsidRPr="00FF3228">
      <w:rPr>
        <w:rFonts w:ascii="C39T30Lfz" w:hAnsi="C39T30Lfz"/>
        <w:sz w:val="56"/>
      </w:rPr>
      <w:t></w:t>
    </w:r>
    <w:r w:rsidRPr="00FF3228">
      <w:rPr>
        <w:rFonts w:ascii="C39T30Lfz" w:hAnsi="C39T30Lfz"/>
        <w:sz w:val="56"/>
      </w:rPr>
      <w:t></w:t>
    </w:r>
    <w:r w:rsidRPr="00FF3228">
      <w:rPr>
        <w:rFonts w:ascii="C39T30Lfz" w:hAnsi="C39T30Lfz"/>
        <w:sz w:val="56"/>
      </w:rPr>
      <w:t></w:t>
    </w:r>
    <w:r w:rsidRPr="00FF3228">
      <w:rPr>
        <w:rFonts w:ascii="C39T30Lfz" w:hAnsi="C39T30Lfz"/>
        <w:sz w:val="56"/>
      </w:rPr>
      <w:t></w:t>
    </w:r>
    <w:r w:rsidRPr="00FF322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8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8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90" w:rsidRPr="00AC3823" w:rsidRDefault="00696F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6F90" w:rsidRPr="00AC3823" w:rsidRDefault="00696F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6F90" w:rsidRPr="00AC3823" w:rsidRDefault="00696F90">
      <w:pPr>
        <w:spacing w:line="240" w:lineRule="auto"/>
        <w:rPr>
          <w:sz w:val="2"/>
          <w:szCs w:val="2"/>
        </w:rPr>
      </w:pPr>
    </w:p>
  </w:footnote>
  <w:footnote w:id="2">
    <w:p w:rsidR="00FF3228" w:rsidRPr="00FF3228" w:rsidRDefault="00FF3228">
      <w:pPr>
        <w:pStyle w:val="FootnoteText"/>
      </w:pPr>
      <w:r>
        <w:rPr>
          <w:rStyle w:val="FootnoteReference"/>
        </w:rPr>
        <w:tab/>
      </w:r>
      <w:r w:rsidRPr="00FF322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Sous-</w:t>
      </w:r>
      <w:r w:rsidR="00FF483A">
        <w:t>C</w:t>
      </w:r>
      <w:r>
        <w:t>omité pour la période biennale 2017</w:t>
      </w:r>
      <w:r w:rsidR="00FF483A">
        <w:t>-</w:t>
      </w:r>
      <w:r>
        <w:t>2018, approuvé par le Comité à sa huitième session (voir ST/SG/AC.10/C.3/100, par. 98 et ST/SG/AC.10/44, par. 14).</w:t>
      </w:r>
    </w:p>
  </w:footnote>
  <w:footnote w:id="3">
    <w:p w:rsidR="00D658C7" w:rsidRDefault="00D658C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proofErr w:type="spellStart"/>
      <w:r>
        <w:t>Dorris</w:t>
      </w:r>
      <w:proofErr w:type="spellEnd"/>
      <w:r>
        <w:t xml:space="preserve"> &amp; </w:t>
      </w:r>
      <w:proofErr w:type="spellStart"/>
      <w:r>
        <w:t>Purswell</w:t>
      </w:r>
      <w:proofErr w:type="spellEnd"/>
      <w:r>
        <w:t>, (1978).</w:t>
      </w:r>
    </w:p>
  </w:footnote>
  <w:footnote w:id="4">
    <w:p w:rsidR="00D658C7" w:rsidRDefault="00D658C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proofErr w:type="spellStart"/>
      <w:r>
        <w:rPr>
          <w:rFonts w:cs="Calibri"/>
        </w:rPr>
        <w:t>Boelhouwer</w:t>
      </w:r>
      <w:proofErr w:type="spellEnd"/>
      <w:r>
        <w:rPr>
          <w:rFonts w:cs="Calibri"/>
        </w:rPr>
        <w:t xml:space="preserve"> (2013).</w:t>
      </w:r>
    </w:p>
  </w:footnote>
  <w:footnote w:id="5">
    <w:p w:rsidR="00D658C7" w:rsidRDefault="00D658C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UNESCO (2016).</w:t>
      </w:r>
    </w:p>
  </w:footnote>
  <w:footnote w:id="6">
    <w:p w:rsidR="00D658C7" w:rsidRDefault="00D658C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Ils peuvent au mieux lire des textes faciles ou retrouver des éléments d’information simples mais ne sont pas capables de lire des textes longs ou compliqués − comme une étiquette du SGH − ni d’aller au-delà de ce qui est dit explicitement (Réseau européen des politiques d’alphabétisation).</w:t>
      </w:r>
    </w:p>
  </w:footnote>
  <w:footnote w:id="7">
    <w:p w:rsidR="00D658C7" w:rsidRDefault="00D658C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Département de l’éducation des États-Unis (2013).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28" w:rsidRPr="00FF3228" w:rsidRDefault="00D0251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28" w:rsidRPr="00FF3228" w:rsidRDefault="00D02513" w:rsidP="00FF32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90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C51AD"/>
    <w:rsid w:val="001F525A"/>
    <w:rsid w:val="00223272"/>
    <w:rsid w:val="00224CAB"/>
    <w:rsid w:val="0024779E"/>
    <w:rsid w:val="00283190"/>
    <w:rsid w:val="002832AC"/>
    <w:rsid w:val="002D086E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96F90"/>
    <w:rsid w:val="0071601D"/>
    <w:rsid w:val="007A62E6"/>
    <w:rsid w:val="0080684C"/>
    <w:rsid w:val="00862D26"/>
    <w:rsid w:val="00871C75"/>
    <w:rsid w:val="008776DC"/>
    <w:rsid w:val="008B40CD"/>
    <w:rsid w:val="008E29E8"/>
    <w:rsid w:val="00945DDC"/>
    <w:rsid w:val="009705C8"/>
    <w:rsid w:val="009C1CF4"/>
    <w:rsid w:val="009E6DAD"/>
    <w:rsid w:val="00A30353"/>
    <w:rsid w:val="00A37095"/>
    <w:rsid w:val="00AA1569"/>
    <w:rsid w:val="00AC3823"/>
    <w:rsid w:val="00AE323C"/>
    <w:rsid w:val="00B00181"/>
    <w:rsid w:val="00B00B0D"/>
    <w:rsid w:val="00B765F7"/>
    <w:rsid w:val="00BA0CA9"/>
    <w:rsid w:val="00C02897"/>
    <w:rsid w:val="00D02513"/>
    <w:rsid w:val="00D3439C"/>
    <w:rsid w:val="00D658C7"/>
    <w:rsid w:val="00DB1831"/>
    <w:rsid w:val="00DD3BFD"/>
    <w:rsid w:val="00DF6678"/>
    <w:rsid w:val="00EF2E22"/>
    <w:rsid w:val="00F01738"/>
    <w:rsid w:val="00F660DF"/>
    <w:rsid w:val="00F730C8"/>
    <w:rsid w:val="00F95C08"/>
    <w:rsid w:val="00FD1A88"/>
    <w:rsid w:val="00FF322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F42813-37BF-4790-892D-BF71C544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F322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F3228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ST/SG/AC.10/C.4/2018/5</vt:lpstr>
      <vt:lpstr>ST/SG/AC.10/C.4/2018/5</vt:lpstr>
    </vt:vector>
  </TitlesOfParts>
  <Company>DCM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ST/SG/AC.10/C.4/2018/5</dc:title>
  <dc:subject/>
  <dc:creator>Fabienne CRELIER</dc:creator>
  <cp:keywords/>
  <cp:lastModifiedBy>Laurence Berthet</cp:lastModifiedBy>
  <cp:revision>3</cp:revision>
  <cp:lastPrinted>2018-05-18T06:42:00Z</cp:lastPrinted>
  <dcterms:created xsi:type="dcterms:W3CDTF">2018-05-18T06:42:00Z</dcterms:created>
  <dcterms:modified xsi:type="dcterms:W3CDTF">2018-05-18T06:42:00Z</dcterms:modified>
</cp:coreProperties>
</file>