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F1DC4" w:rsidRPr="00B4311E" w14:paraId="51D578F4" w14:textId="77777777" w:rsidTr="00720D8D">
        <w:trPr>
          <w:cantSplit/>
          <w:trHeight w:hRule="exact" w:val="851"/>
        </w:trPr>
        <w:tc>
          <w:tcPr>
            <w:tcW w:w="9639" w:type="dxa"/>
            <w:tcBorders>
              <w:bottom w:val="single" w:sz="4" w:space="0" w:color="auto"/>
            </w:tcBorders>
            <w:vAlign w:val="bottom"/>
          </w:tcPr>
          <w:p w14:paraId="09E089D4" w14:textId="2F43B4EF" w:rsidR="00BC6610" w:rsidRPr="00BC6610" w:rsidRDefault="00BC6610" w:rsidP="00BC6610">
            <w:pPr>
              <w:jc w:val="right"/>
              <w:rPr>
                <w:b/>
                <w:sz w:val="40"/>
                <w:szCs w:val="40"/>
                <w:lang w:val="de-DE"/>
              </w:rPr>
            </w:pPr>
            <w:bookmarkStart w:id="0" w:name="_GoBack"/>
            <w:bookmarkEnd w:id="0"/>
            <w:r w:rsidRPr="00BC6610">
              <w:rPr>
                <w:b/>
                <w:sz w:val="40"/>
                <w:szCs w:val="40"/>
                <w:lang w:val="de-DE"/>
              </w:rPr>
              <w:t>UN/SCETDG/53/INF.</w:t>
            </w:r>
            <w:r w:rsidR="0068050E">
              <w:rPr>
                <w:b/>
                <w:sz w:val="40"/>
                <w:szCs w:val="40"/>
                <w:lang w:val="de-DE"/>
              </w:rPr>
              <w:t>20</w:t>
            </w:r>
          </w:p>
          <w:p w14:paraId="4CDC0C92" w14:textId="77777777" w:rsidR="0068050E" w:rsidRDefault="00BC6610" w:rsidP="00BC6610">
            <w:pPr>
              <w:jc w:val="right"/>
              <w:rPr>
                <w:b/>
                <w:sz w:val="40"/>
                <w:szCs w:val="40"/>
                <w:lang w:val="de-DE"/>
              </w:rPr>
            </w:pPr>
            <w:r w:rsidRPr="00BC6610">
              <w:rPr>
                <w:b/>
                <w:sz w:val="40"/>
                <w:szCs w:val="40"/>
                <w:lang w:val="de-DE"/>
              </w:rPr>
              <w:t>UN/SCEGHS/35/INF.</w:t>
            </w:r>
            <w:r w:rsidR="0068050E">
              <w:rPr>
                <w:b/>
                <w:sz w:val="40"/>
                <w:szCs w:val="40"/>
                <w:lang w:val="de-DE"/>
              </w:rPr>
              <w:t>13</w:t>
            </w:r>
          </w:p>
          <w:p w14:paraId="06143F85" w14:textId="42CCFB93" w:rsidR="001F1DC4" w:rsidRPr="00BC6610" w:rsidRDefault="00BC6610" w:rsidP="00BC6610">
            <w:pPr>
              <w:jc w:val="right"/>
              <w:rPr>
                <w:b/>
                <w:sz w:val="40"/>
                <w:szCs w:val="40"/>
                <w:lang w:val="de-DE"/>
              </w:rPr>
            </w:pPr>
            <w:r>
              <w:rPr>
                <w:b/>
                <w:sz w:val="40"/>
                <w:szCs w:val="40"/>
                <w:lang w:val="de-DE"/>
              </w:rPr>
              <w:t>y</w:t>
            </w:r>
          </w:p>
        </w:tc>
      </w:tr>
    </w:tbl>
    <w:tbl>
      <w:tblPr>
        <w:tblW w:w="9645" w:type="dxa"/>
        <w:tblLayout w:type="fixed"/>
        <w:tblLook w:val="04A0" w:firstRow="1" w:lastRow="0" w:firstColumn="1" w:lastColumn="0" w:noHBand="0" w:noVBand="1"/>
      </w:tblPr>
      <w:tblGrid>
        <w:gridCol w:w="4652"/>
        <w:gridCol w:w="4993"/>
      </w:tblGrid>
      <w:tr w:rsidR="00BC6610" w:rsidRPr="00BC6610" w14:paraId="34835489" w14:textId="77777777" w:rsidTr="00BC6610">
        <w:tc>
          <w:tcPr>
            <w:tcW w:w="9645" w:type="dxa"/>
            <w:gridSpan w:val="2"/>
            <w:tcMar>
              <w:top w:w="142" w:type="dxa"/>
              <w:left w:w="108" w:type="dxa"/>
              <w:bottom w:w="142" w:type="dxa"/>
              <w:right w:w="108" w:type="dxa"/>
            </w:tcMar>
          </w:tcPr>
          <w:p w14:paraId="058E05DB" w14:textId="47FDA140" w:rsidR="00BC6610" w:rsidRPr="00BC6610" w:rsidRDefault="00BC6610" w:rsidP="00A8675B">
            <w:pPr>
              <w:tabs>
                <w:tab w:val="right" w:pos="9214"/>
              </w:tabs>
              <w:rPr>
                <w:rFonts w:eastAsia="Times New Roman"/>
              </w:rPr>
            </w:pPr>
            <w:r w:rsidRPr="00BC6610">
              <w:rPr>
                <w:rFonts w:eastAsia="Times New Roman"/>
                <w:b/>
                <w:sz w:val="24"/>
                <w:szCs w:val="24"/>
              </w:rPr>
              <w:t>Committee of Experts on the Transport of Dangerous Goods</w:t>
            </w:r>
            <w:r w:rsidRPr="00BC6610">
              <w:rPr>
                <w:rFonts w:eastAsia="Times New Roman"/>
                <w:b/>
                <w:sz w:val="24"/>
                <w:szCs w:val="24"/>
              </w:rPr>
              <w:tab/>
            </w:r>
            <w:r w:rsidRPr="00BC6610">
              <w:rPr>
                <w:rFonts w:eastAsia="Times New Roman"/>
                <w:b/>
                <w:sz w:val="24"/>
                <w:szCs w:val="24"/>
              </w:rPr>
              <w:br/>
              <w:t>and on the Globally Harmonized System of Classification</w:t>
            </w:r>
            <w:r w:rsidRPr="00BC6610">
              <w:rPr>
                <w:rFonts w:eastAsia="Times New Roman"/>
                <w:b/>
                <w:sz w:val="24"/>
                <w:szCs w:val="24"/>
              </w:rPr>
              <w:br/>
              <w:t>and Labelling of Chemicals</w:t>
            </w:r>
            <w:r w:rsidRPr="00BC6610">
              <w:rPr>
                <w:rFonts w:eastAsia="Times New Roman"/>
                <w:b/>
              </w:rPr>
              <w:tab/>
            </w:r>
            <w:r w:rsidR="00666718">
              <w:rPr>
                <w:rFonts w:eastAsia="Times New Roman"/>
                <w:b/>
              </w:rPr>
              <w:t>6</w:t>
            </w:r>
            <w:r w:rsidR="00A8675B">
              <w:rPr>
                <w:rFonts w:eastAsia="Times New Roman"/>
                <w:b/>
              </w:rPr>
              <w:t xml:space="preserve"> June</w:t>
            </w:r>
            <w:r w:rsidRPr="00BC6610">
              <w:rPr>
                <w:rFonts w:eastAsia="Times New Roman"/>
                <w:b/>
                <w:sz w:val="18"/>
                <w:szCs w:val="24"/>
              </w:rPr>
              <w:t xml:space="preserve"> </w:t>
            </w:r>
            <w:r>
              <w:rPr>
                <w:rFonts w:eastAsia="Times New Roman"/>
                <w:b/>
                <w:sz w:val="18"/>
                <w:szCs w:val="24"/>
              </w:rPr>
              <w:t>2018</w:t>
            </w:r>
          </w:p>
        </w:tc>
      </w:tr>
      <w:tr w:rsidR="00BC6610" w:rsidRPr="00BC6610" w14:paraId="0B69ADB9" w14:textId="77777777" w:rsidTr="00BC6610">
        <w:tc>
          <w:tcPr>
            <w:tcW w:w="4652" w:type="dxa"/>
            <w:tcMar>
              <w:top w:w="57" w:type="dxa"/>
              <w:left w:w="108" w:type="dxa"/>
              <w:bottom w:w="0" w:type="dxa"/>
              <w:right w:w="108" w:type="dxa"/>
            </w:tcMar>
            <w:vAlign w:val="center"/>
          </w:tcPr>
          <w:p w14:paraId="2D4EEB88" w14:textId="77777777" w:rsidR="00BC6610" w:rsidRPr="00BC6610" w:rsidRDefault="00BC6610" w:rsidP="00BC6610">
            <w:pPr>
              <w:spacing w:before="120"/>
              <w:rPr>
                <w:rFonts w:eastAsia="Times New Roman"/>
                <w:b/>
              </w:rPr>
            </w:pPr>
            <w:r w:rsidRPr="00BC6610">
              <w:rPr>
                <w:rFonts w:eastAsia="Times New Roman"/>
                <w:b/>
              </w:rPr>
              <w:t xml:space="preserve">Sub-Committee of Experts on the </w:t>
            </w:r>
            <w:r w:rsidRPr="00BC6610">
              <w:rPr>
                <w:rFonts w:eastAsia="Times New Roman"/>
                <w:b/>
              </w:rPr>
              <w:br/>
              <w:t xml:space="preserve">Transport of Dangerous Goods </w:t>
            </w:r>
          </w:p>
        </w:tc>
        <w:tc>
          <w:tcPr>
            <w:tcW w:w="4993" w:type="dxa"/>
            <w:tcMar>
              <w:top w:w="57" w:type="dxa"/>
              <w:left w:w="108" w:type="dxa"/>
              <w:bottom w:w="0" w:type="dxa"/>
              <w:right w:w="108" w:type="dxa"/>
            </w:tcMar>
            <w:vAlign w:val="center"/>
          </w:tcPr>
          <w:p w14:paraId="47AE7920" w14:textId="77777777" w:rsidR="00BC6610" w:rsidRPr="00BC6610" w:rsidRDefault="00BC6610" w:rsidP="00BC6610">
            <w:pPr>
              <w:spacing w:before="120"/>
              <w:rPr>
                <w:rFonts w:eastAsia="Times New Roman"/>
                <w:b/>
              </w:rPr>
            </w:pPr>
            <w:r w:rsidRPr="00BC6610">
              <w:rPr>
                <w:rFonts w:eastAsia="Times New Roman"/>
                <w:b/>
              </w:rPr>
              <w:t>Sub-Committee of Experts on the Globally Harmonized System of Classification and Labelling of Chemicals</w:t>
            </w:r>
          </w:p>
        </w:tc>
      </w:tr>
      <w:tr w:rsidR="00BC6610" w:rsidRPr="00BC6610" w14:paraId="439BBC2F" w14:textId="77777777" w:rsidTr="00BC6610">
        <w:tc>
          <w:tcPr>
            <w:tcW w:w="4652" w:type="dxa"/>
            <w:tcMar>
              <w:top w:w="57" w:type="dxa"/>
              <w:left w:w="108" w:type="dxa"/>
              <w:bottom w:w="0" w:type="dxa"/>
              <w:right w:w="108" w:type="dxa"/>
            </w:tcMar>
          </w:tcPr>
          <w:p w14:paraId="703A57AA" w14:textId="77777777" w:rsidR="00BC6610" w:rsidRPr="00BC6610" w:rsidRDefault="00BC6610" w:rsidP="00BC6610">
            <w:pPr>
              <w:spacing w:before="120"/>
              <w:ind w:left="34" w:hanging="34"/>
              <w:rPr>
                <w:rFonts w:eastAsia="Times New Roman"/>
                <w:b/>
              </w:rPr>
            </w:pPr>
            <w:r w:rsidRPr="00BC6610">
              <w:rPr>
                <w:rFonts w:eastAsia="Times New Roman"/>
                <w:b/>
              </w:rPr>
              <w:t>Fift</w:t>
            </w:r>
            <w:r>
              <w:rPr>
                <w:rFonts w:eastAsia="Times New Roman"/>
                <w:b/>
              </w:rPr>
              <w:t>y-third</w:t>
            </w:r>
            <w:r w:rsidRPr="00BC6610">
              <w:rPr>
                <w:rFonts w:eastAsia="Times New Roman"/>
                <w:b/>
              </w:rPr>
              <w:t xml:space="preserve"> session</w:t>
            </w:r>
          </w:p>
        </w:tc>
        <w:tc>
          <w:tcPr>
            <w:tcW w:w="4993" w:type="dxa"/>
            <w:tcMar>
              <w:top w:w="57" w:type="dxa"/>
              <w:left w:w="108" w:type="dxa"/>
              <w:bottom w:w="0" w:type="dxa"/>
              <w:right w:w="108" w:type="dxa"/>
            </w:tcMar>
          </w:tcPr>
          <w:p w14:paraId="0941FD36" w14:textId="77777777" w:rsidR="00BC6610" w:rsidRPr="00BC6610" w:rsidRDefault="00BC6610" w:rsidP="00BC6610">
            <w:pPr>
              <w:spacing w:before="120"/>
              <w:rPr>
                <w:rFonts w:eastAsia="Times New Roman"/>
                <w:b/>
                <w:highlight w:val="yellow"/>
              </w:rPr>
            </w:pPr>
            <w:r w:rsidRPr="00BC6610">
              <w:rPr>
                <w:rFonts w:eastAsia="Times New Roman"/>
                <w:b/>
              </w:rPr>
              <w:t>Thirty-</w:t>
            </w:r>
            <w:r>
              <w:rPr>
                <w:rFonts w:eastAsia="Times New Roman"/>
                <w:b/>
              </w:rPr>
              <w:t>fifth</w:t>
            </w:r>
            <w:r w:rsidRPr="00BC6610">
              <w:rPr>
                <w:rFonts w:eastAsia="Times New Roman"/>
                <w:b/>
              </w:rPr>
              <w:t xml:space="preserve"> session</w:t>
            </w:r>
          </w:p>
        </w:tc>
      </w:tr>
      <w:tr w:rsidR="00BC6610" w:rsidRPr="00BC6610" w14:paraId="00E64F13" w14:textId="77777777" w:rsidTr="00BC6610">
        <w:tc>
          <w:tcPr>
            <w:tcW w:w="4652" w:type="dxa"/>
            <w:tcMar>
              <w:top w:w="28" w:type="dxa"/>
              <w:left w:w="108" w:type="dxa"/>
              <w:bottom w:w="0" w:type="dxa"/>
              <w:right w:w="108" w:type="dxa"/>
            </w:tcMar>
          </w:tcPr>
          <w:p w14:paraId="488F406C" w14:textId="22957A4D" w:rsidR="00BC6610" w:rsidRPr="00BC6610" w:rsidRDefault="00BC6610" w:rsidP="00BC6610">
            <w:pPr>
              <w:tabs>
                <w:tab w:val="left" w:pos="0"/>
                <w:tab w:val="left" w:pos="6361"/>
                <w:tab w:val="left" w:pos="6939"/>
              </w:tabs>
              <w:spacing w:before="40"/>
              <w:ind w:left="34" w:hanging="34"/>
              <w:outlineLvl w:val="0"/>
              <w:rPr>
                <w:rFonts w:eastAsia="Times New Roman"/>
                <w:bCs/>
              </w:rPr>
            </w:pPr>
            <w:r w:rsidRPr="00BC6610">
              <w:rPr>
                <w:rFonts w:eastAsia="Times New Roman"/>
                <w:bCs/>
              </w:rPr>
              <w:t>Geneva, 2</w:t>
            </w:r>
            <w:r>
              <w:rPr>
                <w:rFonts w:eastAsia="Times New Roman"/>
                <w:bCs/>
              </w:rPr>
              <w:t>5</w:t>
            </w:r>
            <w:r w:rsidRPr="00BC6610">
              <w:rPr>
                <w:rFonts w:eastAsia="Times New Roman"/>
                <w:bCs/>
              </w:rPr>
              <w:t xml:space="preserve"> </w:t>
            </w:r>
            <w:r>
              <w:rPr>
                <w:rFonts w:eastAsia="Times New Roman"/>
                <w:bCs/>
              </w:rPr>
              <w:t>June</w:t>
            </w:r>
            <w:r w:rsidR="00666718">
              <w:rPr>
                <w:rFonts w:eastAsia="Times New Roman"/>
                <w:bCs/>
              </w:rPr>
              <w:t>-</w:t>
            </w:r>
            <w:r>
              <w:rPr>
                <w:rFonts w:eastAsia="Times New Roman"/>
              </w:rPr>
              <w:t>4 July</w:t>
            </w:r>
            <w:r w:rsidRPr="00BC6610">
              <w:rPr>
                <w:rFonts w:eastAsia="Times New Roman"/>
              </w:rPr>
              <w:t xml:space="preserve"> 201</w:t>
            </w:r>
            <w:r>
              <w:rPr>
                <w:rFonts w:eastAsia="Times New Roman"/>
              </w:rPr>
              <w:t>8</w:t>
            </w:r>
          </w:p>
          <w:p w14:paraId="3AA757E9" w14:textId="00959C96" w:rsidR="00BC6610" w:rsidRPr="00495ED2" w:rsidRDefault="00BC6610" w:rsidP="00BC6610">
            <w:pPr>
              <w:spacing w:before="40"/>
              <w:ind w:left="34" w:hanging="34"/>
              <w:rPr>
                <w:rFonts w:eastAsia="Times New Roman"/>
              </w:rPr>
            </w:pPr>
            <w:r w:rsidRPr="00495ED2">
              <w:rPr>
                <w:rFonts w:eastAsia="Times New Roman"/>
              </w:rPr>
              <w:t xml:space="preserve">Item 10 </w:t>
            </w:r>
            <w:r w:rsidR="004E64EE" w:rsidRPr="00495ED2">
              <w:rPr>
                <w:rFonts w:eastAsia="Times New Roman"/>
              </w:rPr>
              <w:t xml:space="preserve">(e) </w:t>
            </w:r>
            <w:r w:rsidRPr="00495ED2">
              <w:rPr>
                <w:rFonts w:eastAsia="Times New Roman"/>
              </w:rPr>
              <w:t>of the provisional agenda</w:t>
            </w:r>
          </w:p>
          <w:p w14:paraId="40E455F8" w14:textId="6B674D56" w:rsidR="00BC6610" w:rsidRPr="00CB0716" w:rsidRDefault="00CB0716" w:rsidP="00BC6610">
            <w:pPr>
              <w:spacing w:before="40"/>
              <w:ind w:left="34" w:hanging="34"/>
              <w:rPr>
                <w:rFonts w:eastAsia="Times New Roman"/>
                <w:b/>
                <w:bCs/>
              </w:rPr>
            </w:pPr>
            <w:r w:rsidRPr="00495ED2">
              <w:rPr>
                <w:b/>
                <w:bCs/>
              </w:rPr>
              <w:t>Issues relating to the Globally Harmonized System of Classification and Labelling of Chemicals:</w:t>
            </w:r>
            <w:r w:rsidR="004E64EE">
              <w:rPr>
                <w:b/>
                <w:bCs/>
              </w:rPr>
              <w:t xml:space="preserve"> Joint work with the GHS Sub-Committee</w:t>
            </w:r>
          </w:p>
        </w:tc>
        <w:tc>
          <w:tcPr>
            <w:tcW w:w="4993" w:type="dxa"/>
            <w:tcMar>
              <w:top w:w="28" w:type="dxa"/>
              <w:left w:w="108" w:type="dxa"/>
              <w:bottom w:w="0" w:type="dxa"/>
              <w:right w:w="108" w:type="dxa"/>
            </w:tcMar>
          </w:tcPr>
          <w:p w14:paraId="12C2DA25" w14:textId="294FB428" w:rsidR="00BC6610" w:rsidRPr="00BC6610" w:rsidRDefault="00BC6610" w:rsidP="00BC6610">
            <w:pPr>
              <w:jc w:val="both"/>
              <w:rPr>
                <w:rFonts w:eastAsia="Times New Roman"/>
              </w:rPr>
            </w:pPr>
            <w:r w:rsidRPr="00BC6610">
              <w:rPr>
                <w:rFonts w:eastAsia="Times New Roman"/>
              </w:rPr>
              <w:t xml:space="preserve">Geneva, </w:t>
            </w:r>
            <w:r w:rsidR="00666718">
              <w:rPr>
                <w:rFonts w:eastAsia="Times New Roman"/>
              </w:rPr>
              <w:t>4-6 July 2018</w:t>
            </w:r>
          </w:p>
          <w:p w14:paraId="5837891E" w14:textId="1F693077" w:rsidR="00BC6610" w:rsidRPr="00BC6610" w:rsidRDefault="00BC6610" w:rsidP="00BC6610">
            <w:pPr>
              <w:spacing w:before="40"/>
              <w:rPr>
                <w:rFonts w:eastAsia="Times New Roman"/>
              </w:rPr>
            </w:pPr>
            <w:r w:rsidRPr="00BC6610">
              <w:rPr>
                <w:rFonts w:eastAsia="Times New Roman"/>
              </w:rPr>
              <w:t>Item</w:t>
            </w:r>
            <w:r w:rsidR="00856DA8">
              <w:rPr>
                <w:rFonts w:eastAsia="Times New Roman"/>
              </w:rPr>
              <w:t xml:space="preserve"> </w:t>
            </w:r>
            <w:r w:rsidR="004E64EE">
              <w:rPr>
                <w:rFonts w:eastAsia="Times New Roman"/>
              </w:rPr>
              <w:t>2</w:t>
            </w:r>
            <w:r w:rsidRPr="00BC6610">
              <w:rPr>
                <w:rFonts w:eastAsia="Times New Roman"/>
              </w:rPr>
              <w:t xml:space="preserve"> of the provisional agenda</w:t>
            </w:r>
          </w:p>
          <w:p w14:paraId="65942F45" w14:textId="2174F6FC" w:rsidR="00BC6610" w:rsidRPr="00856DA8" w:rsidRDefault="004E64EE" w:rsidP="00BC6610">
            <w:pPr>
              <w:spacing w:before="40"/>
              <w:rPr>
                <w:rFonts w:eastAsia="Times New Roman"/>
                <w:b/>
                <w:bCs/>
              </w:rPr>
            </w:pPr>
            <w:r w:rsidRPr="00856DA8">
              <w:rPr>
                <w:b/>
                <w:bCs/>
              </w:rPr>
              <w:t>Joint work with the Sub-Committee of Experts on the Transport of Dangerous Goods (TDG Sub-Committee)</w:t>
            </w:r>
          </w:p>
        </w:tc>
      </w:tr>
    </w:tbl>
    <w:p w14:paraId="1E7439B0" w14:textId="77777777" w:rsidR="000B0348" w:rsidRPr="008F7E53" w:rsidRDefault="000B0348" w:rsidP="00E87258">
      <w:pPr>
        <w:pStyle w:val="HChG"/>
        <w:rPr>
          <w:lang w:val="en-US"/>
        </w:rPr>
      </w:pPr>
      <w:r w:rsidRPr="008F7E53">
        <w:rPr>
          <w:lang w:val="en-US"/>
        </w:rPr>
        <w:tab/>
      </w:r>
      <w:r w:rsidRPr="008F7E53">
        <w:rPr>
          <w:lang w:val="en-US"/>
        </w:rPr>
        <w:tab/>
      </w:r>
      <w:r w:rsidR="009A182C" w:rsidRPr="008F7E53">
        <w:rPr>
          <w:lang w:val="en-US"/>
        </w:rPr>
        <w:t>Classification of physical hazards according to the GHS: Which combinations/cross-classifications are possible and can be assigned to chemicals?</w:t>
      </w:r>
    </w:p>
    <w:p w14:paraId="6BD5C7BD" w14:textId="77777777" w:rsidR="000B0348" w:rsidRPr="008F7E53" w:rsidRDefault="000B0348" w:rsidP="00E87258">
      <w:pPr>
        <w:pStyle w:val="H1G"/>
        <w:rPr>
          <w:lang w:val="en-US"/>
        </w:rPr>
      </w:pPr>
      <w:r w:rsidRPr="008F7E53">
        <w:rPr>
          <w:lang w:val="en-US"/>
        </w:rPr>
        <w:tab/>
      </w:r>
      <w:r w:rsidRPr="008F7E53">
        <w:rPr>
          <w:lang w:val="en-US"/>
        </w:rPr>
        <w:tab/>
        <w:t xml:space="preserve">Transmitted by the </w:t>
      </w:r>
      <w:r w:rsidR="009A182C" w:rsidRPr="008F7E53">
        <w:rPr>
          <w:lang w:val="en-US"/>
        </w:rPr>
        <w:t>expert from Germany</w:t>
      </w:r>
    </w:p>
    <w:p w14:paraId="035C88D9" w14:textId="391DABFD" w:rsidR="00C86DB8" w:rsidRDefault="000B0348" w:rsidP="00E87258">
      <w:pPr>
        <w:pStyle w:val="SingleTxtG"/>
        <w:rPr>
          <w:lang w:val="en-US"/>
        </w:rPr>
      </w:pPr>
      <w:r w:rsidRPr="008F7E53">
        <w:rPr>
          <w:lang w:val="en-US"/>
        </w:rPr>
        <w:tab/>
        <w:t>1.</w:t>
      </w:r>
      <w:r w:rsidRPr="008F7E53">
        <w:rPr>
          <w:lang w:val="en-US"/>
        </w:rPr>
        <w:tab/>
      </w:r>
      <w:r w:rsidR="00C86DB8">
        <w:rPr>
          <w:lang w:val="en-US"/>
        </w:rPr>
        <w:t xml:space="preserve">Reference is made to </w:t>
      </w:r>
      <w:r w:rsidR="00753CC3">
        <w:rPr>
          <w:lang w:val="en-US"/>
        </w:rPr>
        <w:t xml:space="preserve">informal </w:t>
      </w:r>
      <w:r w:rsidR="00C86DB8">
        <w:rPr>
          <w:lang w:val="en-US"/>
        </w:rPr>
        <w:t xml:space="preserve">document </w:t>
      </w:r>
      <w:r w:rsidR="00C86DB8" w:rsidRPr="00C86DB8">
        <w:rPr>
          <w:lang w:val="en-US"/>
        </w:rPr>
        <w:t>INF.8</w:t>
      </w:r>
      <w:r w:rsidR="00C86DB8">
        <w:rPr>
          <w:lang w:val="en-US"/>
        </w:rPr>
        <w:t xml:space="preserve"> </w:t>
      </w:r>
      <w:r w:rsidR="00753CC3">
        <w:rPr>
          <w:lang w:val="en-US"/>
        </w:rPr>
        <w:t>(</w:t>
      </w:r>
      <w:r w:rsidR="004E64EE">
        <w:rPr>
          <w:lang w:val="en-US"/>
        </w:rPr>
        <w:t xml:space="preserve">GHS Sub-Committee </w:t>
      </w:r>
      <w:r w:rsidR="00753CC3">
        <w:rPr>
          <w:lang w:val="en-US"/>
        </w:rPr>
        <w:t>34</w:t>
      </w:r>
      <w:r w:rsidR="00753CC3" w:rsidRPr="00753CC3">
        <w:rPr>
          <w:vertAlign w:val="superscript"/>
          <w:lang w:val="en-US"/>
        </w:rPr>
        <w:t>th</w:t>
      </w:r>
      <w:r w:rsidR="00753CC3">
        <w:rPr>
          <w:lang w:val="en-US"/>
        </w:rPr>
        <w:t xml:space="preserve"> session) </w:t>
      </w:r>
      <w:r w:rsidR="00C86DB8">
        <w:rPr>
          <w:lang w:val="en-US"/>
        </w:rPr>
        <w:t xml:space="preserve">in which the expert from Germany </w:t>
      </w:r>
      <w:r w:rsidR="00B82C4A">
        <w:rPr>
          <w:lang w:val="en-US"/>
        </w:rPr>
        <w:t xml:space="preserve">presented </w:t>
      </w:r>
      <w:r w:rsidR="00E24DD8">
        <w:rPr>
          <w:lang w:val="en-US"/>
        </w:rPr>
        <w:t xml:space="preserve">the question </w:t>
      </w:r>
      <w:r w:rsidR="00C545FA">
        <w:rPr>
          <w:lang w:val="en-US"/>
        </w:rPr>
        <w:t xml:space="preserve">which </w:t>
      </w:r>
      <w:r w:rsidR="00E24DD8">
        <w:rPr>
          <w:lang w:val="en-US"/>
        </w:rPr>
        <w:t>combinations of physical hazards are possible and relevant when classifying a chemical according to the GHS.</w:t>
      </w:r>
    </w:p>
    <w:p w14:paraId="0FFAAD59" w14:textId="1F33EC67" w:rsidR="00E24DD8" w:rsidRDefault="00E24DD8" w:rsidP="00E87258">
      <w:pPr>
        <w:pStyle w:val="SingleTxtG"/>
        <w:rPr>
          <w:lang w:val="en-US"/>
        </w:rPr>
      </w:pPr>
      <w:r>
        <w:rPr>
          <w:lang w:val="en-US"/>
        </w:rPr>
        <w:t>2.</w:t>
      </w:r>
      <w:r>
        <w:rPr>
          <w:lang w:val="en-US"/>
        </w:rPr>
        <w:tab/>
        <w:t xml:space="preserve">The paper was welcomed and </w:t>
      </w:r>
      <w:r w:rsidRPr="00E24DD8">
        <w:rPr>
          <w:lang w:val="en-US"/>
        </w:rPr>
        <w:t xml:space="preserve">the expert from Germany </w:t>
      </w:r>
      <w:r>
        <w:rPr>
          <w:lang w:val="en-US"/>
        </w:rPr>
        <w:t xml:space="preserve">was requested </w:t>
      </w:r>
      <w:r w:rsidRPr="00E24DD8">
        <w:rPr>
          <w:lang w:val="en-US"/>
        </w:rPr>
        <w:t>to take account of the comments made and to consider developing a step-wise approach for this work</w:t>
      </w:r>
      <w:r w:rsidR="00753CC3">
        <w:rPr>
          <w:lang w:val="en-US"/>
        </w:rPr>
        <w:t>. The Sub-Committee of the G</w:t>
      </w:r>
      <w:r>
        <w:rPr>
          <w:lang w:val="en-US"/>
        </w:rPr>
        <w:t xml:space="preserve">HS also suggested that the </w:t>
      </w:r>
      <w:r w:rsidR="00753CC3">
        <w:rPr>
          <w:lang w:val="en-US"/>
        </w:rPr>
        <w:t>Sub-Committee of the</w:t>
      </w:r>
      <w:r>
        <w:rPr>
          <w:lang w:val="en-US"/>
        </w:rPr>
        <w:t xml:space="preserve"> TDG should be involved in this work. </w:t>
      </w:r>
      <w:r w:rsidR="00732BD5">
        <w:rPr>
          <w:lang w:val="en-US"/>
        </w:rPr>
        <w:t>For ease of reference (</w:t>
      </w:r>
      <w:r w:rsidR="004E64EE">
        <w:rPr>
          <w:lang w:val="en-US"/>
        </w:rPr>
        <w:t>specially</w:t>
      </w:r>
      <w:r w:rsidR="00732BD5">
        <w:rPr>
          <w:lang w:val="en-US"/>
        </w:rPr>
        <w:t xml:space="preserve"> t</w:t>
      </w:r>
      <w:r>
        <w:rPr>
          <w:lang w:val="en-US"/>
        </w:rPr>
        <w:t xml:space="preserve">o </w:t>
      </w:r>
      <w:r w:rsidR="00732BD5">
        <w:rPr>
          <w:lang w:val="en-US"/>
        </w:rPr>
        <w:t>make it easi</w:t>
      </w:r>
      <w:r w:rsidR="00753CC3">
        <w:rPr>
          <w:lang w:val="en-US"/>
        </w:rPr>
        <w:t>er for the experts from the Sub-Committee</w:t>
      </w:r>
      <w:r w:rsidR="00732BD5">
        <w:rPr>
          <w:lang w:val="en-US"/>
        </w:rPr>
        <w:t xml:space="preserve"> to follow-up on the issue) the </w:t>
      </w:r>
      <w:r w:rsidR="00C545FA">
        <w:rPr>
          <w:lang w:val="en-US"/>
        </w:rPr>
        <w:t>contents</w:t>
      </w:r>
      <w:r w:rsidR="00732BD5">
        <w:rPr>
          <w:lang w:val="en-US"/>
        </w:rPr>
        <w:t xml:space="preserve"> of </w:t>
      </w:r>
      <w:r w:rsidR="00753CC3">
        <w:rPr>
          <w:lang w:val="en-US"/>
        </w:rPr>
        <w:t xml:space="preserve">informal </w:t>
      </w:r>
      <w:r>
        <w:rPr>
          <w:lang w:val="en-US"/>
        </w:rPr>
        <w:t xml:space="preserve">document </w:t>
      </w:r>
      <w:r w:rsidR="00732BD5" w:rsidRPr="00C86DB8">
        <w:rPr>
          <w:lang w:val="en-US"/>
        </w:rPr>
        <w:t>INF.8</w:t>
      </w:r>
      <w:r w:rsidR="00732BD5">
        <w:rPr>
          <w:lang w:val="en-US"/>
        </w:rPr>
        <w:t xml:space="preserve"> </w:t>
      </w:r>
      <w:r w:rsidR="00753CC3">
        <w:rPr>
          <w:lang w:val="en-US"/>
        </w:rPr>
        <w:t>(</w:t>
      </w:r>
      <w:r w:rsidR="004E64EE">
        <w:rPr>
          <w:lang w:val="en-US"/>
        </w:rPr>
        <w:t xml:space="preserve">GHS Sub-Committee </w:t>
      </w:r>
      <w:r w:rsidR="00753CC3">
        <w:rPr>
          <w:lang w:val="en-US"/>
        </w:rPr>
        <w:t>34</w:t>
      </w:r>
      <w:r w:rsidR="00753CC3" w:rsidRPr="00753CC3">
        <w:rPr>
          <w:vertAlign w:val="superscript"/>
          <w:lang w:val="en-US"/>
        </w:rPr>
        <w:t>th</w:t>
      </w:r>
      <w:r w:rsidR="00753CC3">
        <w:rPr>
          <w:lang w:val="en-US"/>
        </w:rPr>
        <w:t xml:space="preserve"> session) </w:t>
      </w:r>
      <w:r w:rsidR="00C94D65">
        <w:rPr>
          <w:lang w:val="en-US"/>
        </w:rPr>
        <w:t>as well as the cross-table with the conclusions are</w:t>
      </w:r>
      <w:r>
        <w:rPr>
          <w:lang w:val="en-US"/>
        </w:rPr>
        <w:t xml:space="preserve"> repeated in the Annex to this document</w:t>
      </w:r>
      <w:r w:rsidR="00732BD5">
        <w:rPr>
          <w:lang w:val="en-US"/>
        </w:rPr>
        <w:t>.</w:t>
      </w:r>
      <w:r w:rsidR="00B82C4A">
        <w:rPr>
          <w:lang w:val="en-US"/>
        </w:rPr>
        <w:t xml:space="preserve"> </w:t>
      </w:r>
    </w:p>
    <w:p w14:paraId="1ED8F1DF" w14:textId="77777777" w:rsidR="00C30A1E" w:rsidRDefault="00C545FA" w:rsidP="00E87258">
      <w:pPr>
        <w:pStyle w:val="SingleTxtG"/>
        <w:rPr>
          <w:lang w:val="en-US"/>
        </w:rPr>
      </w:pPr>
      <w:r>
        <w:rPr>
          <w:lang w:val="en-US"/>
        </w:rPr>
        <w:t>3.</w:t>
      </w:r>
      <w:r>
        <w:rPr>
          <w:lang w:val="en-US"/>
        </w:rPr>
        <w:tab/>
      </w:r>
      <w:r w:rsidR="00D14311">
        <w:rPr>
          <w:lang w:val="en-US"/>
        </w:rPr>
        <w:t xml:space="preserve">It is proposed to add the issue of possible and impossible combinations of physical hazards under the GHS to </w:t>
      </w:r>
      <w:r w:rsidR="00DA1023">
        <w:rPr>
          <w:lang w:val="en-US"/>
        </w:rPr>
        <w:t xml:space="preserve">the </w:t>
      </w:r>
      <w:r w:rsidR="00D14311">
        <w:rPr>
          <w:lang w:val="en-US"/>
        </w:rPr>
        <w:t xml:space="preserve">program of work. </w:t>
      </w:r>
    </w:p>
    <w:p w14:paraId="03C3B6E1" w14:textId="2600F081" w:rsidR="000E7680" w:rsidRDefault="00C30A1E" w:rsidP="00E87258">
      <w:pPr>
        <w:pStyle w:val="SingleTxtG"/>
        <w:rPr>
          <w:lang w:val="en-US"/>
        </w:rPr>
      </w:pPr>
      <w:r>
        <w:rPr>
          <w:lang w:val="en-US"/>
        </w:rPr>
        <w:t>4.</w:t>
      </w:r>
      <w:r>
        <w:rPr>
          <w:lang w:val="en-US"/>
        </w:rPr>
        <w:tab/>
      </w:r>
      <w:r w:rsidR="00D14311">
        <w:rPr>
          <w:lang w:val="en-US"/>
        </w:rPr>
        <w:t>If deemed appropriate by the Sub-Committees, the work could be handled by a correspondence group. In that case</w:t>
      </w:r>
      <w:r w:rsidR="00C84FC2">
        <w:rPr>
          <w:lang w:val="en-US"/>
        </w:rPr>
        <w:t>,</w:t>
      </w:r>
      <w:r w:rsidR="00D14311">
        <w:rPr>
          <w:lang w:val="en-US"/>
        </w:rPr>
        <w:t xml:space="preserve"> the expert from Germany would be willing to</w:t>
      </w:r>
      <w:r>
        <w:rPr>
          <w:lang w:val="en-US"/>
        </w:rPr>
        <w:t xml:space="preserve"> lead that correspondence group and suggests </w:t>
      </w:r>
      <w:r w:rsidR="004E64EE">
        <w:rPr>
          <w:lang w:val="en-US"/>
        </w:rPr>
        <w:t>assigning</w:t>
      </w:r>
      <w:r>
        <w:rPr>
          <w:lang w:val="en-US"/>
        </w:rPr>
        <w:t xml:space="preserve"> the following tasks to the correspondence group:</w:t>
      </w:r>
    </w:p>
    <w:p w14:paraId="064B986E" w14:textId="297E482F" w:rsidR="000E7680" w:rsidRDefault="00C30A1E" w:rsidP="004E64EE">
      <w:pPr>
        <w:pStyle w:val="Bullet1G"/>
        <w:spacing w:after="80"/>
        <w:rPr>
          <w:lang w:val="en-US"/>
        </w:rPr>
      </w:pPr>
      <w:r>
        <w:rPr>
          <w:lang w:val="en-US"/>
        </w:rPr>
        <w:t xml:space="preserve">discuss </w:t>
      </w:r>
      <w:r w:rsidR="000E7680">
        <w:rPr>
          <w:lang w:val="en-US"/>
        </w:rPr>
        <w:t xml:space="preserve">whether </w:t>
      </w:r>
      <w:r w:rsidR="00072579">
        <w:rPr>
          <w:lang w:val="en-US"/>
        </w:rPr>
        <w:t>provisions/</w:t>
      </w:r>
      <w:r w:rsidR="000E7680">
        <w:rPr>
          <w:lang w:val="en-US"/>
        </w:rPr>
        <w:t>information regarding possible and irrelevant cross-classifications with regard to physical hazards is deemed useful</w:t>
      </w:r>
      <w:r w:rsidR="00C84FC2">
        <w:rPr>
          <w:lang w:val="en-US"/>
        </w:rPr>
        <w:t>,</w:t>
      </w:r>
      <w:r w:rsidR="00370944">
        <w:rPr>
          <w:lang w:val="en-US"/>
        </w:rPr>
        <w:t xml:space="preserve"> and if so</w:t>
      </w:r>
    </w:p>
    <w:p w14:paraId="1D235A67" w14:textId="195477FC" w:rsidR="000E7680" w:rsidRDefault="00C30A1E" w:rsidP="004E64EE">
      <w:pPr>
        <w:pStyle w:val="Bullet1G"/>
        <w:spacing w:after="80"/>
        <w:rPr>
          <w:lang w:val="en-US"/>
        </w:rPr>
      </w:pPr>
      <w:r>
        <w:rPr>
          <w:lang w:val="en-US"/>
        </w:rPr>
        <w:t xml:space="preserve">discuss </w:t>
      </w:r>
      <w:r w:rsidR="000E7680">
        <w:rPr>
          <w:lang w:val="en-US"/>
        </w:rPr>
        <w:t xml:space="preserve">whether such </w:t>
      </w:r>
      <w:r w:rsidR="00072579">
        <w:rPr>
          <w:lang w:val="en-US"/>
        </w:rPr>
        <w:t>provisions/</w:t>
      </w:r>
      <w:r w:rsidR="000E7680">
        <w:rPr>
          <w:lang w:val="en-US"/>
        </w:rPr>
        <w:t>in</w:t>
      </w:r>
      <w:r w:rsidR="00D14311">
        <w:rPr>
          <w:lang w:val="en-US"/>
        </w:rPr>
        <w:t xml:space="preserve">formation </w:t>
      </w:r>
      <w:r w:rsidR="000E7680">
        <w:rPr>
          <w:lang w:val="en-US"/>
        </w:rPr>
        <w:t xml:space="preserve">should be given comprehensively at one place and/or </w:t>
      </w:r>
      <w:r w:rsidR="00D14311">
        <w:rPr>
          <w:lang w:val="en-US"/>
        </w:rPr>
        <w:t xml:space="preserve">be added to </w:t>
      </w:r>
      <w:r w:rsidR="000E7680">
        <w:rPr>
          <w:lang w:val="en-US"/>
        </w:rPr>
        <w:t>the individual hazard classes</w:t>
      </w:r>
      <w:r w:rsidR="00C84FC2">
        <w:rPr>
          <w:lang w:val="en-US"/>
        </w:rPr>
        <w:t>,</w:t>
      </w:r>
    </w:p>
    <w:p w14:paraId="704FDBDC" w14:textId="77777777" w:rsidR="00D14311" w:rsidRDefault="00C30A1E" w:rsidP="004E64EE">
      <w:pPr>
        <w:pStyle w:val="Bullet1G"/>
        <w:spacing w:after="80"/>
        <w:rPr>
          <w:lang w:val="en-US"/>
        </w:rPr>
      </w:pPr>
      <w:r>
        <w:rPr>
          <w:lang w:val="en-US"/>
        </w:rPr>
        <w:t xml:space="preserve">discuss </w:t>
      </w:r>
      <w:r w:rsidR="00D14311">
        <w:rPr>
          <w:lang w:val="en-US"/>
        </w:rPr>
        <w:t>systematically all combinations of physical hazard classes</w:t>
      </w:r>
      <w:r w:rsidR="00C84FC2">
        <w:rPr>
          <w:lang w:val="en-US"/>
        </w:rPr>
        <w:t xml:space="preserve"> with regard to their possible simultaneous assignment to a chemical,</w:t>
      </w:r>
    </w:p>
    <w:p w14:paraId="42B27AD6" w14:textId="77777777" w:rsidR="00D14311" w:rsidRDefault="00D14311" w:rsidP="00C30A1E">
      <w:pPr>
        <w:pStyle w:val="Bullet1G"/>
        <w:rPr>
          <w:lang w:val="en-US"/>
        </w:rPr>
      </w:pPr>
      <w:r>
        <w:rPr>
          <w:lang w:val="en-US"/>
        </w:rPr>
        <w:t xml:space="preserve">and finally come up with proposals </w:t>
      </w:r>
      <w:r w:rsidR="00C84FC2">
        <w:rPr>
          <w:lang w:val="en-US"/>
        </w:rPr>
        <w:t>to be included in the GHS.</w:t>
      </w:r>
    </w:p>
    <w:p w14:paraId="4D8A4ECD" w14:textId="20DCF059" w:rsidR="007D7959" w:rsidRPr="008F7E53" w:rsidRDefault="000677EB" w:rsidP="00753CC3">
      <w:pPr>
        <w:pStyle w:val="SingleTxtG"/>
        <w:rPr>
          <w:lang w:val="en-US"/>
        </w:rPr>
      </w:pPr>
      <w:r>
        <w:rPr>
          <w:lang w:val="en-US"/>
        </w:rPr>
        <w:t>5.</w:t>
      </w:r>
      <w:r>
        <w:rPr>
          <w:lang w:val="en-US"/>
        </w:rPr>
        <w:tab/>
        <w:t>The sub-c</w:t>
      </w:r>
      <w:r w:rsidR="00C84FC2">
        <w:rPr>
          <w:lang w:val="en-US"/>
        </w:rPr>
        <w:t xml:space="preserve">ommittees are requested to consider these suggestions and to </w:t>
      </w:r>
      <w:r w:rsidR="000451E9">
        <w:rPr>
          <w:lang w:val="en-US"/>
        </w:rPr>
        <w:t>outline a path forward as appropriate.</w:t>
      </w:r>
      <w:r w:rsidR="007D7959" w:rsidRPr="008F7E53">
        <w:rPr>
          <w:lang w:val="en-US"/>
        </w:rPr>
        <w:br w:type="page"/>
      </w:r>
    </w:p>
    <w:p w14:paraId="6C05F067" w14:textId="77777777" w:rsidR="00753CC3" w:rsidRDefault="004670A9" w:rsidP="00DE15A4">
      <w:pPr>
        <w:pStyle w:val="HChG"/>
        <w:spacing w:before="240"/>
        <w:rPr>
          <w:lang w:val="en-US"/>
        </w:rPr>
      </w:pPr>
      <w:r w:rsidRPr="008F7E53">
        <w:rPr>
          <w:lang w:val="en-US"/>
        </w:rPr>
        <w:lastRenderedPageBreak/>
        <w:tab/>
      </w:r>
      <w:r w:rsidR="002C441F" w:rsidRPr="008F7E53">
        <w:rPr>
          <w:lang w:val="en-US"/>
        </w:rPr>
        <w:t>Annex</w:t>
      </w:r>
      <w:r w:rsidR="00C545FA">
        <w:rPr>
          <w:lang w:val="en-US"/>
        </w:rPr>
        <w:t xml:space="preserve"> </w:t>
      </w:r>
    </w:p>
    <w:p w14:paraId="4DFDE7DD" w14:textId="64614D54" w:rsidR="00BE2E91" w:rsidRPr="008F7E53" w:rsidRDefault="00753CC3" w:rsidP="00753CC3">
      <w:pPr>
        <w:pStyle w:val="H1G"/>
        <w:rPr>
          <w:lang w:val="en-US"/>
        </w:rPr>
      </w:pPr>
      <w:r>
        <w:rPr>
          <w:lang w:val="en-US"/>
        </w:rPr>
        <w:tab/>
      </w:r>
      <w:r>
        <w:rPr>
          <w:lang w:val="en-US"/>
        </w:rPr>
        <w:tab/>
      </w:r>
      <w:r w:rsidR="000677EB">
        <w:rPr>
          <w:lang w:val="en-US"/>
        </w:rPr>
        <w:t>(R</w:t>
      </w:r>
      <w:r w:rsidR="00C545FA" w:rsidRPr="00B82C4A">
        <w:rPr>
          <w:lang w:val="en-US"/>
        </w:rPr>
        <w:t xml:space="preserve">eproduction of </w:t>
      </w:r>
      <w:r w:rsidR="00B82C4A" w:rsidRPr="00B82C4A">
        <w:rPr>
          <w:lang w:val="en-US"/>
        </w:rPr>
        <w:t xml:space="preserve">the contents of </w:t>
      </w:r>
      <w:r>
        <w:rPr>
          <w:lang w:val="en-US"/>
        </w:rPr>
        <w:t xml:space="preserve">informal document </w:t>
      </w:r>
      <w:r w:rsidR="00C545FA" w:rsidRPr="00B82C4A">
        <w:rPr>
          <w:lang w:val="en-US"/>
        </w:rPr>
        <w:t>INF.8</w:t>
      </w:r>
      <w:r>
        <w:rPr>
          <w:lang w:val="en-US"/>
        </w:rPr>
        <w:t xml:space="preserve"> (</w:t>
      </w:r>
      <w:r w:rsidR="00AE4140">
        <w:rPr>
          <w:lang w:val="en-US"/>
        </w:rPr>
        <w:t xml:space="preserve">GHS Sub-Committee </w:t>
      </w:r>
      <w:r>
        <w:rPr>
          <w:lang w:val="en-US"/>
        </w:rPr>
        <w:t>34</w:t>
      </w:r>
      <w:r w:rsidRPr="00753CC3">
        <w:rPr>
          <w:vertAlign w:val="superscript"/>
          <w:lang w:val="en-US"/>
        </w:rPr>
        <w:t>th</w:t>
      </w:r>
      <w:r>
        <w:rPr>
          <w:lang w:val="en-US"/>
        </w:rPr>
        <w:t xml:space="preserve"> session)</w:t>
      </w:r>
      <w:r w:rsidR="00C545FA" w:rsidRPr="00B82C4A">
        <w:rPr>
          <w:lang w:val="en-US"/>
        </w:rPr>
        <w:t>)</w:t>
      </w:r>
    </w:p>
    <w:p w14:paraId="20B4D783" w14:textId="77777777" w:rsidR="00732BD5" w:rsidRPr="008F7E53" w:rsidRDefault="00732BD5" w:rsidP="00732BD5">
      <w:pPr>
        <w:pStyle w:val="SingleTxtG"/>
        <w:rPr>
          <w:lang w:val="en-US"/>
        </w:rPr>
      </w:pPr>
      <w:r>
        <w:rPr>
          <w:lang w:val="en-US"/>
        </w:rPr>
        <w:t>1.</w:t>
      </w:r>
      <w:r>
        <w:rPr>
          <w:lang w:val="en-US"/>
        </w:rPr>
        <w:tab/>
      </w:r>
      <w:r w:rsidRPr="008F7E53">
        <w:rPr>
          <w:lang w:val="en-US"/>
        </w:rPr>
        <w:t xml:space="preserve">One of the fundamental principles of the GHS is that all hazards of a chemical should be assigned and communicated. There is no general prioritization of hazards in the sense that certain hazard classes are not applicable if another one has been assigned. In contrast to health and environmental hazards, there are physical or chemical factors which preclude certain combinations of physical hazard classes. So far, there is no common understanding as to which combinations are relevant and which not. For example, should a pyrophoric liquid be classified as flammable liquid in addition, or is this redundant and unnecessary? In the course of the implementation of the GHS by countries or sectors and the actual application by industry all over the world, such questions become more and more important. </w:t>
      </w:r>
    </w:p>
    <w:p w14:paraId="54BC8857" w14:textId="77777777" w:rsidR="00732BD5" w:rsidRPr="008F7E53" w:rsidRDefault="00732BD5" w:rsidP="00732BD5">
      <w:pPr>
        <w:pStyle w:val="SingleTxtG"/>
        <w:rPr>
          <w:lang w:val="en-US"/>
        </w:rPr>
      </w:pPr>
      <w:r w:rsidRPr="008F7E53">
        <w:rPr>
          <w:lang w:val="en-US"/>
        </w:rPr>
        <w:t>2.</w:t>
      </w:r>
      <w:r w:rsidRPr="008F7E53">
        <w:rPr>
          <w:lang w:val="en-US"/>
        </w:rPr>
        <w:tab/>
        <w:t>For some of the combinations the GHS provides an answer, in one way or another: Some combinations are not possible due to the physical state associated with the hazard class and some are explicitly excluded by according text or notes in the GHS. But other combinations of physical hazard classes are not mentioned although the relevance of their combination might be debatable and thus might be applied differently all over the world.</w:t>
      </w:r>
    </w:p>
    <w:p w14:paraId="5FC763F2" w14:textId="1469005A" w:rsidR="00732BD5" w:rsidRPr="008F7E53" w:rsidRDefault="00732BD5" w:rsidP="00732BD5">
      <w:pPr>
        <w:pStyle w:val="SingleTxtG"/>
        <w:rPr>
          <w:lang w:val="en-US"/>
        </w:rPr>
      </w:pPr>
      <w:r w:rsidRPr="008F7E53">
        <w:rPr>
          <w:lang w:val="en-US"/>
        </w:rPr>
        <w:t>3.</w:t>
      </w:r>
      <w:r w:rsidRPr="008F7E53">
        <w:rPr>
          <w:lang w:val="en-US"/>
        </w:rPr>
        <w:tab/>
        <w:t>The experts from Germany have intensely discussed the question of cross-classifications and considered systematically all possible combinations of physical hazard classes. The discussions resulted in a cross-table in which the combinations of physical hazard classes are assessed with regard to their possible applicability</w:t>
      </w:r>
      <w:r w:rsidR="00C94D65">
        <w:rPr>
          <w:lang w:val="en-US"/>
        </w:rPr>
        <w:t xml:space="preserve"> (see the following paragraph)</w:t>
      </w:r>
      <w:r w:rsidRPr="008F7E53">
        <w:rPr>
          <w:lang w:val="en-US"/>
        </w:rPr>
        <w:t>. Colors were assigned to all combinations as follows:</w:t>
      </w:r>
    </w:p>
    <w:p w14:paraId="7F521BCB" w14:textId="2F17056E" w:rsidR="00732BD5" w:rsidRPr="008F7E53" w:rsidRDefault="00732BD5" w:rsidP="00C545FA">
      <w:pPr>
        <w:pStyle w:val="Bullet1G"/>
        <w:tabs>
          <w:tab w:val="clear" w:pos="1701"/>
          <w:tab w:val="num" w:pos="1560"/>
        </w:tabs>
        <w:ind w:left="1560" w:hanging="284"/>
        <w:rPr>
          <w:lang w:val="en-US"/>
        </w:rPr>
      </w:pPr>
      <w:r w:rsidRPr="008F7E53">
        <w:rPr>
          <w:lang w:val="en-US"/>
        </w:rPr>
        <w:t xml:space="preserve">Combinations marked in red are undoubtedly not possible, either due to the physical state or based on </w:t>
      </w:r>
      <w:r w:rsidR="000677EB">
        <w:rPr>
          <w:lang w:val="en-US"/>
        </w:rPr>
        <w:t>explicit information in the GHS;</w:t>
      </w:r>
    </w:p>
    <w:p w14:paraId="0C0135A2" w14:textId="4F9AE323" w:rsidR="00732BD5" w:rsidRPr="008F7E53" w:rsidRDefault="00732BD5" w:rsidP="00C545FA">
      <w:pPr>
        <w:pStyle w:val="Bullet1G"/>
        <w:tabs>
          <w:tab w:val="clear" w:pos="1701"/>
          <w:tab w:val="num" w:pos="1560"/>
        </w:tabs>
        <w:ind w:left="1560" w:hanging="284"/>
        <w:rPr>
          <w:lang w:val="en-US"/>
        </w:rPr>
      </w:pPr>
      <w:r w:rsidRPr="008F7E53">
        <w:rPr>
          <w:lang w:val="en-US"/>
        </w:rPr>
        <w:t>Combinations marked in orange are not possible, e.g. due to restrictions related to the interpretation of test results or execution of the test methods or such combinations should be precluded, e.g. for safety reasons. However</w:t>
      </w:r>
      <w:r w:rsidR="000677EB">
        <w:rPr>
          <w:lang w:val="en-US"/>
        </w:rPr>
        <w:t>, this is not stated in the GHS;</w:t>
      </w:r>
    </w:p>
    <w:p w14:paraId="25733722" w14:textId="4EFF6649" w:rsidR="00732BD5" w:rsidRPr="008F7E53" w:rsidRDefault="00732BD5" w:rsidP="00C545FA">
      <w:pPr>
        <w:pStyle w:val="Bullet1G"/>
        <w:tabs>
          <w:tab w:val="clear" w:pos="1701"/>
          <w:tab w:val="num" w:pos="1560"/>
        </w:tabs>
        <w:ind w:left="1560" w:hanging="284"/>
        <w:rPr>
          <w:lang w:val="en-US"/>
        </w:rPr>
      </w:pPr>
      <w:r w:rsidRPr="008F7E53">
        <w:rPr>
          <w:lang w:val="en-US"/>
        </w:rPr>
        <w:t>Combinations marked in yellow might be possible or are actually assigned in some (special) cases although there might be practical problems because the criteria/test methods of one of the hazard classes cannot be applied properly due to properties associat</w:t>
      </w:r>
      <w:r w:rsidR="000677EB">
        <w:rPr>
          <w:lang w:val="en-US"/>
        </w:rPr>
        <w:t>ed with the other hazard class;</w:t>
      </w:r>
    </w:p>
    <w:p w14:paraId="5016DE6E" w14:textId="77777777" w:rsidR="00732BD5" w:rsidRDefault="00732BD5" w:rsidP="00C545FA">
      <w:pPr>
        <w:pStyle w:val="Bullet1G"/>
        <w:tabs>
          <w:tab w:val="clear" w:pos="1701"/>
          <w:tab w:val="num" w:pos="1560"/>
        </w:tabs>
        <w:ind w:left="1560" w:hanging="284"/>
        <w:rPr>
          <w:lang w:val="en-US"/>
        </w:rPr>
      </w:pPr>
      <w:r w:rsidRPr="008F7E53">
        <w:rPr>
          <w:lang w:val="en-US"/>
        </w:rPr>
        <w:t>Combinations marked in green are possible and must be considered when classifying a chemical.</w:t>
      </w:r>
    </w:p>
    <w:p w14:paraId="756773B7" w14:textId="05743215" w:rsidR="00C94D65" w:rsidRDefault="00C94D65" w:rsidP="000677EB">
      <w:pPr>
        <w:pStyle w:val="SingleTxtG"/>
        <w:jc w:val="center"/>
        <w:rPr>
          <w:lang w:val="en-US"/>
        </w:rPr>
      </w:pPr>
      <w:r w:rsidRPr="007624B6">
        <w:rPr>
          <w:noProof/>
          <w:lang w:val="de-DE" w:eastAsia="de-DE"/>
        </w:rPr>
        <w:lastRenderedPageBreak/>
        <w:drawing>
          <wp:inline distT="0" distB="0" distL="0" distR="0" wp14:anchorId="591A61DE" wp14:editId="21236208">
            <wp:extent cx="4212000" cy="5259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2000" cy="5259600"/>
                    </a:xfrm>
                    <a:prstGeom prst="rect">
                      <a:avLst/>
                    </a:prstGeom>
                    <a:noFill/>
                    <a:ln>
                      <a:noFill/>
                    </a:ln>
                  </pic:spPr>
                </pic:pic>
              </a:graphicData>
            </a:graphic>
          </wp:inline>
        </w:drawing>
      </w:r>
    </w:p>
    <w:p w14:paraId="185FFBF4" w14:textId="72AE024C" w:rsidR="00732BD5" w:rsidRPr="00732BD5" w:rsidRDefault="00753CC3" w:rsidP="00732BD5">
      <w:pPr>
        <w:pStyle w:val="SingleTxtG"/>
        <w:rPr>
          <w:lang w:val="en-US"/>
        </w:rPr>
      </w:pPr>
      <w:r>
        <w:rPr>
          <w:lang w:val="en-US"/>
        </w:rPr>
        <w:t>4</w:t>
      </w:r>
      <w:r w:rsidR="00732BD5" w:rsidRPr="008F7E53">
        <w:rPr>
          <w:lang w:val="en-US"/>
        </w:rPr>
        <w:t>.</w:t>
      </w:r>
      <w:r w:rsidR="00732BD5" w:rsidRPr="008F7E53">
        <w:rPr>
          <w:lang w:val="en-US"/>
        </w:rPr>
        <w:tab/>
        <w:t xml:space="preserve">This cross-table </w:t>
      </w:r>
      <w:r w:rsidR="00732BD5" w:rsidRPr="00EF26C5">
        <w:rPr>
          <w:u w:val="single"/>
          <w:lang w:val="en-US"/>
        </w:rPr>
        <w:t>and the underlying considerations</w:t>
      </w:r>
      <w:r w:rsidR="00732BD5" w:rsidRPr="008F7E53">
        <w:rPr>
          <w:lang w:val="en-US"/>
        </w:rPr>
        <w:t xml:space="preserve"> have been published as follows: "UN-GHS Physical hazard classifications of chemicals: A critical review of combinations of physical hazard classes" Journal of Chemical Health &amp; Safety 24(6), 15-28 (2017)</w:t>
      </w:r>
      <w:r w:rsidR="00C545FA">
        <w:rPr>
          <w:lang w:val="en-US"/>
        </w:rPr>
        <w:t>, see</w:t>
      </w:r>
      <w:r w:rsidR="00732BD5" w:rsidRPr="008F7E53">
        <w:rPr>
          <w:lang w:val="en-US"/>
        </w:rPr>
        <w:t xml:space="preserve"> </w:t>
      </w:r>
      <w:hyperlink r:id="rId9" w:history="1">
        <w:r w:rsidR="00732BD5" w:rsidRPr="00D33F73">
          <w:rPr>
            <w:rStyle w:val="Hyperlink"/>
          </w:rPr>
          <w:t>https://www.sciencedirect.com/science/article/pii/S1871553217300336</w:t>
        </w:r>
      </w:hyperlink>
      <w:r w:rsidR="00732BD5" w:rsidRPr="00732BD5">
        <w:t xml:space="preserve">. </w:t>
      </w:r>
      <w:r w:rsidR="00732BD5" w:rsidRPr="00C545FA">
        <w:rPr>
          <w:lang w:val="en-US"/>
        </w:rPr>
        <w:t>The pre-print of the manuscript is freely available</w:t>
      </w:r>
      <w:r w:rsidR="00732BD5" w:rsidRPr="00732BD5">
        <w:t xml:space="preserve"> at: </w:t>
      </w:r>
      <w:hyperlink r:id="rId10" w:history="1">
        <w:r w:rsidR="00732BD5" w:rsidRPr="00D33F73">
          <w:rPr>
            <w:rStyle w:val="Hyperlink"/>
          </w:rPr>
          <w:t>https://www.researchgate.net/publication/315997108</w:t>
        </w:r>
      </w:hyperlink>
      <w:r w:rsidR="00732BD5" w:rsidRPr="00732BD5">
        <w:rPr>
          <w:lang w:val="en-US"/>
        </w:rPr>
        <w:t>.</w:t>
      </w:r>
    </w:p>
    <w:p w14:paraId="355178E3" w14:textId="73A0C196" w:rsidR="00732BD5" w:rsidRPr="008F7E53" w:rsidRDefault="00753CC3" w:rsidP="00732BD5">
      <w:pPr>
        <w:pStyle w:val="SingleTxtG"/>
        <w:rPr>
          <w:lang w:val="en-US"/>
        </w:rPr>
      </w:pPr>
      <w:r>
        <w:rPr>
          <w:lang w:val="en-US"/>
        </w:rPr>
        <w:t>5</w:t>
      </w:r>
      <w:r w:rsidR="00732BD5" w:rsidRPr="008F7E53">
        <w:rPr>
          <w:lang w:val="en-US"/>
        </w:rPr>
        <w:t>.</w:t>
      </w:r>
      <w:r w:rsidR="00732BD5" w:rsidRPr="008F7E53">
        <w:rPr>
          <w:lang w:val="en-US"/>
        </w:rPr>
        <w:tab/>
        <w:t>The assessment as summarized in the cross-table (Table 1 in the above-mentioned publication) shows that there is a comparatively large number of combinations for which an unambiguous decision based on the GHS is not possible (orange and yellow combinations).</w:t>
      </w:r>
    </w:p>
    <w:p w14:paraId="11976D9E" w14:textId="1E82B7F0" w:rsidR="00732BD5" w:rsidRPr="008F7E53" w:rsidRDefault="00753CC3" w:rsidP="00C545FA">
      <w:pPr>
        <w:pStyle w:val="SingleTxtG"/>
        <w:rPr>
          <w:lang w:val="en-US"/>
        </w:rPr>
      </w:pPr>
      <w:r>
        <w:rPr>
          <w:lang w:val="en-US"/>
        </w:rPr>
        <w:t>6.</w:t>
      </w:r>
      <w:r w:rsidR="00732BD5" w:rsidRPr="008F7E53">
        <w:rPr>
          <w:lang w:val="en-US"/>
        </w:rPr>
        <w:tab/>
        <w:t>As one additional milestone on the path to a globally harmonized system for the classification of chemicals, the question of cross-classification of physical hazards should be discussed and ultimately solved on a global basis. Therefore, the Sub-committee is invited to consider the issue. The expert from Germany would be happy to assist the process should the Sub-Committee decide that this subject should be pursued, that clarification is deemed helpful and/or that information to that regard should be added to the GHS.</w:t>
      </w:r>
    </w:p>
    <w:p w14:paraId="7954EF02" w14:textId="77777777" w:rsidR="00B9104E" w:rsidRPr="008F7E53" w:rsidRDefault="00B9104E" w:rsidP="00C545FA">
      <w:pPr>
        <w:pStyle w:val="SingleTxtG"/>
        <w:spacing w:before="120" w:after="0"/>
        <w:jc w:val="center"/>
        <w:rPr>
          <w:u w:val="single"/>
          <w:lang w:val="en-US"/>
        </w:rPr>
      </w:pPr>
      <w:r w:rsidRPr="008F7E53">
        <w:rPr>
          <w:u w:val="single"/>
          <w:lang w:val="en-US"/>
        </w:rPr>
        <w:tab/>
      </w:r>
      <w:r w:rsidRPr="008F7E53">
        <w:rPr>
          <w:u w:val="single"/>
          <w:lang w:val="en-US"/>
        </w:rPr>
        <w:tab/>
      </w:r>
      <w:r w:rsidR="004670A9" w:rsidRPr="008F7E53">
        <w:rPr>
          <w:u w:val="single"/>
          <w:lang w:val="en-US"/>
        </w:rPr>
        <w:tab/>
      </w:r>
      <w:r w:rsidR="004670A9" w:rsidRPr="008F7E53">
        <w:rPr>
          <w:u w:val="single"/>
          <w:lang w:val="en-US"/>
        </w:rPr>
        <w:tab/>
      </w:r>
    </w:p>
    <w:sectPr w:rsidR="00B9104E" w:rsidRPr="008F7E53" w:rsidSect="00C25D34">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6517D" w14:textId="77777777" w:rsidR="00503DE0" w:rsidRDefault="00503DE0"/>
  </w:endnote>
  <w:endnote w:type="continuationSeparator" w:id="0">
    <w:p w14:paraId="677A8EB0" w14:textId="77777777" w:rsidR="00503DE0" w:rsidRDefault="00503DE0"/>
  </w:endnote>
  <w:endnote w:type="continuationNotice" w:id="1">
    <w:p w14:paraId="7B53C465" w14:textId="77777777" w:rsidR="00503DE0" w:rsidRDefault="00503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847941257"/>
      <w:docPartObj>
        <w:docPartGallery w:val="Page Numbers (Bottom of Page)"/>
        <w:docPartUnique/>
      </w:docPartObj>
    </w:sdtPr>
    <w:sdtEndPr>
      <w:rPr>
        <w:noProof/>
      </w:rPr>
    </w:sdtEndPr>
    <w:sdtContent>
      <w:p w14:paraId="58B33DE8" w14:textId="455A1E3E" w:rsidR="00BE2E91" w:rsidRPr="009F228E" w:rsidRDefault="00BE2E91">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C62C83">
          <w:rPr>
            <w:b/>
            <w:noProof/>
            <w:sz w:val="18"/>
            <w:szCs w:val="18"/>
          </w:rPr>
          <w:t>2</w:t>
        </w:r>
        <w:r w:rsidRPr="009F228E">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623575685"/>
      <w:docPartObj>
        <w:docPartGallery w:val="Page Numbers (Bottom of Page)"/>
        <w:docPartUnique/>
      </w:docPartObj>
    </w:sdtPr>
    <w:sdtEndPr>
      <w:rPr>
        <w:noProof/>
      </w:rPr>
    </w:sdtEndPr>
    <w:sdtContent>
      <w:p w14:paraId="0C2D988E" w14:textId="184277C5" w:rsidR="00BE2E91" w:rsidRPr="009F228E" w:rsidRDefault="00BE2E91">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C62C83">
          <w:rPr>
            <w:b/>
            <w:noProof/>
            <w:sz w:val="18"/>
            <w:szCs w:val="18"/>
          </w:rPr>
          <w:t>3</w:t>
        </w:r>
        <w:r w:rsidRPr="009F228E">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532B" w14:textId="26136E17" w:rsidR="00BE2E91" w:rsidRPr="00667788" w:rsidRDefault="00BE2E91" w:rsidP="009F228E">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C62C83">
      <w:rPr>
        <w:b/>
        <w:noProof/>
        <w:sz w:val="18"/>
      </w:rPr>
      <w:t>1</w:t>
    </w:r>
    <w:r w:rsidRPr="0066778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8094A" w14:textId="77777777" w:rsidR="00503DE0" w:rsidRPr="000B175B" w:rsidRDefault="00503DE0" w:rsidP="000B175B">
      <w:pPr>
        <w:tabs>
          <w:tab w:val="right" w:pos="2155"/>
        </w:tabs>
        <w:spacing w:after="80"/>
        <w:ind w:left="680"/>
        <w:rPr>
          <w:u w:val="single"/>
        </w:rPr>
      </w:pPr>
      <w:r>
        <w:rPr>
          <w:u w:val="single"/>
        </w:rPr>
        <w:tab/>
      </w:r>
    </w:p>
  </w:footnote>
  <w:footnote w:type="continuationSeparator" w:id="0">
    <w:p w14:paraId="66C06039" w14:textId="77777777" w:rsidR="00503DE0" w:rsidRPr="00FC68B7" w:rsidRDefault="00503DE0" w:rsidP="00FC68B7">
      <w:pPr>
        <w:tabs>
          <w:tab w:val="left" w:pos="2155"/>
        </w:tabs>
        <w:spacing w:after="80"/>
        <w:ind w:left="680"/>
        <w:rPr>
          <w:u w:val="single"/>
        </w:rPr>
      </w:pPr>
      <w:r>
        <w:rPr>
          <w:u w:val="single"/>
        </w:rPr>
        <w:tab/>
      </w:r>
    </w:p>
  </w:footnote>
  <w:footnote w:type="continuationNotice" w:id="1">
    <w:p w14:paraId="738216D4" w14:textId="77777777" w:rsidR="00503DE0" w:rsidRDefault="00503D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4D1A" w14:textId="010144E7" w:rsidR="00BE2E91" w:rsidRPr="00364F88" w:rsidRDefault="00753CC3" w:rsidP="00364F88">
    <w:pPr>
      <w:pBdr>
        <w:bottom w:val="single" w:sz="4" w:space="1" w:color="auto"/>
      </w:pBdr>
      <w:rPr>
        <w:b/>
        <w:sz w:val="18"/>
        <w:szCs w:val="18"/>
        <w:lang w:val="fr-CH"/>
      </w:rPr>
    </w:pPr>
    <w:r>
      <w:rPr>
        <w:b/>
        <w:sz w:val="18"/>
        <w:szCs w:val="18"/>
        <w:lang w:val="fr-CH"/>
      </w:rPr>
      <w:t>UN/SCETDG/53/INF.20</w:t>
    </w:r>
    <w:r w:rsidR="00BC6610">
      <w:rPr>
        <w:b/>
        <w:sz w:val="18"/>
        <w:szCs w:val="18"/>
        <w:lang w:val="fr-CH"/>
      </w:rPr>
      <w:br/>
      <w:t>UN/SCEGHS/35</w:t>
    </w:r>
    <w:r w:rsidR="00BE2E91">
      <w:rPr>
        <w:b/>
        <w:sz w:val="18"/>
        <w:szCs w:val="18"/>
        <w:lang w:val="fr-CH"/>
      </w:rPr>
      <w:t>/INF.</w:t>
    </w:r>
    <w:r>
      <w:rPr>
        <w:b/>
        <w:sz w:val="18"/>
        <w:szCs w:val="18"/>
        <w:lang w:val="fr-CH"/>
      </w:rPr>
      <w:t>13</w:t>
    </w:r>
  </w:p>
  <w:p w14:paraId="3FC0BC08" w14:textId="77777777" w:rsidR="00BE2E91" w:rsidRPr="00364F88" w:rsidRDefault="00BE2E91" w:rsidP="00ED128B">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D1BA" w14:textId="68288CED" w:rsidR="00BE2E91" w:rsidRPr="00364F88" w:rsidRDefault="00BC6610" w:rsidP="00364F88">
    <w:pPr>
      <w:pBdr>
        <w:bottom w:val="single" w:sz="4" w:space="1" w:color="auto"/>
      </w:pBdr>
      <w:jc w:val="right"/>
      <w:rPr>
        <w:b/>
        <w:sz w:val="18"/>
        <w:szCs w:val="18"/>
        <w:lang w:val="fr-CH"/>
      </w:rPr>
    </w:pPr>
    <w:r>
      <w:rPr>
        <w:b/>
        <w:sz w:val="18"/>
        <w:szCs w:val="18"/>
        <w:lang w:val="fr-CH"/>
      </w:rPr>
      <w:t>UN/SCETDG/53/INF.</w:t>
    </w:r>
    <w:r w:rsidR="000677EB">
      <w:rPr>
        <w:b/>
        <w:sz w:val="18"/>
        <w:szCs w:val="18"/>
        <w:lang w:val="fr-CH"/>
      </w:rPr>
      <w:t>20</w:t>
    </w:r>
    <w:r w:rsidR="000677EB">
      <w:rPr>
        <w:b/>
        <w:sz w:val="18"/>
        <w:szCs w:val="18"/>
        <w:lang w:val="fr-CH"/>
      </w:rPr>
      <w:br/>
      <w:t>UN/SCEGHS/35/INF.13</w:t>
    </w:r>
  </w:p>
  <w:p w14:paraId="19FC872B" w14:textId="77777777" w:rsidR="00BE2E91" w:rsidRPr="009A182C" w:rsidRDefault="00BE2E91" w:rsidP="00ED64BE">
    <w:pPr>
      <w:pStyle w:val="Header"/>
      <w:pBdr>
        <w:bottom w:val="none" w:sz="0" w:space="0" w:color="auto"/>
      </w:pBdr>
      <w:jc w:val="right"/>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57D6" w14:textId="77777777" w:rsidR="00BE2E91" w:rsidRPr="000B0348" w:rsidRDefault="00BE2E91" w:rsidP="001F1DC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7E7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C574F0"/>
    <w:multiLevelType w:val="hybridMultilevel"/>
    <w:tmpl w:val="F1DC07D2"/>
    <w:lvl w:ilvl="0" w:tplc="15BACF02">
      <w:start w:val="1"/>
      <w:numFmt w:val="bullet"/>
      <w:pStyle w:val="List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E300563"/>
    <w:multiLevelType w:val="multilevel"/>
    <w:tmpl w:val="5DBC5D94"/>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9305831"/>
    <w:multiLevelType w:val="hybridMultilevel"/>
    <w:tmpl w:val="0D8029AE"/>
    <w:lvl w:ilvl="0" w:tplc="BA7244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334C6D"/>
    <w:multiLevelType w:val="hybridMultilevel"/>
    <w:tmpl w:val="87ECDAC8"/>
    <w:lvl w:ilvl="0" w:tplc="0407000F">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8" w15:restartNumberingAfterBreak="0">
    <w:nsid w:val="2CD80E63"/>
    <w:multiLevelType w:val="hybridMultilevel"/>
    <w:tmpl w:val="66DEB368"/>
    <w:lvl w:ilvl="0" w:tplc="09D23ADE">
      <w:start w:val="1"/>
      <w:numFmt w:val="bullet"/>
      <w:lvlText w:val="·"/>
      <w:lvlJc w:val="left"/>
      <w:pPr>
        <w:ind w:left="360" w:hanging="360"/>
      </w:pPr>
      <w:rPr>
        <w:rFonts w:ascii="Symbol"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D6C3D4D"/>
    <w:multiLevelType w:val="multilevel"/>
    <w:tmpl w:val="7FD0D3E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B63751B"/>
    <w:multiLevelType w:val="multilevel"/>
    <w:tmpl w:val="DF1A72BE"/>
    <w:lvl w:ilvl="0">
      <w:start w:val="1"/>
      <w:numFmt w:val="decimal"/>
      <w:lvlText w:val="%1"/>
      <w:lvlJc w:val="left"/>
      <w:pPr>
        <w:tabs>
          <w:tab w:val="num" w:pos="425"/>
        </w:tabs>
        <w:ind w:left="425" w:hanging="425"/>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Restart w:val="0"/>
      <w:lvlText w:val="%1.%2.%3.%4"/>
      <w:lvlJc w:val="left"/>
      <w:pPr>
        <w:ind w:left="851" w:hanging="851"/>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1"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C6101"/>
    <w:multiLevelType w:val="multilevel"/>
    <w:tmpl w:val="4A028CEE"/>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547876"/>
    <w:multiLevelType w:val="multilevel"/>
    <w:tmpl w:val="1F44BF60"/>
    <w:lvl w:ilvl="0">
      <w:start w:val="1"/>
      <w:numFmt w:val="decimal"/>
      <w:lvlText w:val="%1"/>
      <w:lvlJc w:val="left"/>
      <w:pPr>
        <w:ind w:left="284" w:hanging="284"/>
      </w:pPr>
      <w:rPr>
        <w:rFonts w:hint="default"/>
      </w:rPr>
    </w:lvl>
    <w:lvl w:ilvl="1">
      <w:start w:val="1"/>
      <w:numFmt w:val="decimal"/>
      <w:lvlRestart w:val="0"/>
      <w:lvlText w:val="2.%2"/>
      <w:lvlJc w:val="left"/>
      <w:pPr>
        <w:ind w:left="851" w:hanging="851"/>
      </w:pPr>
      <w:rPr>
        <w:rFonts w:hint="default"/>
      </w:rPr>
    </w:lvl>
    <w:lvl w:ilvl="2">
      <w:start w:val="1"/>
      <w:numFmt w:val="decimal"/>
      <w:lvlRestart w:val="0"/>
      <w:lvlText w:val="%1.%2.%3"/>
      <w:lvlJc w:val="left"/>
      <w:pPr>
        <w:ind w:left="851" w:hanging="851"/>
      </w:pPr>
      <w:rPr>
        <w:rFonts w:hint="default"/>
      </w:rPr>
    </w:lvl>
    <w:lvl w:ilvl="3">
      <w:start w:val="1"/>
      <w:numFmt w:val="decimal"/>
      <w:lvlRestart w:val="0"/>
      <w:lvlText w:val="%1.%2.%3.%4"/>
      <w:lvlJc w:val="left"/>
      <w:pPr>
        <w:ind w:left="851" w:hanging="851"/>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3011F"/>
    <w:multiLevelType w:val="multilevel"/>
    <w:tmpl w:val="9DC29B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5"/>
  </w:num>
  <w:num w:numId="13">
    <w:abstractNumId w:val="12"/>
  </w:num>
  <w:num w:numId="14">
    <w:abstractNumId w:val="25"/>
  </w:num>
  <w:num w:numId="15">
    <w:abstractNumId w:val="27"/>
  </w:num>
  <w:num w:numId="16">
    <w:abstractNumId w:val="22"/>
  </w:num>
  <w:num w:numId="17">
    <w:abstractNumId w:val="21"/>
  </w:num>
  <w:num w:numId="18">
    <w:abstractNumId w:val="10"/>
  </w:num>
  <w:num w:numId="19">
    <w:abstractNumId w:val="11"/>
  </w:num>
  <w:num w:numId="20">
    <w:abstractNumId w:val="20"/>
  </w:num>
  <w:num w:numId="21">
    <w:abstractNumId w:val="28"/>
  </w:num>
  <w:num w:numId="22">
    <w:abstractNumId w:val="23"/>
  </w:num>
  <w:num w:numId="23">
    <w:abstractNumId w:val="1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9"/>
  </w:num>
  <w:num w:numId="34">
    <w:abstractNumId w:val="18"/>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4728"/>
    <w:rsid w:val="00006D38"/>
    <w:rsid w:val="00006FAE"/>
    <w:rsid w:val="00007091"/>
    <w:rsid w:val="000133C5"/>
    <w:rsid w:val="00017D24"/>
    <w:rsid w:val="000216CC"/>
    <w:rsid w:val="00026BCF"/>
    <w:rsid w:val="00043180"/>
    <w:rsid w:val="000451E9"/>
    <w:rsid w:val="00046A06"/>
    <w:rsid w:val="000504CE"/>
    <w:rsid w:val="00050922"/>
    <w:rsid w:val="00050F6B"/>
    <w:rsid w:val="0005281B"/>
    <w:rsid w:val="0005317C"/>
    <w:rsid w:val="00053492"/>
    <w:rsid w:val="00055A0A"/>
    <w:rsid w:val="00056084"/>
    <w:rsid w:val="0005710C"/>
    <w:rsid w:val="00064402"/>
    <w:rsid w:val="000677EB"/>
    <w:rsid w:val="00067E6D"/>
    <w:rsid w:val="00072579"/>
    <w:rsid w:val="00072C8C"/>
    <w:rsid w:val="00073129"/>
    <w:rsid w:val="00074B14"/>
    <w:rsid w:val="00075F99"/>
    <w:rsid w:val="00076A0A"/>
    <w:rsid w:val="00076C12"/>
    <w:rsid w:val="00082CE1"/>
    <w:rsid w:val="00083598"/>
    <w:rsid w:val="00084632"/>
    <w:rsid w:val="00086270"/>
    <w:rsid w:val="00086F2E"/>
    <w:rsid w:val="00086FA7"/>
    <w:rsid w:val="00091046"/>
    <w:rsid w:val="00091419"/>
    <w:rsid w:val="00091CB3"/>
    <w:rsid w:val="000920DD"/>
    <w:rsid w:val="00092776"/>
    <w:rsid w:val="000931C0"/>
    <w:rsid w:val="00094F85"/>
    <w:rsid w:val="000A2236"/>
    <w:rsid w:val="000A35F2"/>
    <w:rsid w:val="000A3A48"/>
    <w:rsid w:val="000A4C38"/>
    <w:rsid w:val="000B0348"/>
    <w:rsid w:val="000B175B"/>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0E6A"/>
    <w:rsid w:val="000E20B9"/>
    <w:rsid w:val="000E23BE"/>
    <w:rsid w:val="000E2D42"/>
    <w:rsid w:val="000E7680"/>
    <w:rsid w:val="000F4FDC"/>
    <w:rsid w:val="000F52D6"/>
    <w:rsid w:val="000F6A20"/>
    <w:rsid w:val="001001A5"/>
    <w:rsid w:val="001039FD"/>
    <w:rsid w:val="0010461A"/>
    <w:rsid w:val="001056C9"/>
    <w:rsid w:val="00115303"/>
    <w:rsid w:val="00117787"/>
    <w:rsid w:val="00117D0D"/>
    <w:rsid w:val="00121EB7"/>
    <w:rsid w:val="001249AC"/>
    <w:rsid w:val="00127C32"/>
    <w:rsid w:val="00131B10"/>
    <w:rsid w:val="00131D42"/>
    <w:rsid w:val="00133C50"/>
    <w:rsid w:val="001374FC"/>
    <w:rsid w:val="001406F4"/>
    <w:rsid w:val="00142117"/>
    <w:rsid w:val="00143116"/>
    <w:rsid w:val="00153065"/>
    <w:rsid w:val="001532D8"/>
    <w:rsid w:val="001633FB"/>
    <w:rsid w:val="00163A1B"/>
    <w:rsid w:val="00165735"/>
    <w:rsid w:val="00167786"/>
    <w:rsid w:val="00181019"/>
    <w:rsid w:val="001835BF"/>
    <w:rsid w:val="00184B86"/>
    <w:rsid w:val="001A02A4"/>
    <w:rsid w:val="001A24C9"/>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1F1DC4"/>
    <w:rsid w:val="00211B12"/>
    <w:rsid w:val="00211E0B"/>
    <w:rsid w:val="0021481D"/>
    <w:rsid w:val="00221589"/>
    <w:rsid w:val="00221AC2"/>
    <w:rsid w:val="00224CD9"/>
    <w:rsid w:val="002309A7"/>
    <w:rsid w:val="00235381"/>
    <w:rsid w:val="00237785"/>
    <w:rsid w:val="00241178"/>
    <w:rsid w:val="00241466"/>
    <w:rsid w:val="00243804"/>
    <w:rsid w:val="002440E7"/>
    <w:rsid w:val="00245E47"/>
    <w:rsid w:val="00247570"/>
    <w:rsid w:val="002565E2"/>
    <w:rsid w:val="00256979"/>
    <w:rsid w:val="00257C1E"/>
    <w:rsid w:val="00261B2A"/>
    <w:rsid w:val="00261B71"/>
    <w:rsid w:val="002621F5"/>
    <w:rsid w:val="002708B5"/>
    <w:rsid w:val="00270DDB"/>
    <w:rsid w:val="00271EF4"/>
    <w:rsid w:val="002725CA"/>
    <w:rsid w:val="00273A92"/>
    <w:rsid w:val="00277896"/>
    <w:rsid w:val="00277A09"/>
    <w:rsid w:val="00277E2F"/>
    <w:rsid w:val="00280EB7"/>
    <w:rsid w:val="0028205C"/>
    <w:rsid w:val="00285189"/>
    <w:rsid w:val="00285676"/>
    <w:rsid w:val="002921EA"/>
    <w:rsid w:val="002959E6"/>
    <w:rsid w:val="002976CF"/>
    <w:rsid w:val="002A0BD2"/>
    <w:rsid w:val="002A5B17"/>
    <w:rsid w:val="002B0609"/>
    <w:rsid w:val="002B067A"/>
    <w:rsid w:val="002B1514"/>
    <w:rsid w:val="002B1CDA"/>
    <w:rsid w:val="002C441F"/>
    <w:rsid w:val="002C7F25"/>
    <w:rsid w:val="002D5A85"/>
    <w:rsid w:val="002D5C7D"/>
    <w:rsid w:val="002D6CD7"/>
    <w:rsid w:val="002E35BB"/>
    <w:rsid w:val="002E63B5"/>
    <w:rsid w:val="002E7F83"/>
    <w:rsid w:val="002F323F"/>
    <w:rsid w:val="002F68FD"/>
    <w:rsid w:val="002F7870"/>
    <w:rsid w:val="003063E9"/>
    <w:rsid w:val="003107FA"/>
    <w:rsid w:val="0031227E"/>
    <w:rsid w:val="00315D73"/>
    <w:rsid w:val="00316FF9"/>
    <w:rsid w:val="00321716"/>
    <w:rsid w:val="003229D8"/>
    <w:rsid w:val="00327D0A"/>
    <w:rsid w:val="00330180"/>
    <w:rsid w:val="003517C3"/>
    <w:rsid w:val="00355502"/>
    <w:rsid w:val="00356BC7"/>
    <w:rsid w:val="00357A20"/>
    <w:rsid w:val="00364F88"/>
    <w:rsid w:val="00370944"/>
    <w:rsid w:val="00372F06"/>
    <w:rsid w:val="00375011"/>
    <w:rsid w:val="00381447"/>
    <w:rsid w:val="00391228"/>
    <w:rsid w:val="00391647"/>
    <w:rsid w:val="003921E6"/>
    <w:rsid w:val="0039277A"/>
    <w:rsid w:val="00393DC8"/>
    <w:rsid w:val="00395FD7"/>
    <w:rsid w:val="00396F6A"/>
    <w:rsid w:val="003972E0"/>
    <w:rsid w:val="003A1EC2"/>
    <w:rsid w:val="003A4561"/>
    <w:rsid w:val="003A52D7"/>
    <w:rsid w:val="003A5A16"/>
    <w:rsid w:val="003B62FE"/>
    <w:rsid w:val="003B73AC"/>
    <w:rsid w:val="003C0657"/>
    <w:rsid w:val="003C18C9"/>
    <w:rsid w:val="003C2CC4"/>
    <w:rsid w:val="003C655D"/>
    <w:rsid w:val="003D4B23"/>
    <w:rsid w:val="003D5245"/>
    <w:rsid w:val="003F23A4"/>
    <w:rsid w:val="003F3127"/>
    <w:rsid w:val="003F4777"/>
    <w:rsid w:val="003F5B52"/>
    <w:rsid w:val="00403EC6"/>
    <w:rsid w:val="00406CD4"/>
    <w:rsid w:val="00407DB1"/>
    <w:rsid w:val="004207CF"/>
    <w:rsid w:val="00430086"/>
    <w:rsid w:val="00430918"/>
    <w:rsid w:val="004325CB"/>
    <w:rsid w:val="004337AA"/>
    <w:rsid w:val="004354EE"/>
    <w:rsid w:val="00437F3F"/>
    <w:rsid w:val="00440C1E"/>
    <w:rsid w:val="00442365"/>
    <w:rsid w:val="00446DE4"/>
    <w:rsid w:val="00450ACC"/>
    <w:rsid w:val="00451F6F"/>
    <w:rsid w:val="00452D10"/>
    <w:rsid w:val="00452F3A"/>
    <w:rsid w:val="00454036"/>
    <w:rsid w:val="00454163"/>
    <w:rsid w:val="004562AA"/>
    <w:rsid w:val="0046443A"/>
    <w:rsid w:val="004653B3"/>
    <w:rsid w:val="004654C4"/>
    <w:rsid w:val="0046668F"/>
    <w:rsid w:val="004670A9"/>
    <w:rsid w:val="0046773D"/>
    <w:rsid w:val="0046788D"/>
    <w:rsid w:val="004801A8"/>
    <w:rsid w:val="0048304D"/>
    <w:rsid w:val="00484A9B"/>
    <w:rsid w:val="00490889"/>
    <w:rsid w:val="00492AF9"/>
    <w:rsid w:val="00494C77"/>
    <w:rsid w:val="00495ED2"/>
    <w:rsid w:val="00496A1D"/>
    <w:rsid w:val="00497711"/>
    <w:rsid w:val="004B2C9D"/>
    <w:rsid w:val="004B54B0"/>
    <w:rsid w:val="004B5939"/>
    <w:rsid w:val="004B5C97"/>
    <w:rsid w:val="004B73D6"/>
    <w:rsid w:val="004C39D0"/>
    <w:rsid w:val="004C4F1A"/>
    <w:rsid w:val="004C6D6D"/>
    <w:rsid w:val="004C7E5A"/>
    <w:rsid w:val="004D6FC1"/>
    <w:rsid w:val="004E0C5D"/>
    <w:rsid w:val="004E1665"/>
    <w:rsid w:val="004E64EE"/>
    <w:rsid w:val="004F32CF"/>
    <w:rsid w:val="004F4240"/>
    <w:rsid w:val="004F77CD"/>
    <w:rsid w:val="00503DE0"/>
    <w:rsid w:val="00505EEB"/>
    <w:rsid w:val="00506778"/>
    <w:rsid w:val="00507CEB"/>
    <w:rsid w:val="00507CF1"/>
    <w:rsid w:val="00520D85"/>
    <w:rsid w:val="00522177"/>
    <w:rsid w:val="005230E8"/>
    <w:rsid w:val="00527910"/>
    <w:rsid w:val="005420F2"/>
    <w:rsid w:val="00542505"/>
    <w:rsid w:val="0054570E"/>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A64DD"/>
    <w:rsid w:val="005B08AF"/>
    <w:rsid w:val="005B09F0"/>
    <w:rsid w:val="005B0CED"/>
    <w:rsid w:val="005B3DB3"/>
    <w:rsid w:val="005B528A"/>
    <w:rsid w:val="005C0AA1"/>
    <w:rsid w:val="005C4CB5"/>
    <w:rsid w:val="005D0C6C"/>
    <w:rsid w:val="005D6A38"/>
    <w:rsid w:val="005E5946"/>
    <w:rsid w:val="005F37AA"/>
    <w:rsid w:val="005F3A39"/>
    <w:rsid w:val="005F3E24"/>
    <w:rsid w:val="005F589C"/>
    <w:rsid w:val="005F5C2F"/>
    <w:rsid w:val="005F5C79"/>
    <w:rsid w:val="005F78C7"/>
    <w:rsid w:val="005F7BB1"/>
    <w:rsid w:val="00602490"/>
    <w:rsid w:val="00603E3C"/>
    <w:rsid w:val="0060539D"/>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6718"/>
    <w:rsid w:val="00667788"/>
    <w:rsid w:val="006678CB"/>
    <w:rsid w:val="00667C6B"/>
    <w:rsid w:val="0067006E"/>
    <w:rsid w:val="00670CF0"/>
    <w:rsid w:val="00675F87"/>
    <w:rsid w:val="0068050E"/>
    <w:rsid w:val="00690CD6"/>
    <w:rsid w:val="006937F4"/>
    <w:rsid w:val="0069386C"/>
    <w:rsid w:val="006A3932"/>
    <w:rsid w:val="006A5B6B"/>
    <w:rsid w:val="006A63E3"/>
    <w:rsid w:val="006A7392"/>
    <w:rsid w:val="006B1C55"/>
    <w:rsid w:val="006C0D34"/>
    <w:rsid w:val="006C251B"/>
    <w:rsid w:val="006C2F7E"/>
    <w:rsid w:val="006D3560"/>
    <w:rsid w:val="006D6ED0"/>
    <w:rsid w:val="006E36E7"/>
    <w:rsid w:val="006E3B65"/>
    <w:rsid w:val="006E4FFE"/>
    <w:rsid w:val="006E564B"/>
    <w:rsid w:val="006F0B98"/>
    <w:rsid w:val="006F6639"/>
    <w:rsid w:val="0070032B"/>
    <w:rsid w:val="007025C0"/>
    <w:rsid w:val="00707F04"/>
    <w:rsid w:val="00711637"/>
    <w:rsid w:val="00711737"/>
    <w:rsid w:val="00714F4F"/>
    <w:rsid w:val="00715844"/>
    <w:rsid w:val="0072632A"/>
    <w:rsid w:val="00732BD5"/>
    <w:rsid w:val="00733FA4"/>
    <w:rsid w:val="00736E6A"/>
    <w:rsid w:val="00741401"/>
    <w:rsid w:val="00741F59"/>
    <w:rsid w:val="007427B7"/>
    <w:rsid w:val="0074697D"/>
    <w:rsid w:val="00747CCD"/>
    <w:rsid w:val="00753CC3"/>
    <w:rsid w:val="00755EBE"/>
    <w:rsid w:val="00761619"/>
    <w:rsid w:val="0076177C"/>
    <w:rsid w:val="007624B6"/>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959"/>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56DA8"/>
    <w:rsid w:val="0086107D"/>
    <w:rsid w:val="00864251"/>
    <w:rsid w:val="00865914"/>
    <w:rsid w:val="00867E90"/>
    <w:rsid w:val="00871FD5"/>
    <w:rsid w:val="0087494C"/>
    <w:rsid w:val="00881213"/>
    <w:rsid w:val="008979B1"/>
    <w:rsid w:val="008A0B75"/>
    <w:rsid w:val="008A1542"/>
    <w:rsid w:val="008A2128"/>
    <w:rsid w:val="008A6914"/>
    <w:rsid w:val="008A6B25"/>
    <w:rsid w:val="008A6C4F"/>
    <w:rsid w:val="008A7679"/>
    <w:rsid w:val="008A7AB3"/>
    <w:rsid w:val="008B0105"/>
    <w:rsid w:val="008B1986"/>
    <w:rsid w:val="008B469C"/>
    <w:rsid w:val="008B65FB"/>
    <w:rsid w:val="008C178A"/>
    <w:rsid w:val="008C3B3C"/>
    <w:rsid w:val="008C4283"/>
    <w:rsid w:val="008C5CC5"/>
    <w:rsid w:val="008C74C3"/>
    <w:rsid w:val="008C7BF7"/>
    <w:rsid w:val="008D134F"/>
    <w:rsid w:val="008D3C75"/>
    <w:rsid w:val="008D6942"/>
    <w:rsid w:val="008E0E46"/>
    <w:rsid w:val="008E1DAE"/>
    <w:rsid w:val="008E295A"/>
    <w:rsid w:val="008E5C63"/>
    <w:rsid w:val="008F2D9A"/>
    <w:rsid w:val="008F44B8"/>
    <w:rsid w:val="008F504A"/>
    <w:rsid w:val="008F5E93"/>
    <w:rsid w:val="008F7E53"/>
    <w:rsid w:val="00904EBC"/>
    <w:rsid w:val="009077B4"/>
    <w:rsid w:val="00923019"/>
    <w:rsid w:val="00924B63"/>
    <w:rsid w:val="00924E15"/>
    <w:rsid w:val="00925AA3"/>
    <w:rsid w:val="00926D41"/>
    <w:rsid w:val="009363B6"/>
    <w:rsid w:val="00940F46"/>
    <w:rsid w:val="00941ECC"/>
    <w:rsid w:val="009422AF"/>
    <w:rsid w:val="00945A5D"/>
    <w:rsid w:val="00946A0D"/>
    <w:rsid w:val="0094736B"/>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82C"/>
    <w:rsid w:val="009A1D29"/>
    <w:rsid w:val="009C6394"/>
    <w:rsid w:val="009D0E2A"/>
    <w:rsid w:val="009D0F0E"/>
    <w:rsid w:val="009D1AAE"/>
    <w:rsid w:val="009D1DEE"/>
    <w:rsid w:val="009D2246"/>
    <w:rsid w:val="009D634E"/>
    <w:rsid w:val="009E1560"/>
    <w:rsid w:val="009E47FC"/>
    <w:rsid w:val="009F0F06"/>
    <w:rsid w:val="009F228E"/>
    <w:rsid w:val="009F369A"/>
    <w:rsid w:val="009F4FC5"/>
    <w:rsid w:val="009F6C67"/>
    <w:rsid w:val="00A06982"/>
    <w:rsid w:val="00A06F1A"/>
    <w:rsid w:val="00A11695"/>
    <w:rsid w:val="00A1427D"/>
    <w:rsid w:val="00A235F1"/>
    <w:rsid w:val="00A34B00"/>
    <w:rsid w:val="00A3777A"/>
    <w:rsid w:val="00A50077"/>
    <w:rsid w:val="00A505AA"/>
    <w:rsid w:val="00A54CA8"/>
    <w:rsid w:val="00A60196"/>
    <w:rsid w:val="00A60CAE"/>
    <w:rsid w:val="00A6199C"/>
    <w:rsid w:val="00A622AF"/>
    <w:rsid w:val="00A65F4A"/>
    <w:rsid w:val="00A66636"/>
    <w:rsid w:val="00A67B16"/>
    <w:rsid w:val="00A71119"/>
    <w:rsid w:val="00A721CE"/>
    <w:rsid w:val="00A72F22"/>
    <w:rsid w:val="00A744D7"/>
    <w:rsid w:val="00A748A6"/>
    <w:rsid w:val="00A74A46"/>
    <w:rsid w:val="00A75EC9"/>
    <w:rsid w:val="00A810D4"/>
    <w:rsid w:val="00A83538"/>
    <w:rsid w:val="00A8523D"/>
    <w:rsid w:val="00A8675B"/>
    <w:rsid w:val="00A879A4"/>
    <w:rsid w:val="00AA1D9A"/>
    <w:rsid w:val="00AA32EB"/>
    <w:rsid w:val="00AB382F"/>
    <w:rsid w:val="00AB4CF1"/>
    <w:rsid w:val="00AB75AE"/>
    <w:rsid w:val="00AC7E37"/>
    <w:rsid w:val="00AD0165"/>
    <w:rsid w:val="00AD34EE"/>
    <w:rsid w:val="00AD3DE3"/>
    <w:rsid w:val="00AD5A2F"/>
    <w:rsid w:val="00AD7C88"/>
    <w:rsid w:val="00AE271D"/>
    <w:rsid w:val="00AE4140"/>
    <w:rsid w:val="00AE45DE"/>
    <w:rsid w:val="00AF0846"/>
    <w:rsid w:val="00AF0878"/>
    <w:rsid w:val="00AF2F9D"/>
    <w:rsid w:val="00AF6710"/>
    <w:rsid w:val="00B013E6"/>
    <w:rsid w:val="00B04866"/>
    <w:rsid w:val="00B04D66"/>
    <w:rsid w:val="00B10C19"/>
    <w:rsid w:val="00B1157C"/>
    <w:rsid w:val="00B1501F"/>
    <w:rsid w:val="00B15454"/>
    <w:rsid w:val="00B23B4A"/>
    <w:rsid w:val="00B26710"/>
    <w:rsid w:val="00B26B3C"/>
    <w:rsid w:val="00B30179"/>
    <w:rsid w:val="00B314CB"/>
    <w:rsid w:val="00B3317B"/>
    <w:rsid w:val="00B35D5F"/>
    <w:rsid w:val="00B36C43"/>
    <w:rsid w:val="00B3742B"/>
    <w:rsid w:val="00B41384"/>
    <w:rsid w:val="00B4311E"/>
    <w:rsid w:val="00B4398E"/>
    <w:rsid w:val="00B47B1F"/>
    <w:rsid w:val="00B535B3"/>
    <w:rsid w:val="00B5392B"/>
    <w:rsid w:val="00B65556"/>
    <w:rsid w:val="00B71E2B"/>
    <w:rsid w:val="00B73DA8"/>
    <w:rsid w:val="00B74F7C"/>
    <w:rsid w:val="00B75E05"/>
    <w:rsid w:val="00B81E12"/>
    <w:rsid w:val="00B82C4A"/>
    <w:rsid w:val="00B84944"/>
    <w:rsid w:val="00B84AAC"/>
    <w:rsid w:val="00B90F54"/>
    <w:rsid w:val="00B9104E"/>
    <w:rsid w:val="00B91CC3"/>
    <w:rsid w:val="00B92A0C"/>
    <w:rsid w:val="00B93068"/>
    <w:rsid w:val="00B95488"/>
    <w:rsid w:val="00BB176D"/>
    <w:rsid w:val="00BB1E7F"/>
    <w:rsid w:val="00BB3B28"/>
    <w:rsid w:val="00BC0C09"/>
    <w:rsid w:val="00BC1AC9"/>
    <w:rsid w:val="00BC4BF8"/>
    <w:rsid w:val="00BC4C36"/>
    <w:rsid w:val="00BC5D32"/>
    <w:rsid w:val="00BC6610"/>
    <w:rsid w:val="00BC74E9"/>
    <w:rsid w:val="00BD109F"/>
    <w:rsid w:val="00BE0423"/>
    <w:rsid w:val="00BE1FF8"/>
    <w:rsid w:val="00BE2E91"/>
    <w:rsid w:val="00BE3609"/>
    <w:rsid w:val="00BE50CA"/>
    <w:rsid w:val="00BE618E"/>
    <w:rsid w:val="00BF479B"/>
    <w:rsid w:val="00BF4DE2"/>
    <w:rsid w:val="00BF65D7"/>
    <w:rsid w:val="00C0236F"/>
    <w:rsid w:val="00C0263F"/>
    <w:rsid w:val="00C03B44"/>
    <w:rsid w:val="00C13A85"/>
    <w:rsid w:val="00C15366"/>
    <w:rsid w:val="00C218A4"/>
    <w:rsid w:val="00C25D34"/>
    <w:rsid w:val="00C30546"/>
    <w:rsid w:val="00C30A1E"/>
    <w:rsid w:val="00C36D37"/>
    <w:rsid w:val="00C4087B"/>
    <w:rsid w:val="00C430B5"/>
    <w:rsid w:val="00C463DD"/>
    <w:rsid w:val="00C46D5B"/>
    <w:rsid w:val="00C530B1"/>
    <w:rsid w:val="00C537D5"/>
    <w:rsid w:val="00C545FA"/>
    <w:rsid w:val="00C62C83"/>
    <w:rsid w:val="00C62F76"/>
    <w:rsid w:val="00C63A69"/>
    <w:rsid w:val="00C66D78"/>
    <w:rsid w:val="00C745C3"/>
    <w:rsid w:val="00C8038E"/>
    <w:rsid w:val="00C81212"/>
    <w:rsid w:val="00C8430C"/>
    <w:rsid w:val="00C84FC2"/>
    <w:rsid w:val="00C84FF1"/>
    <w:rsid w:val="00C86C21"/>
    <w:rsid w:val="00C86DB8"/>
    <w:rsid w:val="00C91180"/>
    <w:rsid w:val="00C93C11"/>
    <w:rsid w:val="00C94D65"/>
    <w:rsid w:val="00C94DDD"/>
    <w:rsid w:val="00C971F6"/>
    <w:rsid w:val="00CA049C"/>
    <w:rsid w:val="00CA381C"/>
    <w:rsid w:val="00CA74D3"/>
    <w:rsid w:val="00CB0716"/>
    <w:rsid w:val="00CB143B"/>
    <w:rsid w:val="00CB2158"/>
    <w:rsid w:val="00CB22C9"/>
    <w:rsid w:val="00CB6380"/>
    <w:rsid w:val="00CC4CA6"/>
    <w:rsid w:val="00CD0009"/>
    <w:rsid w:val="00CD158A"/>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4311"/>
    <w:rsid w:val="00D164BA"/>
    <w:rsid w:val="00D2031B"/>
    <w:rsid w:val="00D25E8C"/>
    <w:rsid w:val="00D25FE2"/>
    <w:rsid w:val="00D27E89"/>
    <w:rsid w:val="00D37E80"/>
    <w:rsid w:val="00D43252"/>
    <w:rsid w:val="00D43D59"/>
    <w:rsid w:val="00D46231"/>
    <w:rsid w:val="00D477C4"/>
    <w:rsid w:val="00D5409C"/>
    <w:rsid w:val="00D57C13"/>
    <w:rsid w:val="00D57FD9"/>
    <w:rsid w:val="00D610C1"/>
    <w:rsid w:val="00D636B4"/>
    <w:rsid w:val="00D63EEF"/>
    <w:rsid w:val="00D658FA"/>
    <w:rsid w:val="00D67CDD"/>
    <w:rsid w:val="00D730E3"/>
    <w:rsid w:val="00D753D8"/>
    <w:rsid w:val="00D76D45"/>
    <w:rsid w:val="00D91E0D"/>
    <w:rsid w:val="00D920D7"/>
    <w:rsid w:val="00D9274F"/>
    <w:rsid w:val="00D96248"/>
    <w:rsid w:val="00D96CC5"/>
    <w:rsid w:val="00D978C6"/>
    <w:rsid w:val="00D97B77"/>
    <w:rsid w:val="00DA1023"/>
    <w:rsid w:val="00DA332C"/>
    <w:rsid w:val="00DA6620"/>
    <w:rsid w:val="00DA67AD"/>
    <w:rsid w:val="00DB655F"/>
    <w:rsid w:val="00DC3140"/>
    <w:rsid w:val="00DC581A"/>
    <w:rsid w:val="00DD42A0"/>
    <w:rsid w:val="00DD6801"/>
    <w:rsid w:val="00DD764B"/>
    <w:rsid w:val="00DE15A4"/>
    <w:rsid w:val="00DE236F"/>
    <w:rsid w:val="00DE3ECB"/>
    <w:rsid w:val="00DE4785"/>
    <w:rsid w:val="00DE7267"/>
    <w:rsid w:val="00DF0A4D"/>
    <w:rsid w:val="00DF1383"/>
    <w:rsid w:val="00DF3039"/>
    <w:rsid w:val="00DF3A04"/>
    <w:rsid w:val="00DF4518"/>
    <w:rsid w:val="00E01324"/>
    <w:rsid w:val="00E05B1C"/>
    <w:rsid w:val="00E07015"/>
    <w:rsid w:val="00E11783"/>
    <w:rsid w:val="00E12F6A"/>
    <w:rsid w:val="00E130AB"/>
    <w:rsid w:val="00E1679E"/>
    <w:rsid w:val="00E239A0"/>
    <w:rsid w:val="00E24DD8"/>
    <w:rsid w:val="00E34E58"/>
    <w:rsid w:val="00E3560E"/>
    <w:rsid w:val="00E36838"/>
    <w:rsid w:val="00E36C10"/>
    <w:rsid w:val="00E40B76"/>
    <w:rsid w:val="00E42457"/>
    <w:rsid w:val="00E42461"/>
    <w:rsid w:val="00E4443D"/>
    <w:rsid w:val="00E4670F"/>
    <w:rsid w:val="00E52EB0"/>
    <w:rsid w:val="00E54352"/>
    <w:rsid w:val="00E5644E"/>
    <w:rsid w:val="00E5691C"/>
    <w:rsid w:val="00E631BA"/>
    <w:rsid w:val="00E6448B"/>
    <w:rsid w:val="00E6613A"/>
    <w:rsid w:val="00E67F31"/>
    <w:rsid w:val="00E7260F"/>
    <w:rsid w:val="00E730D8"/>
    <w:rsid w:val="00E73EB3"/>
    <w:rsid w:val="00E7545A"/>
    <w:rsid w:val="00E81230"/>
    <w:rsid w:val="00E84898"/>
    <w:rsid w:val="00E8535A"/>
    <w:rsid w:val="00E864BE"/>
    <w:rsid w:val="00E87258"/>
    <w:rsid w:val="00E9064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128B"/>
    <w:rsid w:val="00ED3508"/>
    <w:rsid w:val="00ED3F6F"/>
    <w:rsid w:val="00ED64BE"/>
    <w:rsid w:val="00ED7A2A"/>
    <w:rsid w:val="00EE4D59"/>
    <w:rsid w:val="00EE4E42"/>
    <w:rsid w:val="00EE73C3"/>
    <w:rsid w:val="00EF18D3"/>
    <w:rsid w:val="00EF1D7F"/>
    <w:rsid w:val="00EF26C5"/>
    <w:rsid w:val="00EF4AAC"/>
    <w:rsid w:val="00EF6FCD"/>
    <w:rsid w:val="00F01C57"/>
    <w:rsid w:val="00F03FA2"/>
    <w:rsid w:val="00F05283"/>
    <w:rsid w:val="00F07537"/>
    <w:rsid w:val="00F075EF"/>
    <w:rsid w:val="00F07E12"/>
    <w:rsid w:val="00F1200D"/>
    <w:rsid w:val="00F138E5"/>
    <w:rsid w:val="00F14682"/>
    <w:rsid w:val="00F21360"/>
    <w:rsid w:val="00F2533A"/>
    <w:rsid w:val="00F30A8A"/>
    <w:rsid w:val="00F34267"/>
    <w:rsid w:val="00F3574D"/>
    <w:rsid w:val="00F40295"/>
    <w:rsid w:val="00F40E75"/>
    <w:rsid w:val="00F412D3"/>
    <w:rsid w:val="00F4216E"/>
    <w:rsid w:val="00F444E3"/>
    <w:rsid w:val="00F44619"/>
    <w:rsid w:val="00F5039C"/>
    <w:rsid w:val="00F5087E"/>
    <w:rsid w:val="00F519D1"/>
    <w:rsid w:val="00F51BAB"/>
    <w:rsid w:val="00F5233F"/>
    <w:rsid w:val="00F52DB2"/>
    <w:rsid w:val="00F535BE"/>
    <w:rsid w:val="00F54674"/>
    <w:rsid w:val="00F54D8D"/>
    <w:rsid w:val="00F64C95"/>
    <w:rsid w:val="00F72514"/>
    <w:rsid w:val="00F736C5"/>
    <w:rsid w:val="00F75E96"/>
    <w:rsid w:val="00F80C07"/>
    <w:rsid w:val="00F940FF"/>
    <w:rsid w:val="00FA00A0"/>
    <w:rsid w:val="00FA3FB7"/>
    <w:rsid w:val="00FB5A37"/>
    <w:rsid w:val="00FB7793"/>
    <w:rsid w:val="00FC18AA"/>
    <w:rsid w:val="00FC215C"/>
    <w:rsid w:val="00FC29AA"/>
    <w:rsid w:val="00FC68B7"/>
    <w:rsid w:val="00FD3C5D"/>
    <w:rsid w:val="00FD3E70"/>
    <w:rsid w:val="00FD4128"/>
    <w:rsid w:val="00FD6B2B"/>
    <w:rsid w:val="00FE3EEA"/>
    <w:rsid w:val="00FE5882"/>
    <w:rsid w:val="00FF03BB"/>
    <w:rsid w:val="00FF071A"/>
    <w:rsid w:val="00FF51FB"/>
    <w:rsid w:val="00FF6242"/>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1FE8CB"/>
  <w15:docId w15:val="{9C7CB030-FFAC-42EE-BBA3-8A443E23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lsdException w:name="List Number" w:semiHidden="1" w:uiPriority="99" w:unhideWhenUsed="1"/>
    <w:lsdException w:name="List 2" w:semiHidden="1" w:uiPriority="99"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Date" w:uiPriority="9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6242"/>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A8523D"/>
    <w:pPr>
      <w:spacing w:after="0" w:line="240" w:lineRule="auto"/>
      <w:ind w:right="0"/>
      <w:jc w:val="left"/>
      <w:outlineLvl w:val="0"/>
    </w:pPr>
  </w:style>
  <w:style w:type="paragraph" w:styleId="Heading2">
    <w:name w:val="heading 2"/>
    <w:basedOn w:val="Normal"/>
    <w:next w:val="Normal"/>
    <w:link w:val="Heading2Char"/>
    <w:uiPriority w:val="9"/>
    <w:qFormat/>
    <w:rsid w:val="00A8523D"/>
    <w:pPr>
      <w:spacing w:line="240" w:lineRule="auto"/>
      <w:outlineLvl w:val="1"/>
    </w:pPr>
  </w:style>
  <w:style w:type="paragraph" w:styleId="Heading3">
    <w:name w:val="heading 3"/>
    <w:basedOn w:val="Normal"/>
    <w:next w:val="Normal"/>
    <w:link w:val="Heading3Char"/>
    <w:uiPriority w:val="9"/>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uiPriority w:val="99"/>
    <w:qFormat/>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uiPriority w:val="99"/>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uiPriority w:val="99"/>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FF6242"/>
    <w:rPr>
      <w:color w:val="4F81BD" w:themeColor="accent1"/>
      <w:u w:val="singl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uiPriority w:val="99"/>
    <w:rsid w:val="008A6C4F"/>
    <w:pPr>
      <w:numPr>
        <w:numId w:val="35"/>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uiPriority w:val="11"/>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uiPriority w:val="9"/>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uiPriority w:val="99"/>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uiPriority w:val="10"/>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uiPriority w:val="9"/>
    <w:rsid w:val="00B84944"/>
    <w:rPr>
      <w:lang w:val="x-none" w:eastAsia="en-US"/>
    </w:rPr>
  </w:style>
  <w:style w:type="character" w:customStyle="1" w:styleId="Heading2Char">
    <w:name w:val="Heading 2 Char"/>
    <w:basedOn w:val="DefaultParagraphFont"/>
    <w:link w:val="Heading2"/>
    <w:uiPriority w:val="9"/>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uiPriority w:val="99"/>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uiPriority w:val="99"/>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uiPriority w:val="11"/>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character" w:customStyle="1" w:styleId="H23GChar">
    <w:name w:val="_ H_2/3_G Char"/>
    <w:link w:val="H23G"/>
    <w:rsid w:val="00B9104E"/>
    <w:rPr>
      <w:b/>
      <w:lang w:eastAsia="en-US"/>
    </w:rPr>
  </w:style>
  <w:style w:type="numbering" w:customStyle="1" w:styleId="KeineListe1">
    <w:name w:val="Keine Liste1"/>
    <w:next w:val="NoList"/>
    <w:uiPriority w:val="99"/>
    <w:semiHidden/>
    <w:unhideWhenUsed/>
    <w:rsid w:val="00BE2E91"/>
  </w:style>
  <w:style w:type="table" w:customStyle="1" w:styleId="Tabellenraster1">
    <w:name w:val="Tabellenraster1"/>
    <w:basedOn w:val="TableNormal"/>
    <w:next w:val="TableGrid"/>
    <w:uiPriority w:val="59"/>
    <w:rsid w:val="00BE2E91"/>
    <w:rPr>
      <w:rFonts w:eastAsia="Calibr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Normal"/>
    <w:rsid w:val="00BE2E91"/>
    <w:pPr>
      <w:keepNext/>
      <w:suppressAutoHyphens w:val="0"/>
      <w:spacing w:before="60" w:after="60" w:line="240" w:lineRule="auto"/>
      <w:jc w:val="center"/>
    </w:pPr>
    <w:rPr>
      <w:rFonts w:ascii="Verdana" w:eastAsia="Calibri" w:hAnsi="Verdana"/>
      <w:i/>
      <w:spacing w:val="-6"/>
      <w:sz w:val="17"/>
      <w:szCs w:val="17"/>
      <w:lang w:val="en-US"/>
    </w:rPr>
  </w:style>
  <w:style w:type="paragraph" w:customStyle="1" w:styleId="Tabelle-oben-links">
    <w:name w:val="Tabelle-oben-links"/>
    <w:basedOn w:val="Tabelle"/>
    <w:rsid w:val="00BE2E91"/>
    <w:pPr>
      <w:ind w:left="-175"/>
      <w:jc w:val="left"/>
    </w:pPr>
    <w:rPr>
      <w:b/>
      <w:i w:val="0"/>
      <w:spacing w:val="0"/>
      <w:sz w:val="22"/>
      <w:szCs w:val="22"/>
    </w:rPr>
  </w:style>
  <w:style w:type="paragraph" w:customStyle="1" w:styleId="Tabelle-Gefahrenklassen">
    <w:name w:val="Tabelle-Gefahrenklassen"/>
    <w:basedOn w:val="Tabelle"/>
    <w:rsid w:val="00BE2E91"/>
    <w:pPr>
      <w:ind w:left="57"/>
      <w:jc w:val="left"/>
    </w:pPr>
    <w:rPr>
      <w:spacing w:val="0"/>
      <w:sz w:val="18"/>
      <w:szCs w:val="20"/>
    </w:rPr>
  </w:style>
  <w:style w:type="paragraph" w:customStyle="1" w:styleId="Tabellenberschrift">
    <w:name w:val="Tabellenüberschrift"/>
    <w:basedOn w:val="Normal"/>
    <w:qFormat/>
    <w:rsid w:val="00BE2E91"/>
    <w:pPr>
      <w:keepNext/>
      <w:tabs>
        <w:tab w:val="left" w:pos="1134"/>
      </w:tabs>
      <w:suppressAutoHyphens w:val="0"/>
      <w:spacing w:before="240" w:line="240" w:lineRule="auto"/>
      <w:ind w:left="1134" w:hanging="1134"/>
    </w:pPr>
    <w:rPr>
      <w:rFonts w:ascii="Verdana" w:eastAsia="Times New Roman" w:hAnsi="Verdana"/>
      <w:sz w:val="22"/>
      <w:lang w:val="en-US"/>
    </w:rPr>
  </w:style>
  <w:style w:type="paragraph" w:customStyle="1" w:styleId="Authors">
    <w:name w:val="Authors"/>
    <w:basedOn w:val="Subtitle"/>
    <w:rsid w:val="00BE2E91"/>
    <w:pPr>
      <w:numPr>
        <w:ilvl w:val="1"/>
      </w:numPr>
      <w:suppressAutoHyphens w:val="0"/>
      <w:spacing w:before="240" w:after="120" w:line="240" w:lineRule="auto"/>
      <w:outlineLvl w:val="9"/>
    </w:pPr>
    <w:rPr>
      <w:rFonts w:ascii="Verdana" w:eastAsia="Times New Roman" w:hAnsi="Verdana" w:cs="Times New Roman"/>
      <w:iCs/>
      <w:kern w:val="28"/>
      <w:sz w:val="20"/>
      <w:szCs w:val="20"/>
      <w:lang w:val="de-DE"/>
    </w:rPr>
  </w:style>
  <w:style w:type="paragraph" w:customStyle="1" w:styleId="Authors2">
    <w:name w:val="Authors 2"/>
    <w:basedOn w:val="Authors"/>
    <w:rsid w:val="00BE2E91"/>
    <w:pPr>
      <w:tabs>
        <w:tab w:val="left" w:pos="284"/>
      </w:tabs>
      <w:spacing w:before="80"/>
      <w:ind w:left="284" w:hanging="284"/>
      <w:jc w:val="left"/>
    </w:pPr>
    <w:rPr>
      <w:i/>
      <w:sz w:val="18"/>
    </w:rPr>
  </w:style>
  <w:style w:type="paragraph" w:customStyle="1" w:styleId="Tabellberschriftfortsetzung">
    <w:name w:val="Tabellüberschriftfortsetzung"/>
    <w:basedOn w:val="Tabellenberschrift"/>
    <w:qFormat/>
    <w:rsid w:val="00BE2E91"/>
    <w:pPr>
      <w:tabs>
        <w:tab w:val="clear" w:pos="1134"/>
      </w:tabs>
      <w:spacing w:before="60" w:after="180"/>
      <w:ind w:firstLine="0"/>
    </w:pPr>
  </w:style>
  <w:style w:type="paragraph" w:styleId="Revision">
    <w:name w:val="Revision"/>
    <w:hidden/>
    <w:uiPriority w:val="99"/>
    <w:semiHidden/>
    <w:rsid w:val="00BE2E91"/>
    <w:rPr>
      <w:rFonts w:ascii="Verdana" w:eastAsia="Calibri" w:hAnsi="Verdana"/>
      <w:sz w:val="22"/>
      <w:szCs w:val="22"/>
      <w:lang w:val="en-US" w:eastAsia="en-US"/>
    </w:rPr>
  </w:style>
  <w:style w:type="paragraph" w:customStyle="1" w:styleId="Note">
    <w:name w:val="Note"/>
    <w:basedOn w:val="Normal"/>
    <w:qFormat/>
    <w:rsid w:val="00BE2E91"/>
    <w:pPr>
      <w:tabs>
        <w:tab w:val="left" w:pos="1276"/>
      </w:tabs>
      <w:suppressAutoHyphens w:val="0"/>
      <w:spacing w:after="120" w:line="240" w:lineRule="auto"/>
      <w:ind w:left="1276" w:hanging="1276"/>
    </w:pPr>
    <w:rPr>
      <w:rFonts w:ascii="Verdana" w:eastAsia="Calibri" w:hAnsi="Verdana"/>
      <w:sz w:val="22"/>
      <w:szCs w:val="22"/>
      <w:lang w:val="en-US"/>
    </w:rPr>
  </w:style>
  <w:style w:type="paragraph" w:customStyle="1" w:styleId="TextkrperDefinition">
    <w:name w:val="Textkörper_Definition"/>
    <w:basedOn w:val="BodyText"/>
    <w:next w:val="BodyText"/>
    <w:qFormat/>
    <w:rsid w:val="00BE2E91"/>
    <w:pPr>
      <w:keepLines/>
      <w:pBdr>
        <w:top w:val="single" w:sz="4" w:space="6" w:color="auto"/>
        <w:left w:val="single" w:sz="4" w:space="4" w:color="auto"/>
        <w:bottom w:val="single" w:sz="4" w:space="6" w:color="auto"/>
        <w:right w:val="single" w:sz="4" w:space="4" w:color="auto"/>
      </w:pBdr>
      <w:suppressAutoHyphens w:val="0"/>
      <w:spacing w:before="120" w:after="120" w:line="320" w:lineRule="exact"/>
    </w:pPr>
    <w:rPr>
      <w:rFonts w:ascii="Verdana" w:eastAsia="Calibri" w:hAnsi="Verdana"/>
      <w:i/>
      <w:spacing w:val="-2"/>
      <w:sz w:val="22"/>
      <w:szCs w:val="22"/>
      <w:lang w:val="en-US" w:eastAsia="de-DE"/>
    </w:rPr>
  </w:style>
  <w:style w:type="character" w:customStyle="1" w:styleId="kursiv">
    <w:name w:val="kursiv"/>
    <w:basedOn w:val="DefaultParagraphFont"/>
    <w:uiPriority w:val="1"/>
    <w:qFormat/>
    <w:rsid w:val="00BE2E91"/>
    <w:rPr>
      <w:i/>
    </w:rPr>
  </w:style>
  <w:style w:type="paragraph" w:customStyle="1" w:styleId="Tabelle-Note">
    <w:name w:val="Tabelle-Note"/>
    <w:basedOn w:val="Tabelle"/>
    <w:rsid w:val="00BE2E91"/>
    <w:rPr>
      <w:i w:val="0"/>
      <w:spacing w:val="0"/>
      <w:sz w:val="18"/>
      <w:szCs w:val="18"/>
    </w:rPr>
  </w:style>
  <w:style w:type="paragraph" w:customStyle="1" w:styleId="berschrift3Definition">
    <w:name w:val="Überschrift 3_Definition"/>
    <w:basedOn w:val="Heading3"/>
    <w:rsid w:val="00BE2E91"/>
    <w:pPr>
      <w:keepNext/>
      <w:pBdr>
        <w:top w:val="single" w:sz="4" w:space="6" w:color="auto"/>
        <w:left w:val="single" w:sz="4" w:space="4" w:color="auto"/>
        <w:bottom w:val="single" w:sz="4" w:space="6" w:color="auto"/>
        <w:right w:val="single" w:sz="4" w:space="4" w:color="auto"/>
      </w:pBdr>
      <w:suppressAutoHyphens w:val="0"/>
      <w:spacing w:before="120" w:after="120" w:line="320" w:lineRule="exact"/>
    </w:pPr>
    <w:rPr>
      <w:rFonts w:ascii="Verdana" w:eastAsia="Calibri" w:hAnsi="Verdana"/>
      <w:sz w:val="22"/>
      <w:szCs w:val="22"/>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47420397">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searchgate.net/publication/315997108" TargetMode="External"/><Relationship Id="rId4" Type="http://schemas.openxmlformats.org/officeDocument/2006/relationships/settings" Target="settings.xml"/><Relationship Id="rId9" Type="http://schemas.openxmlformats.org/officeDocument/2006/relationships/hyperlink" Target="https://www.sciencedirect.com/science/article/pii/S1871553217300336"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2DBC-F989-4584-9075-A8085675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0</TotalTime>
  <Pages>3</Pages>
  <Words>998</Words>
  <Characters>5691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2018-06-07T08:54:00Z</cp:lastPrinted>
  <dcterms:created xsi:type="dcterms:W3CDTF">2018-06-07T08:57:00Z</dcterms:created>
  <dcterms:modified xsi:type="dcterms:W3CDTF">2018-06-07T08:57:00Z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