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71E12A13" w14:textId="77777777" w:rsidTr="00B6553F">
        <w:trPr>
          <w:cantSplit/>
          <w:trHeight w:hRule="exact" w:val="851"/>
        </w:trPr>
        <w:tc>
          <w:tcPr>
            <w:tcW w:w="1276" w:type="dxa"/>
            <w:tcBorders>
              <w:bottom w:val="single" w:sz="4" w:space="0" w:color="auto"/>
            </w:tcBorders>
            <w:vAlign w:val="bottom"/>
          </w:tcPr>
          <w:p w14:paraId="57671A22" w14:textId="77777777" w:rsidR="00B56E9C" w:rsidRDefault="00B56E9C" w:rsidP="00B6553F">
            <w:pPr>
              <w:spacing w:after="80"/>
            </w:pPr>
          </w:p>
        </w:tc>
        <w:tc>
          <w:tcPr>
            <w:tcW w:w="2268" w:type="dxa"/>
            <w:tcBorders>
              <w:bottom w:val="single" w:sz="4" w:space="0" w:color="auto"/>
            </w:tcBorders>
            <w:vAlign w:val="bottom"/>
          </w:tcPr>
          <w:p w14:paraId="29627E6B"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989035" w14:textId="59A50F2B" w:rsidR="00B56E9C" w:rsidRPr="00D47EEA" w:rsidRDefault="00DC329B" w:rsidP="00DC329B">
            <w:pPr>
              <w:jc w:val="right"/>
            </w:pPr>
            <w:r w:rsidRPr="00DC329B">
              <w:rPr>
                <w:sz w:val="40"/>
              </w:rPr>
              <w:t>ECE</w:t>
            </w:r>
            <w:r>
              <w:t>/TRANS/WP.15/240/Corr.1</w:t>
            </w:r>
          </w:p>
        </w:tc>
      </w:tr>
      <w:tr w:rsidR="00B56E9C" w14:paraId="3015D6B3" w14:textId="77777777" w:rsidTr="00B6553F">
        <w:trPr>
          <w:cantSplit/>
          <w:trHeight w:hRule="exact" w:val="2835"/>
        </w:trPr>
        <w:tc>
          <w:tcPr>
            <w:tcW w:w="1276" w:type="dxa"/>
            <w:tcBorders>
              <w:top w:val="single" w:sz="4" w:space="0" w:color="auto"/>
              <w:bottom w:val="single" w:sz="12" w:space="0" w:color="auto"/>
            </w:tcBorders>
          </w:tcPr>
          <w:p w14:paraId="66181F86" w14:textId="77777777" w:rsidR="00B56E9C" w:rsidRDefault="00FF7D48" w:rsidP="00B6553F">
            <w:pPr>
              <w:spacing w:before="120"/>
            </w:pPr>
            <w:r>
              <w:rPr>
                <w:noProof/>
                <w:lang w:eastAsia="en-GB"/>
              </w:rPr>
              <w:drawing>
                <wp:inline distT="0" distB="0" distL="0" distR="0" wp14:anchorId="3726FE94" wp14:editId="6E01409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7E4500"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29EB5C" w14:textId="77777777" w:rsidR="00B56E9C" w:rsidRDefault="00DC329B" w:rsidP="00DC329B">
            <w:pPr>
              <w:spacing w:before="240" w:line="240" w:lineRule="exact"/>
            </w:pPr>
            <w:r>
              <w:t>Distr.: General</w:t>
            </w:r>
          </w:p>
          <w:p w14:paraId="64372ADF" w14:textId="0A973DA3" w:rsidR="00DC329B" w:rsidRDefault="002E3264" w:rsidP="00DC329B">
            <w:pPr>
              <w:spacing w:line="240" w:lineRule="exact"/>
            </w:pPr>
            <w:r>
              <w:t>6</w:t>
            </w:r>
            <w:bookmarkStart w:id="0" w:name="_GoBack"/>
            <w:bookmarkEnd w:id="0"/>
            <w:r w:rsidR="00566E49">
              <w:t xml:space="preserve"> </w:t>
            </w:r>
            <w:r w:rsidR="00DC329B">
              <w:t>June 2018</w:t>
            </w:r>
          </w:p>
          <w:p w14:paraId="33748FFE" w14:textId="4BCCA3A7" w:rsidR="00DC329B" w:rsidRDefault="00C14B39" w:rsidP="00DC329B">
            <w:pPr>
              <w:spacing w:line="240" w:lineRule="exact"/>
            </w:pPr>
            <w:r>
              <w:t>English</w:t>
            </w:r>
          </w:p>
          <w:p w14:paraId="19C4DB18" w14:textId="0C98B6AF" w:rsidR="00DC329B" w:rsidRDefault="00DC329B" w:rsidP="00DC329B">
            <w:pPr>
              <w:spacing w:line="240" w:lineRule="exact"/>
            </w:pPr>
            <w:r>
              <w:t>Original: English</w:t>
            </w:r>
            <w:r w:rsidR="00C14B39">
              <w:t xml:space="preserve"> and French</w:t>
            </w:r>
          </w:p>
        </w:tc>
      </w:tr>
    </w:tbl>
    <w:p w14:paraId="50DA6698" w14:textId="77777777" w:rsidR="00DC329B" w:rsidRDefault="00DC329B" w:rsidP="00DC329B">
      <w:pPr>
        <w:spacing w:before="120"/>
        <w:rPr>
          <w:b/>
          <w:sz w:val="28"/>
          <w:szCs w:val="28"/>
        </w:rPr>
      </w:pPr>
      <w:r w:rsidRPr="00832334">
        <w:rPr>
          <w:b/>
          <w:sz w:val="28"/>
          <w:szCs w:val="28"/>
        </w:rPr>
        <w:t>Economic Commission for Europe</w:t>
      </w:r>
    </w:p>
    <w:p w14:paraId="659EBFB1" w14:textId="77777777" w:rsidR="00DC329B" w:rsidRPr="008F31D2" w:rsidRDefault="00DC329B" w:rsidP="00DC329B">
      <w:pPr>
        <w:spacing w:before="120"/>
        <w:rPr>
          <w:sz w:val="28"/>
          <w:szCs w:val="28"/>
        </w:rPr>
      </w:pPr>
      <w:r>
        <w:rPr>
          <w:sz w:val="28"/>
          <w:szCs w:val="28"/>
        </w:rPr>
        <w:t>Inland Transport Committee</w:t>
      </w:r>
    </w:p>
    <w:p w14:paraId="162CC76A" w14:textId="77777777" w:rsidR="00DC329B" w:rsidRDefault="00DC329B" w:rsidP="00DC329B">
      <w:pPr>
        <w:spacing w:before="120"/>
        <w:rPr>
          <w:b/>
          <w:sz w:val="24"/>
          <w:szCs w:val="24"/>
        </w:rPr>
      </w:pPr>
      <w:r>
        <w:rPr>
          <w:b/>
          <w:sz w:val="24"/>
          <w:szCs w:val="24"/>
        </w:rPr>
        <w:t>Working Party on the Transport of Dangerous Goods</w:t>
      </w:r>
    </w:p>
    <w:p w14:paraId="4EEAE661" w14:textId="77777777" w:rsidR="00DC329B" w:rsidRPr="00C50EEA" w:rsidRDefault="00DC329B" w:rsidP="00DC329B">
      <w:pPr>
        <w:pStyle w:val="HChG"/>
        <w:rPr>
          <w:bCs/>
        </w:rPr>
      </w:pPr>
      <w:r w:rsidRPr="00C50EEA">
        <w:tab/>
      </w:r>
      <w:r w:rsidRPr="00C50EEA">
        <w:tab/>
      </w:r>
      <w:r w:rsidRPr="00C50EEA">
        <w:rPr>
          <w:bCs/>
        </w:rPr>
        <w:t>European Agreement concerning the International Carriage of Dangerous Goods by Road (ADR)</w:t>
      </w:r>
    </w:p>
    <w:p w14:paraId="2494EBE9" w14:textId="77777777" w:rsidR="00DC329B" w:rsidRPr="00C50EEA" w:rsidRDefault="00DC329B" w:rsidP="00DC329B">
      <w:pPr>
        <w:pStyle w:val="H1G"/>
      </w:pPr>
      <w:r w:rsidRPr="00C50EEA">
        <w:tab/>
      </w:r>
      <w:r w:rsidRPr="00C50EEA">
        <w:tab/>
        <w:t>Draft amendments to annexes A and B of ADR</w:t>
      </w:r>
    </w:p>
    <w:p w14:paraId="002B06DD" w14:textId="77777777" w:rsidR="00DC329B" w:rsidRDefault="00DC329B" w:rsidP="00DC329B">
      <w:pPr>
        <w:pStyle w:val="H23G"/>
      </w:pPr>
      <w:r>
        <w:tab/>
      </w:r>
      <w:r>
        <w:tab/>
        <w:t>Corrigendum</w:t>
      </w:r>
    </w:p>
    <w:p w14:paraId="0DB30F20" w14:textId="4D7B0D01" w:rsidR="00A27C14" w:rsidRPr="00110B57" w:rsidRDefault="00A27C14" w:rsidP="00A27C14">
      <w:pPr>
        <w:pStyle w:val="H23G"/>
      </w:pPr>
      <w:r w:rsidRPr="00110B57">
        <w:tab/>
      </w:r>
      <w:r w:rsidR="00566E49">
        <w:t>1.</w:t>
      </w:r>
      <w:r w:rsidRPr="00110B57">
        <w:tab/>
        <w:t>Chapter 1.6, amendment to 1.6.1.40 to replace “subsidiary risk label” by “subsidiary hazard label”</w:t>
      </w:r>
    </w:p>
    <w:p w14:paraId="2957F301" w14:textId="77777777" w:rsidR="00A27C14" w:rsidRPr="00110B57" w:rsidRDefault="00A27C14" w:rsidP="00A27C14">
      <w:pPr>
        <w:pStyle w:val="SingleTxtG"/>
        <w:rPr>
          <w:i/>
        </w:rPr>
      </w:pPr>
      <w:r w:rsidRPr="00110B57">
        <w:rPr>
          <w:i/>
        </w:rPr>
        <w:t>Delete</w:t>
      </w:r>
    </w:p>
    <w:p w14:paraId="2E122DEF" w14:textId="38F04586" w:rsidR="00DC329B" w:rsidRPr="00566E49" w:rsidRDefault="00566E49" w:rsidP="00566E49">
      <w:pPr>
        <w:pStyle w:val="H23G"/>
      </w:pPr>
      <w:r>
        <w:tab/>
        <w:t>2.</w:t>
      </w:r>
      <w:r>
        <w:tab/>
      </w:r>
      <w:r w:rsidR="00DC329B" w:rsidRPr="00566E49">
        <w:t>Chapter 1.6, new transitional measure 1.6.1.44</w:t>
      </w:r>
    </w:p>
    <w:p w14:paraId="0A78FB33" w14:textId="77777777" w:rsidR="00DC329B" w:rsidRPr="000369F1" w:rsidRDefault="00DC329B" w:rsidP="00DC329B">
      <w:pPr>
        <w:pStyle w:val="SingleTxtG"/>
      </w:pPr>
      <w:r w:rsidRPr="000369F1">
        <w:t>Not applicable to English.</w:t>
      </w:r>
    </w:p>
    <w:p w14:paraId="5E49910B" w14:textId="66EF81A8" w:rsidR="00DC329B" w:rsidRPr="00110B57" w:rsidRDefault="00DC329B" w:rsidP="00DC329B">
      <w:pPr>
        <w:pStyle w:val="H23G"/>
      </w:pPr>
      <w:r w:rsidRPr="00110B57">
        <w:tab/>
      </w:r>
      <w:r w:rsidR="00566E49">
        <w:t>3.</w:t>
      </w:r>
      <w:r w:rsidRPr="00110B57">
        <w:tab/>
        <w:t>Chapter 1.6, new transitional measure 1.6.3.49</w:t>
      </w:r>
    </w:p>
    <w:p w14:paraId="474E31B5" w14:textId="77777777" w:rsidR="00DC329B" w:rsidRPr="00110B57" w:rsidRDefault="00DC329B" w:rsidP="00DC329B">
      <w:pPr>
        <w:pStyle w:val="SingleTxtG"/>
      </w:pPr>
      <w:r w:rsidRPr="00110B57">
        <w:rPr>
          <w:i/>
        </w:rPr>
        <w:t>For</w:t>
      </w:r>
      <w:r w:rsidRPr="00110B57">
        <w:t xml:space="preserve"> nominal pressure of the bursting disc </w:t>
      </w:r>
      <w:r w:rsidRPr="00110B57">
        <w:rPr>
          <w:i/>
        </w:rPr>
        <w:t>read</w:t>
      </w:r>
      <w:r w:rsidRPr="00110B57">
        <w:t xml:space="preserve"> </w:t>
      </w:r>
      <w:bookmarkStart w:id="1" w:name="_Hlk515974663"/>
      <w:r w:rsidRPr="00110B57">
        <w:t>burst pressure of the bursting disc</w:t>
      </w:r>
      <w:bookmarkEnd w:id="1"/>
    </w:p>
    <w:p w14:paraId="4BEAAE5D" w14:textId="2379D2CE" w:rsidR="0021234A" w:rsidRPr="00110B57" w:rsidRDefault="0021234A" w:rsidP="0021234A">
      <w:pPr>
        <w:pStyle w:val="H23G"/>
      </w:pPr>
      <w:r w:rsidRPr="00110B57">
        <w:tab/>
      </w:r>
      <w:r>
        <w:t>4.</w:t>
      </w:r>
      <w:r w:rsidRPr="00110B57">
        <w:tab/>
        <w:t>Chapter 1.6, after new transitional measure 1.6.3.53</w:t>
      </w:r>
    </w:p>
    <w:p w14:paraId="05300DF0" w14:textId="77777777" w:rsidR="0021234A" w:rsidRPr="00110B57" w:rsidRDefault="0021234A" w:rsidP="0021234A">
      <w:pPr>
        <w:pStyle w:val="SingleTxtG"/>
        <w:rPr>
          <w:iCs/>
        </w:rPr>
      </w:pPr>
      <w:r w:rsidRPr="00110B57">
        <w:rPr>
          <w:i/>
        </w:rPr>
        <w:t xml:space="preserve">Insert </w:t>
      </w:r>
      <w:r w:rsidRPr="00110B57">
        <w:rPr>
          <w:iCs/>
        </w:rPr>
        <w:t>Renumber 1.6.3.50 as 1.6.3.100.</w:t>
      </w:r>
    </w:p>
    <w:p w14:paraId="1DD5B703" w14:textId="5EAC5850" w:rsidR="00DC329B" w:rsidRPr="00110B57" w:rsidRDefault="00DC329B" w:rsidP="00DC329B">
      <w:pPr>
        <w:pStyle w:val="H23G"/>
      </w:pPr>
      <w:r w:rsidRPr="00110B57">
        <w:tab/>
      </w:r>
      <w:r w:rsidR="0021234A">
        <w:t>5</w:t>
      </w:r>
      <w:r w:rsidR="00566E49">
        <w:t>.</w:t>
      </w:r>
      <w:r w:rsidRPr="00110B57">
        <w:tab/>
        <w:t>Chapter 1.6, new transitional measure 1.6.4.51</w:t>
      </w:r>
    </w:p>
    <w:p w14:paraId="2ADAA1CB" w14:textId="77777777" w:rsidR="00DC329B" w:rsidRPr="00110B57" w:rsidRDefault="00DC329B" w:rsidP="00DC329B">
      <w:pPr>
        <w:pStyle w:val="SingleTxtG"/>
      </w:pPr>
      <w:r w:rsidRPr="00110B57">
        <w:rPr>
          <w:i/>
        </w:rPr>
        <w:t>For</w:t>
      </w:r>
      <w:r w:rsidRPr="00110B57">
        <w:t xml:space="preserve"> nominal pressure of the bursting disc </w:t>
      </w:r>
      <w:r w:rsidRPr="00110B57">
        <w:rPr>
          <w:i/>
        </w:rPr>
        <w:t>read</w:t>
      </w:r>
      <w:r w:rsidRPr="00110B57">
        <w:t xml:space="preserve"> </w:t>
      </w:r>
      <w:bookmarkStart w:id="2" w:name="_Hlk515974760"/>
      <w:r w:rsidRPr="00110B57">
        <w:t>burst pressure of the bursting disc</w:t>
      </w:r>
      <w:bookmarkEnd w:id="2"/>
    </w:p>
    <w:p w14:paraId="7B139C0A" w14:textId="53095B88" w:rsidR="00DC329B" w:rsidRPr="00566E49" w:rsidRDefault="00566E49" w:rsidP="00566E49">
      <w:pPr>
        <w:pStyle w:val="H23G"/>
      </w:pPr>
      <w:r>
        <w:tab/>
        <w:t>6.</w:t>
      </w:r>
      <w:r>
        <w:tab/>
      </w:r>
      <w:r w:rsidR="00DC329B" w:rsidRPr="00566E49">
        <w:t>Chapter 1.8, amendment to 1.8.3.1</w:t>
      </w:r>
    </w:p>
    <w:p w14:paraId="3A56132F" w14:textId="77777777" w:rsidR="00DC329B" w:rsidRPr="000369F1" w:rsidRDefault="00DC329B" w:rsidP="00DC329B">
      <w:pPr>
        <w:pStyle w:val="SingleTxtG"/>
      </w:pPr>
      <w:r w:rsidRPr="000369F1">
        <w:t xml:space="preserve">For the existing text </w:t>
      </w:r>
      <w:r w:rsidRPr="000369F1">
        <w:rPr>
          <w:i/>
          <w:iCs/>
        </w:rPr>
        <w:t>substitute:</w:t>
      </w:r>
    </w:p>
    <w:p w14:paraId="132ACD1D" w14:textId="77777777" w:rsidR="00DC329B" w:rsidRPr="000369F1" w:rsidRDefault="00DC329B" w:rsidP="000F6C3A">
      <w:pPr>
        <w:pStyle w:val="SingleTxtG"/>
        <w:ind w:left="1701"/>
      </w:pPr>
      <w:r w:rsidRPr="000369F1">
        <w:t>1.8.3.1</w:t>
      </w:r>
      <w:r w:rsidRPr="000369F1">
        <w:tab/>
      </w:r>
      <w:r w:rsidRPr="000369F1">
        <w:tab/>
        <w:t>At the beginning, replace “the activities of which include the carriage, or the related packing, loading, filling or unloading, of dangerous goods by road” by “</w:t>
      </w:r>
      <w:bookmarkStart w:id="3" w:name="_Hlk515974826"/>
      <w:r w:rsidRPr="000369F1">
        <w:t>the activities of which include the consigning or the carriage of dangerous goods by road, or the related packing, loading, filling or unloading</w:t>
      </w:r>
      <w:bookmarkEnd w:id="3"/>
      <w:r w:rsidRPr="000369F1">
        <w:t>”.</w:t>
      </w:r>
    </w:p>
    <w:p w14:paraId="6C0B9F9C" w14:textId="2B612B04" w:rsidR="00A27C14" w:rsidRPr="00110B57" w:rsidRDefault="00A27C14" w:rsidP="00A27C14">
      <w:pPr>
        <w:pStyle w:val="H23G"/>
      </w:pPr>
      <w:r w:rsidRPr="00110B57">
        <w:lastRenderedPageBreak/>
        <w:tab/>
      </w:r>
      <w:r w:rsidR="00566E49">
        <w:t>7.</w:t>
      </w:r>
      <w:r w:rsidRPr="00110B57">
        <w:tab/>
        <w:t>Chapter 2.1, new section 2.1.5</w:t>
      </w:r>
    </w:p>
    <w:p w14:paraId="14F707DB" w14:textId="77777777" w:rsidR="00A27C14" w:rsidRPr="00110B57" w:rsidRDefault="00A27C14" w:rsidP="00A27C14">
      <w:pPr>
        <w:pStyle w:val="SingleTxtG"/>
        <w:rPr>
          <w:iCs/>
        </w:rPr>
      </w:pPr>
      <w:r w:rsidRPr="00110B57">
        <w:rPr>
          <w:iCs/>
        </w:rPr>
        <w:t>Not applicable to English.</w:t>
      </w:r>
    </w:p>
    <w:p w14:paraId="78D9902D" w14:textId="24738027" w:rsidR="00EB68C4" w:rsidRPr="00566E49" w:rsidRDefault="00566E49" w:rsidP="00566E49">
      <w:pPr>
        <w:pStyle w:val="H23G"/>
      </w:pPr>
      <w:r>
        <w:tab/>
        <w:t>8.</w:t>
      </w:r>
      <w:r>
        <w:tab/>
      </w:r>
      <w:r w:rsidR="00EB68C4" w:rsidRPr="00566E49">
        <w:t>Chapter 2.2, amendment to 2.2.51.1.3</w:t>
      </w:r>
    </w:p>
    <w:p w14:paraId="4D7D15F8" w14:textId="77777777" w:rsidR="00EB68C4" w:rsidRPr="00B90873" w:rsidRDefault="00EB68C4" w:rsidP="00EB68C4">
      <w:pPr>
        <w:pStyle w:val="SingleTxtG"/>
      </w:pPr>
      <w:r w:rsidRPr="00B90873">
        <w:rPr>
          <w:i/>
          <w:iCs/>
        </w:rPr>
        <w:t xml:space="preserve">For </w:t>
      </w:r>
      <w:r w:rsidRPr="00B90873">
        <w:t xml:space="preserve">thirteenth indent </w:t>
      </w:r>
      <w:r w:rsidRPr="00B90873">
        <w:rPr>
          <w:i/>
          <w:iCs/>
        </w:rPr>
        <w:t xml:space="preserve">read </w:t>
      </w:r>
      <w:r w:rsidRPr="00B90873">
        <w:t>thirteenth and fourteenth indents</w:t>
      </w:r>
    </w:p>
    <w:p w14:paraId="6264DEAB" w14:textId="46F4336A" w:rsidR="00EB68C4" w:rsidRPr="00566E49" w:rsidRDefault="00566E49" w:rsidP="00566E49">
      <w:pPr>
        <w:pStyle w:val="H23G"/>
      </w:pPr>
      <w:r>
        <w:tab/>
        <w:t>9.</w:t>
      </w:r>
      <w:r>
        <w:tab/>
      </w:r>
      <w:r w:rsidR="00EB68C4" w:rsidRPr="00566E49">
        <w:t xml:space="preserve">Chapter 2.2, amendment to 2.2.51.2.2, </w:t>
      </w:r>
      <w:r w:rsidR="008C14FF">
        <w:t>under</w:t>
      </w:r>
      <w:r w:rsidR="00EB68C4" w:rsidRPr="00566E49">
        <w:t xml:space="preserve"> the </w:t>
      </w:r>
      <w:r w:rsidR="00EB68C4" w:rsidRPr="00BC37AD">
        <w:t>in</w:t>
      </w:r>
      <w:r w:rsidR="00EB68C4" w:rsidRPr="00A5005D">
        <w:t>dent</w:t>
      </w:r>
      <w:r w:rsidR="003033C0" w:rsidRPr="00A5005D">
        <w:t xml:space="preserve"> ending with “other than UN No. 2067;”</w:t>
      </w:r>
    </w:p>
    <w:p w14:paraId="52BF304B" w14:textId="77777777" w:rsidR="00EB68C4" w:rsidRPr="00B90873" w:rsidRDefault="00EB68C4" w:rsidP="00EB68C4">
      <w:pPr>
        <w:pStyle w:val="SingleTxtG"/>
        <w:rPr>
          <w:i/>
          <w:iCs/>
        </w:rPr>
      </w:pPr>
      <w:r w:rsidRPr="00B90873">
        <w:rPr>
          <w:i/>
          <w:iCs/>
        </w:rPr>
        <w:t>Insert</w:t>
      </w:r>
    </w:p>
    <w:p w14:paraId="0BAC95D9" w14:textId="6C38982B" w:rsidR="00EB68C4" w:rsidRPr="00B90873" w:rsidRDefault="00EB68C4" w:rsidP="000F6C3A">
      <w:pPr>
        <w:pStyle w:val="SingleTxtG"/>
        <w:ind w:left="1701"/>
      </w:pPr>
      <w:bookmarkStart w:id="4" w:name="_Hlk515975618"/>
      <w:r w:rsidRPr="00B90873">
        <w:rPr>
          <w:b/>
          <w:bCs/>
          <w:i/>
          <w:iCs/>
        </w:rPr>
        <w:t>NOTE:</w:t>
      </w:r>
      <w:r w:rsidRPr="00B90873">
        <w:rPr>
          <w:i/>
          <w:iCs/>
        </w:rPr>
        <w:tab/>
      </w:r>
      <w:r w:rsidRPr="00B90873">
        <w:rPr>
          <w:i/>
        </w:rPr>
        <w:t>The term “competent authority” means the competent authority of the country of origin. If the country of origin is not a Contracting Party to ADR, the classification and conditions of carriage shall be recognized by the competent authority of the first country Contracting Party to ADR reached by the consignment.</w:t>
      </w:r>
      <w:bookmarkEnd w:id="4"/>
    </w:p>
    <w:p w14:paraId="63F50A7D" w14:textId="6937C2ED" w:rsidR="00A27C14" w:rsidRPr="00110B57" w:rsidRDefault="00A27C14" w:rsidP="00A27C14">
      <w:pPr>
        <w:pStyle w:val="H23G"/>
      </w:pPr>
      <w:r w:rsidRPr="00110B57">
        <w:tab/>
      </w:r>
      <w:r w:rsidR="00566E49">
        <w:t>10.</w:t>
      </w:r>
      <w:r w:rsidRPr="00110B57">
        <w:tab/>
        <w:t>Chapter 2.2, 2.2.8.2.1, second occurrence</w:t>
      </w:r>
    </w:p>
    <w:p w14:paraId="4AA04483" w14:textId="77777777" w:rsidR="00A27C14" w:rsidRPr="00110B57" w:rsidRDefault="00A27C14" w:rsidP="00A27C14">
      <w:pPr>
        <w:pStyle w:val="SingleTxtG"/>
      </w:pPr>
      <w:r w:rsidRPr="00110B57">
        <w:rPr>
          <w:i/>
          <w:iCs/>
        </w:rPr>
        <w:t>For</w:t>
      </w:r>
      <w:r w:rsidRPr="00110B57">
        <w:t xml:space="preserve"> 2.2.8.2.1 </w:t>
      </w:r>
      <w:r w:rsidRPr="00110B57">
        <w:rPr>
          <w:i/>
          <w:iCs/>
        </w:rPr>
        <w:t>read</w:t>
      </w:r>
      <w:r w:rsidRPr="00110B57">
        <w:t xml:space="preserve"> 2.2.8.2.2</w:t>
      </w:r>
    </w:p>
    <w:p w14:paraId="01712D09" w14:textId="42003066" w:rsidR="00DC329B" w:rsidRPr="00110B57" w:rsidRDefault="00DC329B" w:rsidP="00DC329B">
      <w:pPr>
        <w:pStyle w:val="H23G"/>
      </w:pPr>
      <w:r w:rsidRPr="00110B57">
        <w:tab/>
      </w:r>
      <w:r w:rsidR="00566E49">
        <w:t>11.</w:t>
      </w:r>
      <w:r w:rsidRPr="00110B57">
        <w:tab/>
        <w:t>Chapter 2.2, amendment to 2.2.9.1.7, new sub- paragraph (g), after "cells or batteries"</w:t>
      </w:r>
    </w:p>
    <w:p w14:paraId="6DD964C5" w14:textId="77777777" w:rsidR="00DC329B" w:rsidRPr="00110B57" w:rsidRDefault="00DC329B" w:rsidP="00DC329B">
      <w:pPr>
        <w:pStyle w:val="SingleTxtG"/>
        <w:tabs>
          <w:tab w:val="left" w:pos="2268"/>
        </w:tabs>
      </w:pPr>
      <w:r w:rsidRPr="00110B57">
        <w:rPr>
          <w:i/>
        </w:rPr>
        <w:t>Insert</w:t>
      </w:r>
      <w:r w:rsidRPr="00110B57">
        <w:t xml:space="preserve"> </w:t>
      </w:r>
      <w:bookmarkStart w:id="5" w:name="_Hlk515975878"/>
      <w:r w:rsidRPr="00110B57">
        <w:t>manufactured after 30 June 2003</w:t>
      </w:r>
      <w:bookmarkEnd w:id="5"/>
    </w:p>
    <w:p w14:paraId="47FBC3BE" w14:textId="3013EB58" w:rsidR="00A27C14" w:rsidRPr="00110B57" w:rsidRDefault="00A27C14" w:rsidP="00A27C14">
      <w:pPr>
        <w:pStyle w:val="H23G"/>
      </w:pPr>
      <w:r w:rsidRPr="00110B57">
        <w:tab/>
      </w:r>
      <w:r w:rsidR="00566E49">
        <w:t>12.</w:t>
      </w:r>
      <w:r w:rsidRPr="00110B57">
        <w:tab/>
        <w:t>Chapter 3.2, table A, for UN No 2071</w:t>
      </w:r>
    </w:p>
    <w:p w14:paraId="20911DE0" w14:textId="77777777" w:rsidR="00A27C14" w:rsidRPr="00110B57" w:rsidRDefault="00A27C14" w:rsidP="00A27C14">
      <w:pPr>
        <w:pStyle w:val="SingleTxtG"/>
      </w:pPr>
      <w:r w:rsidRPr="00110B57">
        <w:rPr>
          <w:i/>
          <w:iCs/>
        </w:rPr>
        <w:t xml:space="preserve">Delete </w:t>
      </w:r>
      <w:proofErr w:type="gramStart"/>
      <w:r w:rsidRPr="00110B57">
        <w:t>In</w:t>
      </w:r>
      <w:proofErr w:type="gramEnd"/>
      <w:r w:rsidRPr="00110B57">
        <w:t xml:space="preserve"> Column (3b), insert “M11”.</w:t>
      </w:r>
    </w:p>
    <w:p w14:paraId="7A33E9A5" w14:textId="2736C743" w:rsidR="00A27C14" w:rsidRPr="00110B57" w:rsidRDefault="00A27C14" w:rsidP="00A27C14">
      <w:pPr>
        <w:pStyle w:val="H23G"/>
      </w:pPr>
      <w:r w:rsidRPr="00110B57">
        <w:tab/>
      </w:r>
      <w:r w:rsidR="00566E49">
        <w:t>13.</w:t>
      </w:r>
      <w:r w:rsidRPr="00110B57">
        <w:tab/>
        <w:t>Chapter 3.2, table A, for UN No. 2381</w:t>
      </w:r>
    </w:p>
    <w:p w14:paraId="349765E3" w14:textId="77777777" w:rsidR="00A27C14" w:rsidRPr="00110B57" w:rsidRDefault="00A27C14" w:rsidP="00A27C14">
      <w:pPr>
        <w:pStyle w:val="SingleTxtG"/>
        <w:rPr>
          <w:iCs/>
        </w:rPr>
      </w:pPr>
      <w:r w:rsidRPr="00110B57">
        <w:rPr>
          <w:i/>
        </w:rPr>
        <w:t xml:space="preserve">For </w:t>
      </w:r>
      <w:r w:rsidRPr="00110B57">
        <w:rPr>
          <w:iCs/>
        </w:rPr>
        <w:t xml:space="preserve">TP38 </w:t>
      </w:r>
      <w:r w:rsidRPr="00110B57">
        <w:rPr>
          <w:i/>
        </w:rPr>
        <w:t xml:space="preserve">read </w:t>
      </w:r>
      <w:r w:rsidRPr="00110B57">
        <w:rPr>
          <w:iCs/>
        </w:rPr>
        <w:t>TP39</w:t>
      </w:r>
    </w:p>
    <w:p w14:paraId="2F2C948D" w14:textId="55B839FD" w:rsidR="00A27C14" w:rsidRPr="00110B57" w:rsidRDefault="00A27C14" w:rsidP="00A27C14">
      <w:pPr>
        <w:pStyle w:val="H23G"/>
      </w:pPr>
      <w:r w:rsidRPr="00110B57">
        <w:tab/>
      </w:r>
      <w:r w:rsidR="00566E49">
        <w:t>14.</w:t>
      </w:r>
      <w:r w:rsidRPr="00110B57">
        <w:tab/>
        <w:t>Chapter 3.2, table A, for UN No. 3148</w:t>
      </w:r>
    </w:p>
    <w:p w14:paraId="5C4BABF4" w14:textId="77777777" w:rsidR="00A27C14" w:rsidRPr="00110B57" w:rsidRDefault="00A27C14" w:rsidP="00A27C14">
      <w:pPr>
        <w:pStyle w:val="SingleTxtG"/>
        <w:rPr>
          <w:iCs/>
        </w:rPr>
      </w:pPr>
      <w:r w:rsidRPr="00110B57">
        <w:rPr>
          <w:i/>
        </w:rPr>
        <w:t xml:space="preserve">For </w:t>
      </w:r>
      <w:r w:rsidRPr="00110B57">
        <w:rPr>
          <w:iCs/>
        </w:rPr>
        <w:t xml:space="preserve">TP39 </w:t>
      </w:r>
      <w:r w:rsidRPr="00110B57">
        <w:rPr>
          <w:i/>
        </w:rPr>
        <w:t xml:space="preserve">read </w:t>
      </w:r>
      <w:r w:rsidRPr="00110B57">
        <w:rPr>
          <w:iCs/>
        </w:rPr>
        <w:t>TP38</w:t>
      </w:r>
    </w:p>
    <w:p w14:paraId="5E109B76" w14:textId="30080721" w:rsidR="00A27C14" w:rsidRPr="00110B57" w:rsidRDefault="00A27C14" w:rsidP="00A27C14">
      <w:pPr>
        <w:pStyle w:val="H23G"/>
      </w:pPr>
      <w:r w:rsidRPr="00110B57">
        <w:tab/>
      </w:r>
      <w:r w:rsidR="00566E49">
        <w:t>15.</w:t>
      </w:r>
      <w:r w:rsidRPr="00110B57">
        <w:tab/>
        <w:t>Chapter 3.2, table A, for UN Nos. 3528, 3529 and 3530</w:t>
      </w:r>
    </w:p>
    <w:p w14:paraId="3E28E651" w14:textId="77777777" w:rsidR="00A27C14" w:rsidRPr="00110B57" w:rsidRDefault="00A27C14" w:rsidP="00A27C14">
      <w:pPr>
        <w:pStyle w:val="SingleTxtG"/>
        <w:rPr>
          <w:i/>
        </w:rPr>
      </w:pPr>
      <w:r w:rsidRPr="00110B57">
        <w:rPr>
          <w:iCs/>
        </w:rPr>
        <w:t xml:space="preserve">For the existing text, </w:t>
      </w:r>
      <w:r w:rsidRPr="00110B57">
        <w:rPr>
          <w:i/>
        </w:rPr>
        <w:t>substitute</w:t>
      </w:r>
    </w:p>
    <w:p w14:paraId="42189335" w14:textId="77777777" w:rsidR="00A27C14" w:rsidRPr="00110B57" w:rsidRDefault="00A27C14" w:rsidP="00A27C14">
      <w:pPr>
        <w:pStyle w:val="SingleTxtG"/>
        <w:ind w:left="1701"/>
        <w:rPr>
          <w:iCs/>
        </w:rPr>
      </w:pPr>
      <w:r w:rsidRPr="00110B57">
        <w:rPr>
          <w:iCs/>
        </w:rPr>
        <w:t xml:space="preserve">For UN No. 3528, in Column (15), insert </w:t>
      </w:r>
    </w:p>
    <w:p w14:paraId="43D433AB" w14:textId="77777777" w:rsidR="00A27C14" w:rsidRPr="00110B57" w:rsidRDefault="00A27C14" w:rsidP="00A27C14">
      <w:pPr>
        <w:pStyle w:val="SingleTxtG"/>
        <w:ind w:left="1701"/>
        <w:rPr>
          <w:iCs/>
        </w:rPr>
      </w:pPr>
      <w:r>
        <w:rPr>
          <w:iCs/>
        </w:rPr>
        <w:t>“</w:t>
      </w:r>
      <w:r w:rsidRPr="00110B57">
        <w:rPr>
          <w:iCs/>
        </w:rPr>
        <w:t xml:space="preserve"> -</w:t>
      </w:r>
    </w:p>
    <w:p w14:paraId="3ECEF1AD" w14:textId="77777777" w:rsidR="00A27C14" w:rsidRPr="00110B57" w:rsidRDefault="00A27C14" w:rsidP="00A27C14">
      <w:pPr>
        <w:pStyle w:val="SingleTxtG"/>
        <w:ind w:left="1701"/>
        <w:rPr>
          <w:iCs/>
        </w:rPr>
      </w:pPr>
      <w:r>
        <w:rPr>
          <w:iCs/>
        </w:rPr>
        <w:t>(D)”</w:t>
      </w:r>
      <w:r w:rsidRPr="00110B57">
        <w:rPr>
          <w:iCs/>
        </w:rPr>
        <w:t>.</w:t>
      </w:r>
    </w:p>
    <w:p w14:paraId="241A496C" w14:textId="77777777" w:rsidR="00A27C14" w:rsidRPr="00110B57" w:rsidRDefault="00A27C14" w:rsidP="00A27C14">
      <w:pPr>
        <w:pStyle w:val="SingleTxtG"/>
        <w:ind w:left="1701"/>
        <w:rPr>
          <w:iCs/>
        </w:rPr>
      </w:pPr>
      <w:r w:rsidRPr="00110B57">
        <w:rPr>
          <w:iCs/>
        </w:rPr>
        <w:t>For UN No. 3529, in Column (15), insert</w:t>
      </w:r>
    </w:p>
    <w:p w14:paraId="1F7F8A54" w14:textId="77777777" w:rsidR="00A27C14" w:rsidRPr="00110B57" w:rsidRDefault="00A27C14" w:rsidP="00A27C14">
      <w:pPr>
        <w:pStyle w:val="SingleTxtG"/>
        <w:ind w:left="1701"/>
        <w:rPr>
          <w:iCs/>
        </w:rPr>
      </w:pPr>
      <w:r>
        <w:rPr>
          <w:iCs/>
        </w:rPr>
        <w:t>“</w:t>
      </w:r>
      <w:r w:rsidRPr="00110B57">
        <w:rPr>
          <w:iCs/>
        </w:rPr>
        <w:t xml:space="preserve"> -</w:t>
      </w:r>
    </w:p>
    <w:p w14:paraId="7AEA870A" w14:textId="77777777" w:rsidR="00A27C14" w:rsidRPr="00110B57" w:rsidRDefault="00A27C14" w:rsidP="00A27C14">
      <w:pPr>
        <w:pStyle w:val="SingleTxtG"/>
        <w:ind w:left="1701"/>
        <w:rPr>
          <w:iCs/>
        </w:rPr>
      </w:pPr>
      <w:r>
        <w:rPr>
          <w:iCs/>
        </w:rPr>
        <w:t>(B)”</w:t>
      </w:r>
      <w:r w:rsidRPr="00110B57">
        <w:rPr>
          <w:iCs/>
        </w:rPr>
        <w:t>.</w:t>
      </w:r>
    </w:p>
    <w:p w14:paraId="124B7243" w14:textId="77777777" w:rsidR="00A27C14" w:rsidRPr="00110B57" w:rsidRDefault="00A27C14" w:rsidP="00A27C14">
      <w:pPr>
        <w:pStyle w:val="SingleTxtG"/>
        <w:ind w:left="1701"/>
        <w:rPr>
          <w:iCs/>
        </w:rPr>
      </w:pPr>
      <w:r w:rsidRPr="00110B57">
        <w:rPr>
          <w:iCs/>
        </w:rPr>
        <w:t>For UN No. 3530, in Column (15), insert</w:t>
      </w:r>
    </w:p>
    <w:p w14:paraId="736B2FE8" w14:textId="77777777" w:rsidR="00A27C14" w:rsidRPr="00110B57" w:rsidRDefault="00A27C14" w:rsidP="00A27C14">
      <w:pPr>
        <w:pStyle w:val="SingleTxtG"/>
        <w:ind w:left="1701"/>
        <w:rPr>
          <w:iCs/>
        </w:rPr>
      </w:pPr>
      <w:r>
        <w:rPr>
          <w:iCs/>
        </w:rPr>
        <w:t xml:space="preserve">“ </w:t>
      </w:r>
      <w:r w:rsidRPr="00110B57">
        <w:rPr>
          <w:iCs/>
        </w:rPr>
        <w:t>-</w:t>
      </w:r>
    </w:p>
    <w:p w14:paraId="7219C0A1" w14:textId="77777777" w:rsidR="00A27C14" w:rsidRPr="00110B57" w:rsidRDefault="00A27C14" w:rsidP="00A27C14">
      <w:pPr>
        <w:pStyle w:val="SingleTxtG"/>
        <w:ind w:left="1701"/>
        <w:rPr>
          <w:iCs/>
        </w:rPr>
      </w:pPr>
      <w:r w:rsidRPr="00110B57">
        <w:rPr>
          <w:iCs/>
        </w:rPr>
        <w:t>(E)</w:t>
      </w:r>
      <w:r>
        <w:rPr>
          <w:iCs/>
        </w:rPr>
        <w:t>”</w:t>
      </w:r>
      <w:r w:rsidRPr="00110B57">
        <w:rPr>
          <w:iCs/>
        </w:rPr>
        <w:t>.</w:t>
      </w:r>
    </w:p>
    <w:p w14:paraId="60FFC950" w14:textId="7389173E" w:rsidR="00DC329B" w:rsidRPr="00566E49" w:rsidRDefault="00566E49" w:rsidP="00566E49">
      <w:pPr>
        <w:pStyle w:val="H23G"/>
      </w:pPr>
      <w:r>
        <w:lastRenderedPageBreak/>
        <w:tab/>
        <w:t>16.</w:t>
      </w:r>
      <w:r>
        <w:tab/>
      </w:r>
      <w:r w:rsidR="00DC329B" w:rsidRPr="00566E49">
        <w:t>Chapter 3.3, amendment to special provision 251</w:t>
      </w:r>
      <w:r w:rsidR="002B495C" w:rsidRPr="00566E49">
        <w:t>, sub-paragraph (a)</w:t>
      </w:r>
    </w:p>
    <w:p w14:paraId="4FDAE066" w14:textId="77777777" w:rsidR="00DC329B" w:rsidRPr="000369F1" w:rsidRDefault="00DC329B" w:rsidP="00DC329B">
      <w:pPr>
        <w:pStyle w:val="SingleTxtG"/>
      </w:pPr>
      <w:r w:rsidRPr="000369F1">
        <w:t>Not applicable to English.</w:t>
      </w:r>
    </w:p>
    <w:p w14:paraId="5C57F6CD" w14:textId="4BF5C7BB" w:rsidR="002B495C" w:rsidRPr="00566E49" w:rsidRDefault="00566E49" w:rsidP="00566E49">
      <w:pPr>
        <w:pStyle w:val="H23G"/>
      </w:pPr>
      <w:r>
        <w:tab/>
        <w:t>17.</w:t>
      </w:r>
      <w:r>
        <w:tab/>
      </w:r>
      <w:r w:rsidR="002B495C" w:rsidRPr="00566E49">
        <w:t>Chapter 3.3, amendment to special provision 251, at the end of sub-paragraph (a)</w:t>
      </w:r>
    </w:p>
    <w:p w14:paraId="35A4072A" w14:textId="37D5903D" w:rsidR="002B495C" w:rsidRPr="000369F1" w:rsidRDefault="002B495C" w:rsidP="002B495C">
      <w:pPr>
        <w:pStyle w:val="SingleTxtG"/>
      </w:pPr>
      <w:r w:rsidRPr="000369F1">
        <w:t>Not applicable to English.</w:t>
      </w:r>
    </w:p>
    <w:p w14:paraId="78526DC5" w14:textId="3C9500F7" w:rsidR="00097AB6" w:rsidRPr="00566E49" w:rsidRDefault="00566E49" w:rsidP="00566E49">
      <w:pPr>
        <w:pStyle w:val="H23G"/>
      </w:pPr>
      <w:r>
        <w:tab/>
        <w:t>18.</w:t>
      </w:r>
      <w:r>
        <w:tab/>
      </w:r>
      <w:r w:rsidR="00097AB6" w:rsidRPr="00566E49">
        <w:t>Chapter 3.3, amendment to special provision 307, second sentence</w:t>
      </w:r>
    </w:p>
    <w:p w14:paraId="0D4A0A64" w14:textId="77777777" w:rsidR="00097AB6" w:rsidRPr="00B90873" w:rsidRDefault="00097AB6" w:rsidP="00097AB6">
      <w:pPr>
        <w:pStyle w:val="SingleTxtG"/>
      </w:pPr>
      <w:r w:rsidRPr="00B90873">
        <w:rPr>
          <w:i/>
          <w:iCs/>
        </w:rPr>
        <w:t xml:space="preserve">For </w:t>
      </w:r>
      <w:r w:rsidRPr="00B90873">
        <w:t xml:space="preserve">thirteenth indent </w:t>
      </w:r>
      <w:r w:rsidRPr="00B90873">
        <w:rPr>
          <w:i/>
          <w:iCs/>
        </w:rPr>
        <w:t xml:space="preserve">read </w:t>
      </w:r>
      <w:r w:rsidRPr="00B90873">
        <w:t>thirteenth and fourteenth indents</w:t>
      </w:r>
    </w:p>
    <w:p w14:paraId="1D710DA9" w14:textId="5F5665BE" w:rsidR="00EC2D73" w:rsidRPr="002B495C" w:rsidRDefault="00EC2D73" w:rsidP="00EC2D73">
      <w:pPr>
        <w:pStyle w:val="H23G"/>
      </w:pPr>
      <w:r w:rsidRPr="00110B57">
        <w:tab/>
      </w:r>
      <w:r w:rsidR="00566E49">
        <w:t>19.</w:t>
      </w:r>
      <w:r w:rsidR="00566E49">
        <w:tab/>
      </w:r>
      <w:r w:rsidRPr="002B495C">
        <w:t>Chapter 3.3, new special provision 388, fourth paragraph</w:t>
      </w:r>
    </w:p>
    <w:p w14:paraId="1525DDB2" w14:textId="77777777" w:rsidR="00EC2D73" w:rsidRPr="00110B57" w:rsidRDefault="00EC2D73" w:rsidP="00EC2D73">
      <w:pPr>
        <w:pStyle w:val="SingleTxtG"/>
        <w:rPr>
          <w:iCs/>
        </w:rPr>
      </w:pPr>
      <w:r w:rsidRPr="002B495C">
        <w:rPr>
          <w:iCs/>
        </w:rPr>
        <w:t>Not applicable to English.</w:t>
      </w:r>
    </w:p>
    <w:p w14:paraId="0A5F6CCA" w14:textId="7EC01F4E" w:rsidR="0086618F" w:rsidRPr="002B495C" w:rsidRDefault="0086618F" w:rsidP="0086618F">
      <w:pPr>
        <w:pStyle w:val="H23G"/>
      </w:pPr>
      <w:r w:rsidRPr="00110B57">
        <w:tab/>
      </w:r>
      <w:r w:rsidR="00566E49">
        <w:t>20.</w:t>
      </w:r>
      <w:r w:rsidRPr="00110B57">
        <w:tab/>
      </w:r>
      <w:r w:rsidRPr="002B495C">
        <w:t xml:space="preserve">Chapter 3.3, new special provision </w:t>
      </w:r>
      <w:r>
        <w:t>391</w:t>
      </w:r>
    </w:p>
    <w:p w14:paraId="26CB5C02" w14:textId="643CC9BC" w:rsidR="0086618F" w:rsidRPr="00110B57" w:rsidRDefault="0086618F" w:rsidP="0086618F">
      <w:pPr>
        <w:pStyle w:val="SingleTxtG"/>
        <w:rPr>
          <w:iCs/>
        </w:rPr>
      </w:pPr>
      <w:r w:rsidRPr="00110B57">
        <w:rPr>
          <w:i/>
        </w:rPr>
        <w:t xml:space="preserve">For </w:t>
      </w:r>
      <w:r>
        <w:rPr>
          <w:iCs/>
        </w:rPr>
        <w:t>391</w:t>
      </w:r>
      <w:r w:rsidRPr="00110B57">
        <w:rPr>
          <w:iCs/>
        </w:rPr>
        <w:t xml:space="preserve"> </w:t>
      </w:r>
      <w:r w:rsidRPr="00110B57">
        <w:rPr>
          <w:i/>
        </w:rPr>
        <w:t xml:space="preserve">read </w:t>
      </w:r>
      <w:r>
        <w:rPr>
          <w:iCs/>
        </w:rPr>
        <w:t>390-391</w:t>
      </w:r>
    </w:p>
    <w:p w14:paraId="3A87CB47" w14:textId="61F9A599" w:rsidR="00DC329B" w:rsidRPr="00110B57" w:rsidRDefault="00DC329B" w:rsidP="00DC329B">
      <w:pPr>
        <w:pStyle w:val="H23G"/>
      </w:pPr>
      <w:r w:rsidRPr="00110B57">
        <w:tab/>
      </w:r>
      <w:r w:rsidR="00566E49">
        <w:t>21.</w:t>
      </w:r>
      <w:r w:rsidRPr="00110B57">
        <w:tab/>
        <w:t>Chapter 3.3, in new special provision 392, in sub-paragraph (a), in the table (</w:t>
      </w:r>
      <w:r w:rsidR="004E773C">
        <w:t>five</w:t>
      </w:r>
      <w:r w:rsidRPr="00110B57">
        <w:t xml:space="preserve"> times)</w:t>
      </w:r>
    </w:p>
    <w:p w14:paraId="068E416E" w14:textId="4DF50260" w:rsidR="00DC329B" w:rsidRDefault="00DC329B" w:rsidP="00DC329B">
      <w:pPr>
        <w:pStyle w:val="SingleTxtG"/>
      </w:pPr>
      <w:r w:rsidRPr="00110B57">
        <w:rPr>
          <w:i/>
        </w:rPr>
        <w:t>For</w:t>
      </w:r>
      <w:r w:rsidRPr="00110B57">
        <w:t xml:space="preserve"> ECE Regulation </w:t>
      </w:r>
      <w:r w:rsidRPr="00110B57">
        <w:rPr>
          <w:i/>
        </w:rPr>
        <w:t>read</w:t>
      </w:r>
      <w:r w:rsidRPr="00110B57">
        <w:t xml:space="preserve"> UN Regulation</w:t>
      </w:r>
    </w:p>
    <w:p w14:paraId="21177EA1" w14:textId="7A08EDF9" w:rsidR="006704BA" w:rsidRPr="00110B57" w:rsidRDefault="006704BA" w:rsidP="006704BA">
      <w:pPr>
        <w:pStyle w:val="H23G"/>
      </w:pPr>
      <w:r w:rsidRPr="00110B57">
        <w:tab/>
      </w:r>
      <w:r w:rsidR="00566E49">
        <w:t>22.</w:t>
      </w:r>
      <w:r w:rsidRPr="00110B57">
        <w:tab/>
        <w:t>Chapter 3.3, in new special provision 392, in sub-paragraph (a), in the table</w:t>
      </w:r>
      <w:r>
        <w:t>, penultimate row, second column</w:t>
      </w:r>
    </w:p>
    <w:p w14:paraId="1D61B876" w14:textId="24B47288" w:rsidR="006704BA" w:rsidRDefault="006704BA" w:rsidP="006704BA">
      <w:pPr>
        <w:pStyle w:val="SingleTxtG"/>
      </w:pPr>
      <w:r w:rsidRPr="00110B57">
        <w:rPr>
          <w:i/>
        </w:rPr>
        <w:t>For</w:t>
      </w:r>
      <w:r w:rsidRPr="00110B57">
        <w:t xml:space="preserve"> </w:t>
      </w:r>
      <w:r w:rsidRPr="006704BA">
        <w:t>Hydrogen and fuel cell vehicles (HFCV)</w:t>
      </w:r>
      <w:r w:rsidRPr="00110B57">
        <w:t xml:space="preserve"> </w:t>
      </w:r>
      <w:r w:rsidRPr="00110B57">
        <w:rPr>
          <w:i/>
        </w:rPr>
        <w:t>read</w:t>
      </w:r>
      <w:r w:rsidRPr="00110B57">
        <w:t xml:space="preserve"> </w:t>
      </w:r>
      <w:r w:rsidR="005D192E" w:rsidRPr="005D192E">
        <w:t xml:space="preserve">Uniform provisions concerning the approval of motor vehicles and their components </w:t>
      </w:r>
      <w:proofErr w:type="gramStart"/>
      <w:r w:rsidR="005D192E" w:rsidRPr="005D192E">
        <w:t>with regard to</w:t>
      </w:r>
      <w:proofErr w:type="gramEnd"/>
      <w:r w:rsidR="005D192E" w:rsidRPr="005D192E">
        <w:t xml:space="preserve"> the safety-related performance of hydrogen-fuelled vehicles (HFCV)</w:t>
      </w:r>
    </w:p>
    <w:p w14:paraId="04A39BCA" w14:textId="1FFB4622" w:rsidR="008D1424" w:rsidRPr="00110B57" w:rsidRDefault="008D1424" w:rsidP="008D1424">
      <w:pPr>
        <w:pStyle w:val="H23G"/>
      </w:pPr>
      <w:r w:rsidRPr="00110B57">
        <w:tab/>
      </w:r>
      <w:r w:rsidR="00566E49">
        <w:t>23.</w:t>
      </w:r>
      <w:r w:rsidRPr="00110B57">
        <w:tab/>
        <w:t>Chapter 3.3, in new special provision 392, in sub-paragraph (</w:t>
      </w:r>
      <w:r w:rsidR="009A2539">
        <w:t>b</w:t>
      </w:r>
      <w:r w:rsidRPr="00110B57">
        <w:t xml:space="preserve">), </w:t>
      </w:r>
      <w:r>
        <w:t>Note 1</w:t>
      </w:r>
    </w:p>
    <w:p w14:paraId="4B690121" w14:textId="57FEC6EA" w:rsidR="008D1424" w:rsidRPr="00110B57" w:rsidRDefault="008D1424" w:rsidP="00566E49">
      <w:pPr>
        <w:pStyle w:val="SingleTxtG"/>
      </w:pPr>
      <w:r w:rsidRPr="00566E49">
        <w:rPr>
          <w:i/>
          <w:iCs/>
        </w:rPr>
        <w:t>For</w:t>
      </w:r>
      <w:r>
        <w:t xml:space="preserve"> </w:t>
      </w:r>
      <w:bookmarkStart w:id="6" w:name="_Hlk515970433"/>
      <w:r w:rsidR="006704BA">
        <w:t xml:space="preserve">ISO 11623:2015 </w:t>
      </w:r>
      <w:bookmarkEnd w:id="6"/>
      <w:r w:rsidR="006704BA">
        <w:t xml:space="preserve">Transportable gas cylinders – Periodic inspection and testing of composite gas cylinders </w:t>
      </w:r>
      <w:r w:rsidR="006704BA">
        <w:rPr>
          <w:i/>
          <w:iCs/>
        </w:rPr>
        <w:t>r</w:t>
      </w:r>
      <w:r w:rsidRPr="00566E49">
        <w:rPr>
          <w:i/>
          <w:iCs/>
        </w:rPr>
        <w:t>ead</w:t>
      </w:r>
      <w:r>
        <w:t xml:space="preserve"> </w:t>
      </w:r>
      <w:r w:rsidR="006704BA">
        <w:t xml:space="preserve">ISO 11623:2015 </w:t>
      </w:r>
      <w:r>
        <w:t>Gas cylinders – Composite construction – Periodic inspection and testing</w:t>
      </w:r>
    </w:p>
    <w:p w14:paraId="1756D905" w14:textId="68203A65" w:rsidR="00571645" w:rsidRDefault="00571645" w:rsidP="00571645">
      <w:pPr>
        <w:pStyle w:val="H23G"/>
      </w:pPr>
      <w:r>
        <w:tab/>
        <w:t>24.</w:t>
      </w:r>
      <w:r>
        <w:tab/>
        <w:t>Chapter 3.3, in new special provision 392, examples at the end</w:t>
      </w:r>
    </w:p>
    <w:p w14:paraId="79D0601E" w14:textId="77777777" w:rsidR="00571645" w:rsidRDefault="00571645" w:rsidP="00571645">
      <w:pPr>
        <w:pStyle w:val="SingleTxtG"/>
        <w:rPr>
          <w:b/>
          <w:bCs/>
        </w:rPr>
      </w:pPr>
      <w:r>
        <w:t>Not applicable to English</w:t>
      </w:r>
      <w:r>
        <w:rPr>
          <w:b/>
          <w:bCs/>
        </w:rPr>
        <w:t>.</w:t>
      </w:r>
    </w:p>
    <w:p w14:paraId="1A70DC40" w14:textId="101B951B" w:rsidR="00DC329B" w:rsidRPr="00566E49" w:rsidRDefault="00566E49" w:rsidP="00566E49">
      <w:pPr>
        <w:pStyle w:val="H23G"/>
      </w:pPr>
      <w:r>
        <w:tab/>
        <w:t>2</w:t>
      </w:r>
      <w:r w:rsidR="00571645">
        <w:t>5</w:t>
      </w:r>
      <w:r>
        <w:t>.</w:t>
      </w:r>
      <w:r>
        <w:tab/>
      </w:r>
      <w:r w:rsidR="00DC329B" w:rsidRPr="00566E49">
        <w:t>Chapter 4.1, amendment to packing instruction P801</w:t>
      </w:r>
    </w:p>
    <w:p w14:paraId="76BE3B12" w14:textId="77777777" w:rsidR="00DC329B" w:rsidRPr="000369F1" w:rsidRDefault="00DC329B" w:rsidP="00DC329B">
      <w:pPr>
        <w:pStyle w:val="SingleTxtG"/>
      </w:pPr>
      <w:r w:rsidRPr="000369F1">
        <w:t>Not applicable to English.</w:t>
      </w:r>
    </w:p>
    <w:p w14:paraId="7AED07BD" w14:textId="47723486" w:rsidR="00DC329B" w:rsidRPr="00566E49" w:rsidRDefault="00566E49" w:rsidP="00566E49">
      <w:pPr>
        <w:pStyle w:val="H23G"/>
      </w:pPr>
      <w:r>
        <w:tab/>
        <w:t>2</w:t>
      </w:r>
      <w:r w:rsidR="00571645">
        <w:t>6</w:t>
      </w:r>
      <w:r>
        <w:t>.</w:t>
      </w:r>
      <w:r>
        <w:tab/>
      </w:r>
      <w:r w:rsidR="00DC329B" w:rsidRPr="00566E49">
        <w:t>Chapter 4.1, 4.1.4.1, new packing instruction P006</w:t>
      </w:r>
    </w:p>
    <w:p w14:paraId="724ED492" w14:textId="77777777" w:rsidR="00DC329B" w:rsidRPr="000369F1" w:rsidRDefault="00DC329B" w:rsidP="00DC329B">
      <w:pPr>
        <w:pStyle w:val="SingleTxtG"/>
      </w:pPr>
      <w:r w:rsidRPr="000369F1">
        <w:t>Not applicable to English.</w:t>
      </w:r>
    </w:p>
    <w:p w14:paraId="553DC911" w14:textId="0A7FF8FE" w:rsidR="00DC329B" w:rsidRPr="00566E49" w:rsidRDefault="00566E49" w:rsidP="00566E49">
      <w:pPr>
        <w:pStyle w:val="H23G"/>
      </w:pPr>
      <w:r>
        <w:tab/>
        <w:t>2</w:t>
      </w:r>
      <w:r w:rsidR="00571645">
        <w:t>7</w:t>
      </w:r>
      <w:r>
        <w:t>.</w:t>
      </w:r>
      <w:r>
        <w:tab/>
      </w:r>
      <w:r w:rsidR="00DC329B" w:rsidRPr="00566E49">
        <w:t>Chapter 4.1, 4.1.4.3, new packing instruction LP03</w:t>
      </w:r>
    </w:p>
    <w:p w14:paraId="3E577DE6" w14:textId="77777777" w:rsidR="00DC329B" w:rsidRPr="000369F1" w:rsidRDefault="00DC329B" w:rsidP="00DC329B">
      <w:pPr>
        <w:pStyle w:val="SingleTxtG"/>
      </w:pPr>
      <w:r w:rsidRPr="000369F1">
        <w:t>Not applicable to English.</w:t>
      </w:r>
    </w:p>
    <w:p w14:paraId="35E478A6" w14:textId="68F41013" w:rsidR="00EC2D73" w:rsidRPr="00110B57" w:rsidRDefault="00EC2D73" w:rsidP="00EC2D73">
      <w:pPr>
        <w:pStyle w:val="H23G"/>
      </w:pPr>
      <w:r w:rsidRPr="00110B57">
        <w:tab/>
      </w:r>
      <w:r w:rsidR="00566E49">
        <w:t>2</w:t>
      </w:r>
      <w:r w:rsidR="00571645">
        <w:t>8</w:t>
      </w:r>
      <w:r w:rsidR="00566E49">
        <w:t>.</w:t>
      </w:r>
      <w:r w:rsidR="00566E49">
        <w:tab/>
      </w:r>
      <w:r w:rsidRPr="00110B57">
        <w:t>Chapter 4.3, 4.3.4.1.3, table, for Class 4.1, for UN Nos. ONU 3533 and 3534</w:t>
      </w:r>
    </w:p>
    <w:p w14:paraId="18F53A18" w14:textId="77777777" w:rsidR="00EC2D73" w:rsidRPr="00110B57" w:rsidRDefault="00EC2D73" w:rsidP="00EC2D73">
      <w:pPr>
        <w:pStyle w:val="SingleTxtG"/>
      </w:pPr>
      <w:r w:rsidRPr="00110B57">
        <w:rPr>
          <w:i/>
          <w:iCs/>
        </w:rPr>
        <w:t xml:space="preserve">Delete </w:t>
      </w:r>
      <w:r w:rsidRPr="00110B57">
        <w:t>stabilized,</w:t>
      </w:r>
    </w:p>
    <w:p w14:paraId="12C270A1" w14:textId="5C186F09" w:rsidR="00EC2D73" w:rsidRPr="00110B57" w:rsidRDefault="00EC2D73" w:rsidP="00EC2D73">
      <w:pPr>
        <w:pStyle w:val="H23G"/>
      </w:pPr>
      <w:r w:rsidRPr="00110B57">
        <w:lastRenderedPageBreak/>
        <w:tab/>
      </w:r>
      <w:r w:rsidR="00566E49">
        <w:t>2</w:t>
      </w:r>
      <w:r w:rsidR="00571645">
        <w:t>9</w:t>
      </w:r>
      <w:r w:rsidR="00566E49">
        <w:t>.</w:t>
      </w:r>
      <w:r w:rsidRPr="00110B57">
        <w:tab/>
        <w:t>Chapter 4.3, 4.3.4.1.3, table, for Class 5.1, for UN No. 3375 (two entries)</w:t>
      </w:r>
    </w:p>
    <w:p w14:paraId="48679606" w14:textId="77777777" w:rsidR="00EC2D73" w:rsidRPr="00110B57" w:rsidRDefault="00EC2D73" w:rsidP="00EC2D73">
      <w:pPr>
        <w:pStyle w:val="SingleTxtG"/>
        <w:rPr>
          <w:iCs/>
        </w:rPr>
      </w:pPr>
      <w:r w:rsidRPr="00110B57">
        <w:rPr>
          <w:iCs/>
        </w:rPr>
        <w:t>Not applicable to English.</w:t>
      </w:r>
    </w:p>
    <w:p w14:paraId="35FD854D" w14:textId="251B8529" w:rsidR="002B495C" w:rsidRPr="00566E49" w:rsidRDefault="00566E49" w:rsidP="00566E49">
      <w:pPr>
        <w:pStyle w:val="H23G"/>
      </w:pPr>
      <w:bookmarkStart w:id="7" w:name="_Hlk512434518"/>
      <w:r>
        <w:tab/>
      </w:r>
      <w:r w:rsidR="00571645">
        <w:t>30</w:t>
      </w:r>
      <w:r>
        <w:t>.</w:t>
      </w:r>
      <w:r>
        <w:tab/>
      </w:r>
      <w:r w:rsidR="002B495C" w:rsidRPr="00566E49">
        <w:t xml:space="preserve">Chapter 5.2, 5.2.2.2.2, in the table, for Label </w:t>
      </w:r>
      <w:proofErr w:type="gramStart"/>
      <w:r w:rsidR="002B495C" w:rsidRPr="00566E49">
        <w:t>model</w:t>
      </w:r>
      <w:proofErr w:type="gramEnd"/>
      <w:r w:rsidR="002B495C" w:rsidRPr="00566E49">
        <w:t xml:space="preserve"> No. 2.1, in column “Division or Category”</w:t>
      </w:r>
    </w:p>
    <w:p w14:paraId="59EFB376" w14:textId="77777777" w:rsidR="002B495C" w:rsidRPr="00B90873" w:rsidRDefault="002B495C" w:rsidP="002B495C">
      <w:pPr>
        <w:pStyle w:val="SingleTxtG"/>
      </w:pPr>
      <w:r w:rsidRPr="00B90873">
        <w:rPr>
          <w:i/>
          <w:iCs/>
        </w:rPr>
        <w:t xml:space="preserve">Delete </w:t>
      </w:r>
      <w:r w:rsidRPr="00B90873">
        <w:rPr>
          <w:lang w:eastAsia="ru-RU"/>
        </w:rPr>
        <w:t>(except as provided for in 5.2.2.2.1.6 d))</w:t>
      </w:r>
    </w:p>
    <w:p w14:paraId="237B6E5F" w14:textId="1697526E" w:rsidR="002B495C" w:rsidRPr="00566E49" w:rsidRDefault="00566E49" w:rsidP="00566E49">
      <w:pPr>
        <w:pStyle w:val="H23G"/>
      </w:pPr>
      <w:r>
        <w:tab/>
        <w:t>3</w:t>
      </w:r>
      <w:r w:rsidR="00571645">
        <w:t>1</w:t>
      </w:r>
      <w:r>
        <w:t>.</w:t>
      </w:r>
      <w:r>
        <w:tab/>
      </w:r>
      <w:r w:rsidR="002B495C" w:rsidRPr="00566E49">
        <w:t xml:space="preserve">Chapter 5.2, 5.2.2.2.2, in the table, for Label </w:t>
      </w:r>
      <w:proofErr w:type="gramStart"/>
      <w:r w:rsidR="002B495C" w:rsidRPr="00566E49">
        <w:t>model</w:t>
      </w:r>
      <w:proofErr w:type="gramEnd"/>
      <w:r w:rsidR="002B495C" w:rsidRPr="00566E49">
        <w:t xml:space="preserve"> No. 2.1, in columns “Symbol and symbol colour” and “Figure in bottom corner (and figure colour)” at the end</w:t>
      </w:r>
    </w:p>
    <w:p w14:paraId="5145E949" w14:textId="77777777" w:rsidR="002B495C" w:rsidRPr="00B90873" w:rsidRDefault="002B495C" w:rsidP="002B495C">
      <w:pPr>
        <w:pStyle w:val="SingleTxtG"/>
      </w:pPr>
      <w:r w:rsidRPr="00B90873">
        <w:rPr>
          <w:i/>
          <w:iCs/>
        </w:rPr>
        <w:t xml:space="preserve">Insert </w:t>
      </w:r>
      <w:r w:rsidRPr="00B90873">
        <w:rPr>
          <w:lang w:eastAsia="ru-RU"/>
        </w:rPr>
        <w:t>(except as provided for in 5.2.2.2.1.6 (d))</w:t>
      </w:r>
    </w:p>
    <w:p w14:paraId="505BCC79" w14:textId="1DD46E2C" w:rsidR="00EC2D73" w:rsidRPr="00697D76" w:rsidRDefault="00EC2D73" w:rsidP="00EC2D73">
      <w:pPr>
        <w:pStyle w:val="H23G"/>
      </w:pPr>
      <w:r>
        <w:tab/>
      </w:r>
      <w:r w:rsidR="00566E49">
        <w:t>3</w:t>
      </w:r>
      <w:r w:rsidR="00571645">
        <w:t>2</w:t>
      </w:r>
      <w:r w:rsidR="00566E49">
        <w:t>.</w:t>
      </w:r>
      <w:r>
        <w:tab/>
        <w:t>Chapter 5.2, 5.2.2.2.2, t</w:t>
      </w:r>
      <w:r w:rsidRPr="00697D76">
        <w:t xml:space="preserve">able, for Class 4.1 hazard, </w:t>
      </w:r>
    </w:p>
    <w:p w14:paraId="6CC0316B" w14:textId="77777777" w:rsidR="00EC2D73" w:rsidRPr="00EC2D73" w:rsidRDefault="00EC2D73" w:rsidP="00EC2D73">
      <w:pPr>
        <w:pStyle w:val="SingleTxtG"/>
        <w:rPr>
          <w:lang w:eastAsia="ru-RU"/>
        </w:rPr>
      </w:pPr>
      <w:r w:rsidRPr="00EC2D73">
        <w:rPr>
          <w:i/>
        </w:rPr>
        <w:t>For</w:t>
      </w:r>
      <w:r w:rsidRPr="00EC2D73">
        <w:rPr>
          <w:iCs/>
        </w:rPr>
        <w:t xml:space="preserve"> </w:t>
      </w:r>
      <w:r w:rsidRPr="00EC2D73">
        <w:rPr>
          <w:lang w:eastAsia="ru-RU"/>
        </w:rPr>
        <w:t xml:space="preserve">solid desensitized explosives and polymerizing substances </w:t>
      </w:r>
      <w:r w:rsidRPr="00EC2D73">
        <w:rPr>
          <w:i/>
          <w:iCs/>
          <w:lang w:eastAsia="ru-RU"/>
        </w:rPr>
        <w:t>read</w:t>
      </w:r>
      <w:r w:rsidRPr="00EC2D73">
        <w:rPr>
          <w:lang w:eastAsia="ru-RU"/>
        </w:rPr>
        <w:t xml:space="preserve"> polymerizing substances and solid desensitized explosives</w:t>
      </w:r>
    </w:p>
    <w:bookmarkEnd w:id="7"/>
    <w:p w14:paraId="3D85A989" w14:textId="63B3AFAE" w:rsidR="00DC329B" w:rsidRPr="00110B57" w:rsidRDefault="00DC329B" w:rsidP="00DC329B">
      <w:pPr>
        <w:pStyle w:val="H23G"/>
      </w:pPr>
      <w:r w:rsidRPr="00110B57">
        <w:tab/>
      </w:r>
      <w:r w:rsidR="00566E49">
        <w:t>3</w:t>
      </w:r>
      <w:r w:rsidR="00571645">
        <w:t>3</w:t>
      </w:r>
      <w:r w:rsidR="00566E49">
        <w:t>.</w:t>
      </w:r>
      <w:r w:rsidRPr="00110B57">
        <w:tab/>
        <w:t>Chapter 5.3, amendment to 5.3.1.2</w:t>
      </w:r>
    </w:p>
    <w:p w14:paraId="4BC5C376" w14:textId="77777777" w:rsidR="00DC329B" w:rsidRPr="00110B57" w:rsidRDefault="00DC329B" w:rsidP="00DC329B">
      <w:pPr>
        <w:pStyle w:val="SingleTxtG"/>
        <w:rPr>
          <w:i/>
        </w:rPr>
      </w:pPr>
      <w:r w:rsidRPr="00110B57">
        <w:t xml:space="preserve">For the existing text, </w:t>
      </w:r>
      <w:r w:rsidRPr="00110B57">
        <w:rPr>
          <w:i/>
        </w:rPr>
        <w:t>substitute</w:t>
      </w:r>
    </w:p>
    <w:p w14:paraId="7CE865C6" w14:textId="28A1D5D0" w:rsidR="00DC329B" w:rsidRPr="00110B57" w:rsidRDefault="00DC329B" w:rsidP="000F6C3A">
      <w:pPr>
        <w:pStyle w:val="SingleTxtG"/>
        <w:tabs>
          <w:tab w:val="left" w:pos="2410"/>
        </w:tabs>
        <w:ind w:left="1701"/>
      </w:pPr>
      <w:r w:rsidRPr="00110B57">
        <w:t>5.3.1.2</w:t>
      </w:r>
      <w:r w:rsidRPr="00110B57">
        <w:tab/>
        <w:t xml:space="preserve">In the title, after </w:t>
      </w:r>
      <w:r w:rsidR="000F6C3A">
        <w:t>“</w:t>
      </w:r>
      <w:r w:rsidRPr="00110B57">
        <w:t>containers,</w:t>
      </w:r>
      <w:r w:rsidR="000F6C3A">
        <w:t>”</w:t>
      </w:r>
      <w:r w:rsidRPr="00110B57">
        <w:t xml:space="preserve">, insert: </w:t>
      </w:r>
      <w:r w:rsidR="000F6C3A">
        <w:t>“</w:t>
      </w:r>
      <w:r w:rsidRPr="00110B57">
        <w:t>bulk containers,</w:t>
      </w:r>
      <w:r w:rsidR="000F6C3A">
        <w:t>”</w:t>
      </w:r>
      <w:r w:rsidRPr="00110B57">
        <w:t>.</w:t>
      </w:r>
    </w:p>
    <w:p w14:paraId="7A9549F2" w14:textId="7B1F4E7E" w:rsidR="00DC329B" w:rsidRPr="00110B57" w:rsidRDefault="00DC329B" w:rsidP="000F6C3A">
      <w:pPr>
        <w:pStyle w:val="SingleTxtG"/>
        <w:tabs>
          <w:tab w:val="left" w:pos="2410"/>
        </w:tabs>
        <w:ind w:left="1701"/>
      </w:pPr>
      <w:r w:rsidRPr="00110B57">
        <w:t>5.3.1.2</w:t>
      </w:r>
      <w:r w:rsidRPr="00110B57">
        <w:tab/>
        <w:t>Amend the first paragraph after the Note to read as follows:</w:t>
      </w:r>
    </w:p>
    <w:p w14:paraId="4C42D435" w14:textId="17DED04D" w:rsidR="00DC329B" w:rsidRDefault="000F6C3A" w:rsidP="000F6C3A">
      <w:pPr>
        <w:pStyle w:val="SingleTxtG"/>
        <w:tabs>
          <w:tab w:val="left" w:pos="2410"/>
        </w:tabs>
        <w:ind w:left="1701"/>
      </w:pPr>
      <w:r>
        <w:t>“</w:t>
      </w:r>
      <w:r w:rsidR="00DC329B" w:rsidRPr="00110B57">
        <w:t>The placards shall be affixed to both sides and at each end of the container, bulk container, MEGC, tank-container or portable tank and to two opposite sides in the case of flexible bulk containers.</w:t>
      </w:r>
      <w:r>
        <w:t>”.</w:t>
      </w:r>
    </w:p>
    <w:p w14:paraId="692EC053" w14:textId="3463F5CA" w:rsidR="0086618F" w:rsidRPr="00110B57" w:rsidRDefault="0086618F" w:rsidP="0086618F">
      <w:pPr>
        <w:pStyle w:val="H23G"/>
      </w:pPr>
      <w:r w:rsidRPr="00110B57">
        <w:tab/>
      </w:r>
      <w:r w:rsidR="00566E49">
        <w:t>3</w:t>
      </w:r>
      <w:r w:rsidR="00571645">
        <w:t>4</w:t>
      </w:r>
      <w:r w:rsidR="00566E49">
        <w:t>.</w:t>
      </w:r>
      <w:r w:rsidRPr="00110B57">
        <w:tab/>
        <w:t xml:space="preserve">Chapter </w:t>
      </w:r>
      <w:r>
        <w:t xml:space="preserve">6.2, </w:t>
      </w:r>
      <w:r w:rsidR="00C14B39">
        <w:t xml:space="preserve">6.2.4.1, </w:t>
      </w:r>
      <w:r>
        <w:t xml:space="preserve">amendment related to standard EN ISO 17871:2015 and new standard EN ISO 17871:2015 </w:t>
      </w:r>
      <w:r>
        <w:rPr>
          <w:lang w:val="fr-FR"/>
        </w:rPr>
        <w:t>+ A1:2018</w:t>
      </w:r>
    </w:p>
    <w:p w14:paraId="419516A8" w14:textId="6AAC98F2" w:rsidR="0086618F" w:rsidRPr="00110B57" w:rsidRDefault="0086618F" w:rsidP="0086618F">
      <w:pPr>
        <w:pStyle w:val="SingleTxtG"/>
        <w:rPr>
          <w:i/>
        </w:rPr>
      </w:pPr>
      <w:r>
        <w:rPr>
          <w:i/>
        </w:rPr>
        <w:t>Delete</w:t>
      </w:r>
    </w:p>
    <w:p w14:paraId="68C358AE" w14:textId="7592320B" w:rsidR="00C14B39" w:rsidRPr="00110B57" w:rsidRDefault="00C14B39" w:rsidP="00C14B39">
      <w:pPr>
        <w:pStyle w:val="H23G"/>
      </w:pPr>
      <w:r w:rsidRPr="00110B57">
        <w:tab/>
      </w:r>
      <w:r w:rsidR="00566E49">
        <w:t>3</w:t>
      </w:r>
      <w:r w:rsidR="00571645">
        <w:t>5</w:t>
      </w:r>
      <w:r w:rsidR="00566E49">
        <w:t>.</w:t>
      </w:r>
      <w:r w:rsidRPr="00110B57">
        <w:tab/>
        <w:t xml:space="preserve">Chapter </w:t>
      </w:r>
      <w:r>
        <w:t xml:space="preserve">6.2, 6.2.4.2, all amendments </w:t>
      </w:r>
    </w:p>
    <w:p w14:paraId="292DEC3F" w14:textId="4E3D15B0" w:rsidR="00C14B39" w:rsidRDefault="00C14B39" w:rsidP="00C14B39">
      <w:pPr>
        <w:pStyle w:val="SingleTxtG"/>
        <w:rPr>
          <w:i/>
        </w:rPr>
      </w:pPr>
      <w:r>
        <w:rPr>
          <w:iCs/>
        </w:rPr>
        <w:t>For the existing text</w:t>
      </w:r>
      <w:r w:rsidRPr="00110B57">
        <w:t xml:space="preserve">, </w:t>
      </w:r>
      <w:r w:rsidRPr="00110B57">
        <w:rPr>
          <w:i/>
        </w:rPr>
        <w:t>substitute</w:t>
      </w:r>
    </w:p>
    <w:p w14:paraId="1875EEC9" w14:textId="030BC0D6" w:rsidR="00C14B39" w:rsidRPr="00566E49" w:rsidRDefault="00C14B39" w:rsidP="000F6C3A">
      <w:pPr>
        <w:pStyle w:val="SingleTxtG"/>
        <w:tabs>
          <w:tab w:val="left" w:pos="2410"/>
        </w:tabs>
        <w:ind w:left="1701"/>
        <w:rPr>
          <w:iCs/>
        </w:rPr>
      </w:pPr>
      <w:r w:rsidRPr="00566E49">
        <w:rPr>
          <w:iCs/>
        </w:rPr>
        <w:t>6.2.4.2</w:t>
      </w:r>
      <w:r w:rsidRPr="00566E49">
        <w:rPr>
          <w:iCs/>
        </w:rPr>
        <w:tab/>
        <w:t>In the table, delete the rows for “EN ISO 11623:2002 (except article 4”, “EN 14912:2005” and “EN 1440:2008 + A1:2012 (except annexes G and H)”.</w:t>
      </w:r>
    </w:p>
    <w:p w14:paraId="3AD3C281" w14:textId="126CA270" w:rsidR="00A27C14" w:rsidRPr="00110B57" w:rsidRDefault="00A27C14" w:rsidP="00A27C14">
      <w:pPr>
        <w:pStyle w:val="H23G"/>
      </w:pPr>
      <w:r w:rsidRPr="00110B57">
        <w:tab/>
      </w:r>
      <w:r w:rsidR="00566E49">
        <w:t>3</w:t>
      </w:r>
      <w:r w:rsidR="00571645">
        <w:t>6</w:t>
      </w:r>
      <w:r w:rsidR="00566E49">
        <w:t>.</w:t>
      </w:r>
      <w:r w:rsidRPr="00110B57">
        <w:tab/>
        <w:t>Chapter 6.8, 6.8.2.1.23, first amendment</w:t>
      </w:r>
    </w:p>
    <w:p w14:paraId="68D9B31D" w14:textId="77777777" w:rsidR="00A27C14" w:rsidRPr="00110B57" w:rsidRDefault="00A27C14" w:rsidP="00A27C14">
      <w:pPr>
        <w:pStyle w:val="SingleTxtG"/>
        <w:rPr>
          <w:i/>
        </w:rPr>
      </w:pPr>
      <w:r w:rsidRPr="00110B57">
        <w:t xml:space="preserve">For the existing text, </w:t>
      </w:r>
      <w:r w:rsidRPr="00110B57">
        <w:rPr>
          <w:i/>
        </w:rPr>
        <w:t>substitute</w:t>
      </w:r>
    </w:p>
    <w:p w14:paraId="02B96117" w14:textId="77777777" w:rsidR="00A27C14" w:rsidRPr="00110B57" w:rsidRDefault="00A27C14" w:rsidP="000F6C3A">
      <w:pPr>
        <w:pStyle w:val="SingleTxtG"/>
        <w:ind w:left="1701"/>
      </w:pPr>
      <w:r w:rsidRPr="00110B57">
        <w:t>6.8.2.1.23</w:t>
      </w:r>
      <w:r w:rsidRPr="00110B57">
        <w:tab/>
        <w:t>Replace the first two sentences by the following:</w:t>
      </w:r>
    </w:p>
    <w:p w14:paraId="1CCE6502" w14:textId="3ED77BDB" w:rsidR="00A27C14" w:rsidRPr="00110B57" w:rsidRDefault="000F6C3A" w:rsidP="000F6C3A">
      <w:pPr>
        <w:pStyle w:val="SingleTxtG"/>
        <w:ind w:left="1701"/>
      </w:pPr>
      <w:r>
        <w:t>“</w:t>
      </w:r>
      <w:r w:rsidR="00A27C14" w:rsidRPr="00110B57">
        <w:t>The ability of the manufacturer to perform welding operations shall be verified and confirmed by either the competent authority or by the body designated by this authority. The ability of the maintenance or repair shop to perform welding operations shall be verified and confirmed by the inspection body according to 6.8.2.4.5. A weld quality assurance system shall be operated by the manufacturer or the maintenance or repair shop.</w:t>
      </w:r>
      <w:r>
        <w:t>”</w:t>
      </w:r>
      <w:r w:rsidR="00A27C14">
        <w:t>.</w:t>
      </w:r>
    </w:p>
    <w:p w14:paraId="3505B34E" w14:textId="351BF104" w:rsidR="00A27C14" w:rsidRPr="00110B57" w:rsidRDefault="00A27C14" w:rsidP="00A27C14">
      <w:pPr>
        <w:pStyle w:val="H23G"/>
      </w:pPr>
      <w:r w:rsidRPr="00110B57">
        <w:tab/>
      </w:r>
      <w:r w:rsidR="00566E49">
        <w:t>3</w:t>
      </w:r>
      <w:r w:rsidR="00571645">
        <w:t>7</w:t>
      </w:r>
      <w:r w:rsidR="00566E49">
        <w:t>.</w:t>
      </w:r>
      <w:r w:rsidRPr="00110B57">
        <w:tab/>
        <w:t>Chapter 6.8, amendment to 6.8.2.2.10</w:t>
      </w:r>
    </w:p>
    <w:p w14:paraId="36BC7CF2" w14:textId="77777777" w:rsidR="00A27C14" w:rsidRPr="00110B57" w:rsidRDefault="00A27C14" w:rsidP="00A27C14">
      <w:pPr>
        <w:pStyle w:val="SingleTxtG"/>
        <w:rPr>
          <w:i/>
        </w:rPr>
      </w:pPr>
      <w:r w:rsidRPr="00110B57">
        <w:t xml:space="preserve">For the existing text, </w:t>
      </w:r>
      <w:r w:rsidRPr="00110B57">
        <w:rPr>
          <w:i/>
        </w:rPr>
        <w:t>substitute</w:t>
      </w:r>
    </w:p>
    <w:p w14:paraId="78121FEF" w14:textId="77777777" w:rsidR="00A27C14" w:rsidRPr="00110B57" w:rsidRDefault="00A27C14" w:rsidP="000F6C3A">
      <w:pPr>
        <w:pStyle w:val="SingleTxtG"/>
        <w:ind w:left="1701"/>
      </w:pPr>
      <w:r w:rsidRPr="00110B57">
        <w:t>6.8.2.2.10</w:t>
      </w:r>
      <w:r w:rsidRPr="00110B57">
        <w:tab/>
        <w:t>Amend the second paragraph to read as follows:</w:t>
      </w:r>
    </w:p>
    <w:p w14:paraId="6A6013B9" w14:textId="77777777" w:rsidR="00A27C14" w:rsidRPr="00110B57" w:rsidRDefault="00A27C14" w:rsidP="000F6C3A">
      <w:pPr>
        <w:pStyle w:val="SingleTxtG"/>
        <w:ind w:left="1701"/>
      </w:pPr>
      <w:r>
        <w:lastRenderedPageBreak/>
        <w:t>“</w:t>
      </w:r>
      <w:r w:rsidRPr="00110B57">
        <w:t>Except for tanks intended for the carriage of compressed, liquefied or dissolved gases where the arrangement of the bursting disc and safety valve shall be such as to satisfy the competent authority, burst pressures of the bursting disc shall satisfy the following requirements:</w:t>
      </w:r>
    </w:p>
    <w:p w14:paraId="02E1A2D0" w14:textId="77777777" w:rsidR="00A27C14" w:rsidRPr="00110B57" w:rsidRDefault="00A27C14" w:rsidP="000F6C3A">
      <w:pPr>
        <w:pStyle w:val="SingleTxtG"/>
        <w:ind w:left="1701"/>
      </w:pPr>
      <w:r w:rsidRPr="00110B57">
        <w:t>–</w:t>
      </w:r>
      <w:r w:rsidRPr="00110B57">
        <w:tab/>
        <w:t xml:space="preserve">the minimum burst pressure at </w:t>
      </w:r>
      <w:smartTag w:uri="urn:schemas-microsoft-com:office:smarttags" w:element="metricconverter">
        <w:smartTagPr>
          <w:attr w:name="ProductID" w:val="20 °C"/>
        </w:smartTagPr>
        <w:r w:rsidRPr="00110B57">
          <w:t>20 °C</w:t>
        </w:r>
      </w:smartTag>
      <w:r w:rsidRPr="00110B57">
        <w:t>, tolerances included, shall be greater than or equal to 0.8 times the test pressure;</w:t>
      </w:r>
    </w:p>
    <w:p w14:paraId="252FA9AE" w14:textId="77777777" w:rsidR="00A27C14" w:rsidRPr="00110B57" w:rsidRDefault="00A27C14" w:rsidP="000F6C3A">
      <w:pPr>
        <w:pStyle w:val="SingleTxtG"/>
        <w:ind w:left="1701"/>
      </w:pPr>
      <w:r w:rsidRPr="00110B57">
        <w:t>–</w:t>
      </w:r>
      <w:r w:rsidRPr="00110B57">
        <w:tab/>
        <w:t xml:space="preserve">the maximum burst pressure at </w:t>
      </w:r>
      <w:smartTag w:uri="urn:schemas-microsoft-com:office:smarttags" w:element="metricconverter">
        <w:smartTagPr>
          <w:attr w:name="ProductID" w:val="20 °C"/>
        </w:smartTagPr>
        <w:r w:rsidRPr="00110B57">
          <w:t>20 °C</w:t>
        </w:r>
      </w:smartTag>
      <w:r w:rsidRPr="00110B57">
        <w:t>, tolerances included, shall be less than or equal to 1.1 times the test pressure; and</w:t>
      </w:r>
    </w:p>
    <w:p w14:paraId="308D40D2" w14:textId="77777777" w:rsidR="00A27C14" w:rsidRPr="00110B57" w:rsidRDefault="00A27C14" w:rsidP="000F6C3A">
      <w:pPr>
        <w:pStyle w:val="SingleTxtG"/>
        <w:ind w:left="1701"/>
      </w:pPr>
      <w:r w:rsidRPr="00110B57">
        <w:t>–</w:t>
      </w:r>
      <w:r w:rsidRPr="00110B57">
        <w:tab/>
        <w:t>the burst pressure at the maximum service temperature shall be greater than the maximum working pressure.</w:t>
      </w:r>
    </w:p>
    <w:p w14:paraId="35FC8325" w14:textId="77777777" w:rsidR="00A27C14" w:rsidRPr="00110B57" w:rsidRDefault="00A27C14" w:rsidP="000F6C3A">
      <w:pPr>
        <w:pStyle w:val="SingleTxtG"/>
        <w:ind w:left="1701"/>
      </w:pPr>
      <w:r w:rsidRPr="00110B57">
        <w:rPr>
          <w:color w:val="000000"/>
        </w:rPr>
        <w:t>A pressure gauge or another suitable indicator shall be provided in the space between the bursting disc and the safety valve, to enable detection of any rupture, perforation or leakage of the disc.</w:t>
      </w:r>
      <w:r>
        <w:rPr>
          <w:color w:val="000000"/>
        </w:rPr>
        <w:t>”.</w:t>
      </w:r>
    </w:p>
    <w:p w14:paraId="46000EA6" w14:textId="5A237DCD" w:rsidR="00EC2D73" w:rsidRPr="00110B57" w:rsidRDefault="00EC2D73" w:rsidP="00EC2D73">
      <w:pPr>
        <w:pStyle w:val="H23G"/>
      </w:pPr>
      <w:r w:rsidRPr="00110B57">
        <w:tab/>
      </w:r>
      <w:r w:rsidR="00566E49">
        <w:t>3</w:t>
      </w:r>
      <w:r w:rsidR="00571645">
        <w:t>8</w:t>
      </w:r>
      <w:r w:rsidR="00566E49">
        <w:t>.</w:t>
      </w:r>
      <w:r w:rsidRPr="00110B57">
        <w:tab/>
        <w:t>Chapter 6.8, 6.8.2.2.11</w:t>
      </w:r>
    </w:p>
    <w:p w14:paraId="0B3EC79B" w14:textId="77777777" w:rsidR="00EC2D73" w:rsidRPr="00110B57" w:rsidRDefault="00EC2D73" w:rsidP="00EC2D73">
      <w:pPr>
        <w:pStyle w:val="SingleTxtG"/>
        <w:rPr>
          <w:iCs/>
        </w:rPr>
      </w:pPr>
      <w:r w:rsidRPr="00110B57">
        <w:rPr>
          <w:i/>
        </w:rPr>
        <w:t>After</w:t>
      </w:r>
      <w:r w:rsidRPr="00110B57">
        <w:t xml:space="preserve"> Add the following new paragraph</w:t>
      </w:r>
      <w:r w:rsidRPr="00110B57">
        <w:rPr>
          <w:i/>
        </w:rPr>
        <w:t xml:space="preserve"> insert </w:t>
      </w:r>
      <w:r w:rsidRPr="00110B57">
        <w:t xml:space="preserve">6.8.2.2.11 </w:t>
      </w:r>
    </w:p>
    <w:p w14:paraId="4FC61F98" w14:textId="76A281BC" w:rsidR="00355E3C" w:rsidRPr="00110B57" w:rsidRDefault="00355E3C" w:rsidP="00355E3C">
      <w:pPr>
        <w:pStyle w:val="H23G"/>
      </w:pPr>
      <w:r w:rsidRPr="00110B57">
        <w:tab/>
      </w:r>
      <w:r w:rsidR="00566E49">
        <w:t>3</w:t>
      </w:r>
      <w:r w:rsidR="00571645">
        <w:t>9</w:t>
      </w:r>
      <w:r w:rsidR="00566E49">
        <w:t>.</w:t>
      </w:r>
      <w:r w:rsidRPr="00110B57">
        <w:tab/>
        <w:t xml:space="preserve">Chapter </w:t>
      </w:r>
      <w:r>
        <w:t xml:space="preserve">6.8, 6.8.2.6.1, amendment related to standard </w:t>
      </w:r>
      <w:r>
        <w:rPr>
          <w:lang w:val="fr-FR"/>
        </w:rPr>
        <w:t xml:space="preserve">EN 13317:2002 + A1:2006 </w:t>
      </w:r>
      <w:r>
        <w:t xml:space="preserve">and new standard </w:t>
      </w:r>
      <w:r>
        <w:rPr>
          <w:lang w:val="fr-FR"/>
        </w:rPr>
        <w:t>EN 13317:2018</w:t>
      </w:r>
    </w:p>
    <w:p w14:paraId="7EB6DF90" w14:textId="77777777" w:rsidR="00355E3C" w:rsidRPr="00110B57" w:rsidRDefault="00355E3C" w:rsidP="00355E3C">
      <w:pPr>
        <w:pStyle w:val="SingleTxtG"/>
        <w:rPr>
          <w:i/>
        </w:rPr>
      </w:pPr>
      <w:r>
        <w:rPr>
          <w:i/>
        </w:rPr>
        <w:t>Delete</w:t>
      </w:r>
    </w:p>
    <w:p w14:paraId="333FE787" w14:textId="35076A4C" w:rsidR="00A27C14" w:rsidRPr="00110B57" w:rsidRDefault="00A27C14" w:rsidP="00A27C14">
      <w:pPr>
        <w:pStyle w:val="H23G"/>
      </w:pPr>
      <w:r w:rsidRPr="00110B57">
        <w:tab/>
      </w:r>
      <w:r w:rsidR="00571645">
        <w:t>40</w:t>
      </w:r>
      <w:r w:rsidR="00566E49">
        <w:t>.</w:t>
      </w:r>
      <w:r w:rsidRPr="00110B57">
        <w:tab/>
        <w:t xml:space="preserve">Chapter 6.8, in the new indent under 6.8.5.1.2 (a) </w:t>
      </w:r>
    </w:p>
    <w:p w14:paraId="35A1EBA7" w14:textId="77777777" w:rsidR="00A27C14" w:rsidRPr="00110B57" w:rsidRDefault="00A27C14" w:rsidP="00A27C14">
      <w:pPr>
        <w:pStyle w:val="SingleTxtG"/>
      </w:pPr>
      <w:r w:rsidRPr="00110B57">
        <w:rPr>
          <w:i/>
        </w:rPr>
        <w:t>For</w:t>
      </w:r>
      <w:r w:rsidRPr="00110B57">
        <w:t xml:space="preserve"> -40 °C </w:t>
      </w:r>
      <w:r w:rsidRPr="00110B57">
        <w:rPr>
          <w:i/>
        </w:rPr>
        <w:t>read</w:t>
      </w:r>
      <w:r w:rsidRPr="00110B57">
        <w:t xml:space="preserve"> -60 °C</w:t>
      </w:r>
    </w:p>
    <w:p w14:paraId="77093444" w14:textId="442CE6AF" w:rsidR="00A6129C" w:rsidRPr="0086618F" w:rsidRDefault="0086618F" w:rsidP="0086618F">
      <w:pPr>
        <w:spacing w:before="240"/>
        <w:ind w:left="1134" w:right="1134"/>
        <w:jc w:val="center"/>
        <w:rPr>
          <w:bCs/>
          <w:u w:val="single"/>
        </w:rPr>
      </w:pPr>
      <w:r w:rsidRPr="0086618F">
        <w:rPr>
          <w:bCs/>
          <w:u w:val="single"/>
        </w:rPr>
        <w:tab/>
      </w:r>
      <w:r w:rsidRPr="0086618F">
        <w:rPr>
          <w:bCs/>
          <w:u w:val="single"/>
        </w:rPr>
        <w:tab/>
      </w:r>
      <w:r w:rsidRPr="0086618F">
        <w:rPr>
          <w:bCs/>
          <w:u w:val="single"/>
        </w:rPr>
        <w:tab/>
      </w:r>
    </w:p>
    <w:sectPr w:rsidR="00A6129C" w:rsidRPr="0086618F" w:rsidSect="00DC329B">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77E5" w14:textId="77777777" w:rsidR="00991659" w:rsidRDefault="00991659"/>
  </w:endnote>
  <w:endnote w:type="continuationSeparator" w:id="0">
    <w:p w14:paraId="7212C4CF" w14:textId="77777777" w:rsidR="00991659" w:rsidRDefault="00991659"/>
  </w:endnote>
  <w:endnote w:type="continuationNotice" w:id="1">
    <w:p w14:paraId="2B0E4D2B" w14:textId="77777777" w:rsidR="00991659" w:rsidRDefault="00991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276B" w14:textId="008413E0" w:rsidR="00DC329B" w:rsidRPr="00DC329B" w:rsidRDefault="00DC329B" w:rsidP="00DC329B">
    <w:pPr>
      <w:pStyle w:val="Footer"/>
      <w:tabs>
        <w:tab w:val="right" w:pos="9638"/>
      </w:tabs>
      <w:rPr>
        <w:sz w:val="18"/>
      </w:rPr>
    </w:pPr>
    <w:r w:rsidRPr="00DC329B">
      <w:rPr>
        <w:b/>
        <w:sz w:val="18"/>
      </w:rPr>
      <w:fldChar w:fldCharType="begin"/>
    </w:r>
    <w:r w:rsidRPr="00DC329B">
      <w:rPr>
        <w:b/>
        <w:sz w:val="18"/>
      </w:rPr>
      <w:instrText xml:space="preserve"> PAGE  \* MERGEFORMAT </w:instrText>
    </w:r>
    <w:r w:rsidRPr="00DC329B">
      <w:rPr>
        <w:b/>
        <w:sz w:val="18"/>
      </w:rPr>
      <w:fldChar w:fldCharType="separate"/>
    </w:r>
    <w:r w:rsidR="002E3264">
      <w:rPr>
        <w:b/>
        <w:noProof/>
        <w:sz w:val="18"/>
      </w:rPr>
      <w:t>2</w:t>
    </w:r>
    <w:r w:rsidRPr="00DC329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F0F9" w14:textId="783FA50B" w:rsidR="00DC329B" w:rsidRPr="00DC329B" w:rsidRDefault="00DC329B" w:rsidP="00DC329B">
    <w:pPr>
      <w:pStyle w:val="Footer"/>
      <w:tabs>
        <w:tab w:val="right" w:pos="9638"/>
      </w:tabs>
      <w:rPr>
        <w:b/>
        <w:sz w:val="18"/>
      </w:rPr>
    </w:pPr>
    <w:r>
      <w:tab/>
    </w:r>
    <w:r w:rsidRPr="00DC329B">
      <w:rPr>
        <w:b/>
        <w:sz w:val="18"/>
      </w:rPr>
      <w:fldChar w:fldCharType="begin"/>
    </w:r>
    <w:r w:rsidRPr="00DC329B">
      <w:rPr>
        <w:b/>
        <w:sz w:val="18"/>
      </w:rPr>
      <w:instrText xml:space="preserve"> PAGE  \* MERGEFORMAT </w:instrText>
    </w:r>
    <w:r w:rsidRPr="00DC329B">
      <w:rPr>
        <w:b/>
        <w:sz w:val="18"/>
      </w:rPr>
      <w:fldChar w:fldCharType="separate"/>
    </w:r>
    <w:r w:rsidR="002E3264">
      <w:rPr>
        <w:b/>
        <w:noProof/>
        <w:sz w:val="18"/>
      </w:rPr>
      <w:t>3</w:t>
    </w:r>
    <w:r w:rsidRPr="00DC329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B3731" w14:textId="77777777" w:rsidR="00991659" w:rsidRPr="000B175B" w:rsidRDefault="00991659" w:rsidP="000B175B">
      <w:pPr>
        <w:tabs>
          <w:tab w:val="right" w:pos="2155"/>
        </w:tabs>
        <w:spacing w:after="80"/>
        <w:ind w:left="680"/>
        <w:rPr>
          <w:u w:val="single"/>
        </w:rPr>
      </w:pPr>
      <w:r>
        <w:rPr>
          <w:u w:val="single"/>
        </w:rPr>
        <w:tab/>
      </w:r>
    </w:p>
  </w:footnote>
  <w:footnote w:type="continuationSeparator" w:id="0">
    <w:p w14:paraId="620DFD8C" w14:textId="77777777" w:rsidR="00991659" w:rsidRPr="00FC68B7" w:rsidRDefault="00991659" w:rsidP="00FC68B7">
      <w:pPr>
        <w:tabs>
          <w:tab w:val="left" w:pos="2155"/>
        </w:tabs>
        <w:spacing w:after="80"/>
        <w:ind w:left="680"/>
        <w:rPr>
          <w:u w:val="single"/>
        </w:rPr>
      </w:pPr>
      <w:r>
        <w:rPr>
          <w:u w:val="single"/>
        </w:rPr>
        <w:tab/>
      </w:r>
    </w:p>
  </w:footnote>
  <w:footnote w:type="continuationNotice" w:id="1">
    <w:p w14:paraId="0FAB6DD5" w14:textId="77777777" w:rsidR="00991659" w:rsidRDefault="009916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709B" w14:textId="77777777" w:rsidR="00DC329B" w:rsidRPr="00DC329B" w:rsidRDefault="00DC329B">
    <w:pPr>
      <w:pStyle w:val="Header"/>
    </w:pPr>
    <w:r>
      <w:t>ECE/TRANS/WP.15/240/Corr.1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C5E7" w14:textId="77777777" w:rsidR="00DC329B" w:rsidRPr="00DC329B" w:rsidRDefault="00DC329B" w:rsidP="00DC329B">
    <w:pPr>
      <w:pStyle w:val="Header"/>
      <w:jc w:val="right"/>
    </w:pPr>
    <w:r>
      <w:t>ECE/TRANS/WP.15/240/Corr.1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59"/>
    <w:rsid w:val="00046B1F"/>
    <w:rsid w:val="00050F6B"/>
    <w:rsid w:val="00057E97"/>
    <w:rsid w:val="000646F4"/>
    <w:rsid w:val="00072C8C"/>
    <w:rsid w:val="000733B5"/>
    <w:rsid w:val="00081815"/>
    <w:rsid w:val="000931C0"/>
    <w:rsid w:val="00097AB6"/>
    <w:rsid w:val="000B0595"/>
    <w:rsid w:val="000B175B"/>
    <w:rsid w:val="000B3A0F"/>
    <w:rsid w:val="000B4EF7"/>
    <w:rsid w:val="000C2C03"/>
    <w:rsid w:val="000C2D2E"/>
    <w:rsid w:val="000E0415"/>
    <w:rsid w:val="000F6C3A"/>
    <w:rsid w:val="001103AA"/>
    <w:rsid w:val="0011666B"/>
    <w:rsid w:val="00165F3A"/>
    <w:rsid w:val="001B4B04"/>
    <w:rsid w:val="001C6663"/>
    <w:rsid w:val="001C7895"/>
    <w:rsid w:val="001D0C8C"/>
    <w:rsid w:val="001D1419"/>
    <w:rsid w:val="001D26DF"/>
    <w:rsid w:val="001D3A03"/>
    <w:rsid w:val="001E7B67"/>
    <w:rsid w:val="00202DA8"/>
    <w:rsid w:val="00211E0B"/>
    <w:rsid w:val="0021234A"/>
    <w:rsid w:val="00237E67"/>
    <w:rsid w:val="0024772E"/>
    <w:rsid w:val="00267F5F"/>
    <w:rsid w:val="00286B4D"/>
    <w:rsid w:val="002B495C"/>
    <w:rsid w:val="002D4643"/>
    <w:rsid w:val="002E3264"/>
    <w:rsid w:val="002F175C"/>
    <w:rsid w:val="00302E18"/>
    <w:rsid w:val="003033C0"/>
    <w:rsid w:val="003229D8"/>
    <w:rsid w:val="00352709"/>
    <w:rsid w:val="00355E3C"/>
    <w:rsid w:val="003619B5"/>
    <w:rsid w:val="00365763"/>
    <w:rsid w:val="00371178"/>
    <w:rsid w:val="00392E47"/>
    <w:rsid w:val="003A6810"/>
    <w:rsid w:val="003C2CC4"/>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3C"/>
    <w:rsid w:val="004E77B2"/>
    <w:rsid w:val="00504B2D"/>
    <w:rsid w:val="0052136D"/>
    <w:rsid w:val="0052775E"/>
    <w:rsid w:val="005420F2"/>
    <w:rsid w:val="005628B6"/>
    <w:rsid w:val="00566E49"/>
    <w:rsid w:val="00571645"/>
    <w:rsid w:val="005941EC"/>
    <w:rsid w:val="0059724D"/>
    <w:rsid w:val="005B3DB3"/>
    <w:rsid w:val="005B4E13"/>
    <w:rsid w:val="005C342F"/>
    <w:rsid w:val="005D192E"/>
    <w:rsid w:val="005F7B75"/>
    <w:rsid w:val="006001EE"/>
    <w:rsid w:val="00605042"/>
    <w:rsid w:val="00611FC4"/>
    <w:rsid w:val="006176FB"/>
    <w:rsid w:val="00640B26"/>
    <w:rsid w:val="00652D0A"/>
    <w:rsid w:val="00662BB6"/>
    <w:rsid w:val="006704BA"/>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618F"/>
    <w:rsid w:val="008679D9"/>
    <w:rsid w:val="008878DE"/>
    <w:rsid w:val="008979B1"/>
    <w:rsid w:val="008A6B25"/>
    <w:rsid w:val="008A6C4F"/>
    <w:rsid w:val="008B2335"/>
    <w:rsid w:val="008C14FF"/>
    <w:rsid w:val="008D1424"/>
    <w:rsid w:val="008E0678"/>
    <w:rsid w:val="008F31D2"/>
    <w:rsid w:val="00917FDE"/>
    <w:rsid w:val="009223CA"/>
    <w:rsid w:val="00940F93"/>
    <w:rsid w:val="009760F3"/>
    <w:rsid w:val="00976CFB"/>
    <w:rsid w:val="00991659"/>
    <w:rsid w:val="009A0830"/>
    <w:rsid w:val="009A0E8D"/>
    <w:rsid w:val="009A2539"/>
    <w:rsid w:val="009B26E7"/>
    <w:rsid w:val="00A00697"/>
    <w:rsid w:val="00A00A3F"/>
    <w:rsid w:val="00A01489"/>
    <w:rsid w:val="00A27C14"/>
    <w:rsid w:val="00A3026E"/>
    <w:rsid w:val="00A338F1"/>
    <w:rsid w:val="00A35BE0"/>
    <w:rsid w:val="00A5005D"/>
    <w:rsid w:val="00A6129C"/>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7D05"/>
    <w:rsid w:val="00B81206"/>
    <w:rsid w:val="00B81E12"/>
    <w:rsid w:val="00BC37AD"/>
    <w:rsid w:val="00BC3FA0"/>
    <w:rsid w:val="00BC74E9"/>
    <w:rsid w:val="00BF68A8"/>
    <w:rsid w:val="00C11A03"/>
    <w:rsid w:val="00C14B39"/>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3252"/>
    <w:rsid w:val="00D47EEA"/>
    <w:rsid w:val="00D773DF"/>
    <w:rsid w:val="00D95303"/>
    <w:rsid w:val="00D978C6"/>
    <w:rsid w:val="00DA3C1C"/>
    <w:rsid w:val="00DC329B"/>
    <w:rsid w:val="00E046DF"/>
    <w:rsid w:val="00E27346"/>
    <w:rsid w:val="00E71BC8"/>
    <w:rsid w:val="00E7260F"/>
    <w:rsid w:val="00E73F5D"/>
    <w:rsid w:val="00E77E4E"/>
    <w:rsid w:val="00E96630"/>
    <w:rsid w:val="00EB68C4"/>
    <w:rsid w:val="00EC2D73"/>
    <w:rsid w:val="00ED7A2A"/>
    <w:rsid w:val="00EF1D7F"/>
    <w:rsid w:val="00EF3E9C"/>
    <w:rsid w:val="00F31E5F"/>
    <w:rsid w:val="00F6100A"/>
    <w:rsid w:val="00F93781"/>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64217785"/>
  <w15:docId w15:val="{2C9B614F-3FFE-4CF1-A8C0-F20A9C3F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DC329B"/>
    <w:rPr>
      <w:b/>
      <w:sz w:val="24"/>
      <w:lang w:eastAsia="en-US"/>
    </w:rPr>
  </w:style>
  <w:style w:type="character" w:customStyle="1" w:styleId="H23GChar">
    <w:name w:val="_ H_2/3_G Char"/>
    <w:link w:val="H23G"/>
    <w:locked/>
    <w:rsid w:val="00DC329B"/>
    <w:rPr>
      <w:b/>
      <w:lang w:eastAsia="en-US"/>
    </w:rPr>
  </w:style>
  <w:style w:type="character" w:customStyle="1" w:styleId="SingleTxtGChar">
    <w:name w:val="_ Single Txt_G Char"/>
    <w:link w:val="SingleTxtG"/>
    <w:qFormat/>
    <w:locked/>
    <w:rsid w:val="00DC329B"/>
    <w:rPr>
      <w:lang w:eastAsia="en-US"/>
    </w:rPr>
  </w:style>
  <w:style w:type="paragraph" w:styleId="CommentSubject">
    <w:name w:val="annotation subject"/>
    <w:basedOn w:val="CommentText"/>
    <w:next w:val="CommentText"/>
    <w:link w:val="CommentSubjectChar"/>
    <w:semiHidden/>
    <w:unhideWhenUsed/>
    <w:rsid w:val="00DC329B"/>
    <w:pPr>
      <w:spacing w:line="240" w:lineRule="auto"/>
    </w:pPr>
    <w:rPr>
      <w:b/>
      <w:bCs/>
    </w:rPr>
  </w:style>
  <w:style w:type="character" w:customStyle="1" w:styleId="CommentTextChar">
    <w:name w:val="Comment Text Char"/>
    <w:basedOn w:val="DefaultParagraphFont"/>
    <w:link w:val="CommentText"/>
    <w:semiHidden/>
    <w:rsid w:val="00DC329B"/>
    <w:rPr>
      <w:lang w:eastAsia="en-US"/>
    </w:rPr>
  </w:style>
  <w:style w:type="character" w:customStyle="1" w:styleId="CommentSubjectChar">
    <w:name w:val="Comment Subject Char"/>
    <w:basedOn w:val="CommentTextChar"/>
    <w:link w:val="CommentSubject"/>
    <w:semiHidden/>
    <w:rsid w:val="00DC329B"/>
    <w:rPr>
      <w:b/>
      <w:bCs/>
      <w:lang w:eastAsia="en-US"/>
    </w:rPr>
  </w:style>
  <w:style w:type="paragraph" w:styleId="Revision">
    <w:name w:val="Revision"/>
    <w:hidden/>
    <w:uiPriority w:val="99"/>
    <w:semiHidden/>
    <w:rsid w:val="00DC329B"/>
    <w:rPr>
      <w:lang w:eastAsia="en-US"/>
    </w:rPr>
  </w:style>
  <w:style w:type="paragraph" w:styleId="BalloonText">
    <w:name w:val="Balloon Text"/>
    <w:basedOn w:val="Normal"/>
    <w:link w:val="BalloonTextChar"/>
    <w:rsid w:val="00DC32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DC32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4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164</TotalTime>
  <Pages>5</Pages>
  <Words>1124</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Editorial</dc:creator>
  <cp:lastModifiedBy>Christine Barrio-Champeau</cp:lastModifiedBy>
  <cp:revision>15</cp:revision>
  <cp:lastPrinted>2009-10-26T10:59:00Z</cp:lastPrinted>
  <dcterms:created xsi:type="dcterms:W3CDTF">2018-06-01T12:28:00Z</dcterms:created>
  <dcterms:modified xsi:type="dcterms:W3CDTF">2018-06-08T12:45:00Z</dcterms:modified>
</cp:coreProperties>
</file>