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367E6A" w14:paraId="498D7670" w14:textId="77777777" w:rsidTr="00F01516">
        <w:trPr>
          <w:trHeight w:hRule="exact" w:val="851"/>
        </w:trPr>
        <w:tc>
          <w:tcPr>
            <w:tcW w:w="1277" w:type="dxa"/>
            <w:tcBorders>
              <w:bottom w:val="single" w:sz="4" w:space="0" w:color="auto"/>
            </w:tcBorders>
          </w:tcPr>
          <w:p w14:paraId="701443FC" w14:textId="77777777" w:rsidR="003D1DF3" w:rsidRPr="00367E6A" w:rsidRDefault="003D1DF3" w:rsidP="00F01516">
            <w:pPr>
              <w:rPr>
                <w:lang w:val="fr-FR"/>
              </w:rPr>
            </w:pPr>
          </w:p>
        </w:tc>
        <w:tc>
          <w:tcPr>
            <w:tcW w:w="2268" w:type="dxa"/>
            <w:tcBorders>
              <w:bottom w:val="single" w:sz="4" w:space="0" w:color="auto"/>
            </w:tcBorders>
            <w:vAlign w:val="bottom"/>
          </w:tcPr>
          <w:p w14:paraId="54810026" w14:textId="77777777" w:rsidR="003D1DF3" w:rsidRPr="00367E6A" w:rsidRDefault="003D1DF3" w:rsidP="00F01516">
            <w:pPr>
              <w:spacing w:after="80" w:line="300" w:lineRule="exact"/>
              <w:rPr>
                <w:sz w:val="28"/>
                <w:lang w:val="fr-FR"/>
              </w:rPr>
            </w:pPr>
            <w:r w:rsidRPr="00367E6A">
              <w:rPr>
                <w:sz w:val="28"/>
                <w:lang w:val="fr-FR"/>
              </w:rPr>
              <w:t>Nations Unies</w:t>
            </w:r>
          </w:p>
        </w:tc>
        <w:tc>
          <w:tcPr>
            <w:tcW w:w="6094" w:type="dxa"/>
            <w:gridSpan w:val="2"/>
            <w:tcBorders>
              <w:bottom w:val="single" w:sz="4" w:space="0" w:color="auto"/>
            </w:tcBorders>
            <w:vAlign w:val="bottom"/>
          </w:tcPr>
          <w:p w14:paraId="73EF9754" w14:textId="77777777" w:rsidR="003D1DF3" w:rsidRPr="00367E6A" w:rsidRDefault="00020AC3" w:rsidP="00020AC3">
            <w:pPr>
              <w:jc w:val="right"/>
              <w:rPr>
                <w:lang w:val="fr-FR"/>
              </w:rPr>
            </w:pPr>
            <w:r w:rsidRPr="00020AC3">
              <w:rPr>
                <w:sz w:val="40"/>
                <w:lang w:val="fr-FR"/>
              </w:rPr>
              <w:t>ECE</w:t>
            </w:r>
            <w:r>
              <w:rPr>
                <w:lang w:val="fr-FR"/>
              </w:rPr>
              <w:t>/TRANS/WP.15/240/Corr.1</w:t>
            </w:r>
          </w:p>
        </w:tc>
      </w:tr>
      <w:tr w:rsidR="003D1DF3" w:rsidRPr="00367E6A" w14:paraId="4BA757F7" w14:textId="77777777" w:rsidTr="00F01516">
        <w:trPr>
          <w:trHeight w:hRule="exact" w:val="2835"/>
        </w:trPr>
        <w:tc>
          <w:tcPr>
            <w:tcW w:w="1276" w:type="dxa"/>
            <w:tcBorders>
              <w:top w:val="single" w:sz="4" w:space="0" w:color="auto"/>
              <w:bottom w:val="single" w:sz="12" w:space="0" w:color="auto"/>
            </w:tcBorders>
          </w:tcPr>
          <w:p w14:paraId="53058984" w14:textId="77777777" w:rsidR="003D1DF3" w:rsidRPr="00367E6A" w:rsidRDefault="00367E6A" w:rsidP="00F01516">
            <w:pPr>
              <w:spacing w:before="120"/>
              <w:jc w:val="center"/>
              <w:rPr>
                <w:lang w:val="fr-FR"/>
              </w:rPr>
            </w:pPr>
            <w:r>
              <w:rPr>
                <w:noProof/>
                <w:lang w:val="en-GB" w:eastAsia="en-GB"/>
              </w:rPr>
              <w:drawing>
                <wp:inline distT="0" distB="0" distL="0" distR="0" wp14:anchorId="17E798D5" wp14:editId="2ADEE59E">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6797D33" w14:textId="77777777" w:rsidR="003D1DF3" w:rsidRPr="00367E6A" w:rsidRDefault="003D1DF3" w:rsidP="00F01516">
            <w:pPr>
              <w:spacing w:before="120" w:line="420" w:lineRule="exact"/>
              <w:rPr>
                <w:b/>
                <w:sz w:val="40"/>
                <w:szCs w:val="40"/>
                <w:lang w:val="fr-FR"/>
              </w:rPr>
            </w:pPr>
            <w:r w:rsidRPr="00367E6A">
              <w:rPr>
                <w:b/>
                <w:sz w:val="40"/>
                <w:szCs w:val="40"/>
                <w:lang w:val="fr-FR"/>
              </w:rPr>
              <w:t>Conseil économique et social</w:t>
            </w:r>
          </w:p>
        </w:tc>
        <w:tc>
          <w:tcPr>
            <w:tcW w:w="2835" w:type="dxa"/>
            <w:tcBorders>
              <w:top w:val="single" w:sz="4" w:space="0" w:color="auto"/>
              <w:bottom w:val="single" w:sz="12" w:space="0" w:color="auto"/>
            </w:tcBorders>
          </w:tcPr>
          <w:p w14:paraId="4DC4C4C0" w14:textId="77777777" w:rsidR="003D1DF3" w:rsidRDefault="00020AC3" w:rsidP="00020AC3">
            <w:pPr>
              <w:spacing w:before="240" w:line="240" w:lineRule="exact"/>
              <w:rPr>
                <w:lang w:val="fr-FR"/>
              </w:rPr>
            </w:pPr>
            <w:proofErr w:type="spellStart"/>
            <w:r>
              <w:rPr>
                <w:lang w:val="fr-FR"/>
              </w:rPr>
              <w:t>Distr</w:t>
            </w:r>
            <w:proofErr w:type="spellEnd"/>
            <w:r>
              <w:rPr>
                <w:lang w:val="fr-FR"/>
              </w:rPr>
              <w:t xml:space="preserve">. </w:t>
            </w:r>
            <w:proofErr w:type="gramStart"/>
            <w:r>
              <w:rPr>
                <w:lang w:val="fr-FR"/>
              </w:rPr>
              <w:t>générale</w:t>
            </w:r>
            <w:proofErr w:type="gramEnd"/>
          </w:p>
          <w:p w14:paraId="10BCCE92" w14:textId="13E90373" w:rsidR="00020AC3" w:rsidRDefault="00B03A18" w:rsidP="00020AC3">
            <w:pPr>
              <w:spacing w:line="240" w:lineRule="exact"/>
              <w:rPr>
                <w:lang w:val="fr-FR"/>
              </w:rPr>
            </w:pPr>
            <w:r>
              <w:rPr>
                <w:lang w:val="fr-FR"/>
              </w:rPr>
              <w:t>6</w:t>
            </w:r>
            <w:bookmarkStart w:id="0" w:name="_GoBack"/>
            <w:bookmarkEnd w:id="0"/>
            <w:r w:rsidR="0036439B">
              <w:rPr>
                <w:lang w:val="fr-FR"/>
              </w:rPr>
              <w:t xml:space="preserve"> juin</w:t>
            </w:r>
            <w:r w:rsidR="00020AC3">
              <w:rPr>
                <w:lang w:val="fr-FR"/>
              </w:rPr>
              <w:t xml:space="preserve"> 2018</w:t>
            </w:r>
          </w:p>
          <w:p w14:paraId="364D8231" w14:textId="77777777" w:rsidR="00020AC3" w:rsidRDefault="00020AC3" w:rsidP="00020AC3">
            <w:pPr>
              <w:spacing w:line="240" w:lineRule="exact"/>
              <w:rPr>
                <w:lang w:val="fr-FR"/>
              </w:rPr>
            </w:pPr>
            <w:r>
              <w:rPr>
                <w:lang w:val="fr-FR"/>
              </w:rPr>
              <w:t>Français</w:t>
            </w:r>
          </w:p>
          <w:p w14:paraId="568872C2" w14:textId="77777777" w:rsidR="00020AC3" w:rsidRPr="00367E6A" w:rsidRDefault="00020AC3" w:rsidP="00020AC3">
            <w:pPr>
              <w:spacing w:line="240" w:lineRule="exact"/>
              <w:rPr>
                <w:lang w:val="fr-FR"/>
              </w:rPr>
            </w:pPr>
            <w:proofErr w:type="gramStart"/>
            <w:r>
              <w:rPr>
                <w:lang w:val="fr-FR"/>
              </w:rPr>
              <w:t>Original:</w:t>
            </w:r>
            <w:proofErr w:type="gramEnd"/>
            <w:r>
              <w:rPr>
                <w:lang w:val="fr-FR"/>
              </w:rPr>
              <w:t xml:space="preserve"> anglais et français </w:t>
            </w:r>
          </w:p>
        </w:tc>
      </w:tr>
    </w:tbl>
    <w:p w14:paraId="6DE67040" w14:textId="77777777" w:rsidR="00FF1DBD" w:rsidRPr="00367E6A" w:rsidRDefault="000312C0" w:rsidP="000312C0">
      <w:pPr>
        <w:spacing w:before="120"/>
        <w:rPr>
          <w:b/>
          <w:sz w:val="28"/>
          <w:szCs w:val="28"/>
          <w:lang w:val="fr-FR"/>
        </w:rPr>
      </w:pPr>
      <w:r w:rsidRPr="00367E6A">
        <w:rPr>
          <w:b/>
          <w:sz w:val="28"/>
          <w:szCs w:val="28"/>
          <w:lang w:val="fr-FR"/>
        </w:rPr>
        <w:t>Commission économique pour l’Europe</w:t>
      </w:r>
    </w:p>
    <w:p w14:paraId="3C6D3911" w14:textId="77777777" w:rsidR="00B93E72" w:rsidRPr="00367E6A" w:rsidRDefault="00B93E72" w:rsidP="00B93E72">
      <w:pPr>
        <w:spacing w:before="120"/>
        <w:rPr>
          <w:sz w:val="28"/>
          <w:szCs w:val="28"/>
          <w:lang w:val="fr-FR"/>
        </w:rPr>
      </w:pPr>
      <w:r w:rsidRPr="00367E6A">
        <w:rPr>
          <w:sz w:val="28"/>
          <w:szCs w:val="28"/>
          <w:lang w:val="fr-FR"/>
        </w:rPr>
        <w:t>Comité des transports intérieurs</w:t>
      </w:r>
    </w:p>
    <w:p w14:paraId="453317B8" w14:textId="77777777" w:rsidR="00B93E72" w:rsidRPr="00367E6A" w:rsidRDefault="00B93E72" w:rsidP="00B93E72">
      <w:pPr>
        <w:spacing w:before="120"/>
        <w:rPr>
          <w:b/>
          <w:sz w:val="24"/>
          <w:szCs w:val="24"/>
          <w:lang w:val="fr-FR"/>
        </w:rPr>
      </w:pPr>
      <w:r w:rsidRPr="00367E6A">
        <w:rPr>
          <w:b/>
          <w:sz w:val="24"/>
          <w:szCs w:val="24"/>
          <w:lang w:val="fr-FR"/>
        </w:rPr>
        <w:t>Groupe de travail des transports</w:t>
      </w:r>
      <w:r w:rsidR="00FA6422" w:rsidRPr="00367E6A">
        <w:rPr>
          <w:b/>
          <w:sz w:val="24"/>
          <w:szCs w:val="24"/>
          <w:lang w:val="fr-FR"/>
        </w:rPr>
        <w:t xml:space="preserve"> </w:t>
      </w:r>
      <w:r w:rsidRPr="00367E6A">
        <w:rPr>
          <w:b/>
          <w:sz w:val="24"/>
          <w:szCs w:val="24"/>
          <w:lang w:val="fr-FR"/>
        </w:rPr>
        <w:t>de marchandises dangereuses</w:t>
      </w:r>
    </w:p>
    <w:p w14:paraId="5421BFD0" w14:textId="77777777" w:rsidR="00020AC3" w:rsidRPr="001654A6" w:rsidRDefault="00020AC3" w:rsidP="00020AC3">
      <w:pPr>
        <w:pStyle w:val="HChG"/>
        <w:rPr>
          <w:lang w:val="fr-FR"/>
        </w:rPr>
      </w:pPr>
      <w:r w:rsidRPr="001654A6">
        <w:rPr>
          <w:lang w:val="fr-FR"/>
        </w:rPr>
        <w:tab/>
      </w:r>
      <w:r w:rsidRPr="001654A6">
        <w:rPr>
          <w:lang w:val="fr-FR"/>
        </w:rPr>
        <w:tab/>
        <w:t>Accord européen relatif au transport international des marchandises dangereuses par route (ADR)</w:t>
      </w:r>
    </w:p>
    <w:p w14:paraId="2DC883D4" w14:textId="77777777" w:rsidR="00020AC3" w:rsidRPr="001654A6" w:rsidRDefault="00020AC3" w:rsidP="00020AC3">
      <w:pPr>
        <w:pStyle w:val="H1G"/>
        <w:outlineLvl w:val="0"/>
        <w:rPr>
          <w:lang w:val="fr-FR"/>
        </w:rPr>
      </w:pPr>
      <w:r w:rsidRPr="001654A6">
        <w:rPr>
          <w:lang w:val="fr-FR"/>
        </w:rPr>
        <w:tab/>
      </w:r>
      <w:r w:rsidRPr="001654A6">
        <w:rPr>
          <w:lang w:val="fr-FR"/>
        </w:rPr>
        <w:tab/>
        <w:t>Projet d'amendements aux annexes A et B de l'ADR</w:t>
      </w:r>
    </w:p>
    <w:p w14:paraId="007619C3" w14:textId="29F899F7" w:rsidR="00020AC3" w:rsidRDefault="00020AC3" w:rsidP="005747B8">
      <w:pPr>
        <w:pStyle w:val="H23G"/>
      </w:pPr>
      <w:r w:rsidRPr="005747B8">
        <w:tab/>
      </w:r>
      <w:r w:rsidRPr="005747B8">
        <w:tab/>
        <w:t>Rectificatif</w:t>
      </w:r>
    </w:p>
    <w:p w14:paraId="7366BEF7" w14:textId="5DD650ED" w:rsidR="005747B8" w:rsidRPr="003D71A6" w:rsidRDefault="005747B8" w:rsidP="005747B8">
      <w:pPr>
        <w:pStyle w:val="H23G"/>
        <w:rPr>
          <w:lang w:val="fr-FR"/>
        </w:rPr>
      </w:pPr>
      <w:r w:rsidRPr="003D71A6">
        <w:rPr>
          <w:lang w:val="fr-FR"/>
        </w:rPr>
        <w:tab/>
      </w:r>
      <w:r w:rsidR="0036439B">
        <w:rPr>
          <w:lang w:val="fr-FR"/>
        </w:rPr>
        <w:t>1.</w:t>
      </w:r>
      <w:r w:rsidRPr="003D71A6">
        <w:rPr>
          <w:lang w:val="fr-FR"/>
        </w:rPr>
        <w:tab/>
        <w:t xml:space="preserve">Chapitre </w:t>
      </w:r>
      <w:r>
        <w:rPr>
          <w:lang w:val="fr-FR"/>
        </w:rPr>
        <w:t>1.6</w:t>
      </w:r>
      <w:r w:rsidRPr="003D71A6">
        <w:rPr>
          <w:lang w:val="fr-FR"/>
        </w:rPr>
        <w:t xml:space="preserve">, </w:t>
      </w:r>
      <w:r>
        <w:rPr>
          <w:lang w:val="fr-FR"/>
        </w:rPr>
        <w:t xml:space="preserve">amendement au 1.6.1.40 visant à remplacer </w:t>
      </w:r>
      <w:r w:rsidRPr="005B711F">
        <w:rPr>
          <w:lang w:val="fr-FR"/>
        </w:rPr>
        <w:t>« l’étiquette de risque subsidiaire » par « l’ét</w:t>
      </w:r>
      <w:r>
        <w:rPr>
          <w:lang w:val="fr-FR"/>
        </w:rPr>
        <w:t>iquette de danger subsidiaire »</w:t>
      </w:r>
    </w:p>
    <w:p w14:paraId="47B90895" w14:textId="77777777" w:rsidR="005747B8" w:rsidRPr="005B711F" w:rsidRDefault="005747B8" w:rsidP="005747B8">
      <w:pPr>
        <w:pStyle w:val="SingleTxtG"/>
        <w:rPr>
          <w:i/>
          <w:lang w:val="fr-FR"/>
        </w:rPr>
      </w:pPr>
      <w:r w:rsidRPr="005B711F">
        <w:rPr>
          <w:i/>
          <w:lang w:val="fr-FR"/>
        </w:rPr>
        <w:t>Supprimer</w:t>
      </w:r>
    </w:p>
    <w:p w14:paraId="4DC6F4BA" w14:textId="0BB5B9F5" w:rsidR="00694C7F" w:rsidRPr="003467E5" w:rsidRDefault="005747B8" w:rsidP="005747B8">
      <w:pPr>
        <w:pStyle w:val="H23G"/>
        <w:rPr>
          <w:lang w:val="fr-FR"/>
        </w:rPr>
      </w:pPr>
      <w:r>
        <w:rPr>
          <w:lang w:val="fr-FR"/>
        </w:rPr>
        <w:tab/>
      </w:r>
      <w:r w:rsidR="0036439B">
        <w:rPr>
          <w:lang w:val="fr-FR"/>
        </w:rPr>
        <w:t>2.</w:t>
      </w:r>
      <w:r>
        <w:rPr>
          <w:lang w:val="fr-FR"/>
        </w:rPr>
        <w:tab/>
      </w:r>
      <w:r w:rsidR="00694C7F" w:rsidRPr="003467E5">
        <w:rPr>
          <w:lang w:val="fr-FR"/>
        </w:rPr>
        <w:t>Chapitre 1.6, nouvelle mesure transitoire 1.6.1.44</w:t>
      </w:r>
      <w:r w:rsidR="008B47ED">
        <w:rPr>
          <w:lang w:val="fr-FR"/>
        </w:rPr>
        <w:t>, à la fin</w:t>
      </w:r>
    </w:p>
    <w:p w14:paraId="64A767D3" w14:textId="64D832AB" w:rsidR="00694C7F" w:rsidRDefault="00694C7F" w:rsidP="00694C7F">
      <w:pPr>
        <w:pStyle w:val="SingleTxtG"/>
        <w:rPr>
          <w:lang w:val="fr-FR"/>
        </w:rPr>
      </w:pPr>
      <w:r w:rsidRPr="003467E5">
        <w:rPr>
          <w:i/>
          <w:iCs/>
          <w:lang w:val="fr-FR"/>
        </w:rPr>
        <w:t xml:space="preserve">Au lieu de </w:t>
      </w:r>
      <w:r w:rsidR="008B47ED" w:rsidRPr="003467E5">
        <w:rPr>
          <w:lang w:val="fr-FR"/>
        </w:rPr>
        <w:t>nommer</w:t>
      </w:r>
      <w:r w:rsidR="008B47ED" w:rsidRPr="008B47ED">
        <w:rPr>
          <w:lang w:val="fr-FR"/>
        </w:rPr>
        <w:t xml:space="preserve"> </w:t>
      </w:r>
      <w:r w:rsidRPr="003467E5">
        <w:rPr>
          <w:i/>
          <w:iCs/>
          <w:lang w:val="fr-FR"/>
        </w:rPr>
        <w:t xml:space="preserve">lire </w:t>
      </w:r>
      <w:r w:rsidR="008B47ED" w:rsidRPr="003467E5">
        <w:rPr>
          <w:lang w:val="fr-FR"/>
        </w:rPr>
        <w:t>désigner</w:t>
      </w:r>
    </w:p>
    <w:p w14:paraId="2C6A3D4B" w14:textId="776B729B" w:rsidR="001C749D" w:rsidRPr="003D71A6" w:rsidRDefault="001C749D" w:rsidP="001C749D">
      <w:pPr>
        <w:pStyle w:val="H23G"/>
        <w:rPr>
          <w:lang w:val="fr-FR"/>
        </w:rPr>
      </w:pPr>
      <w:r w:rsidRPr="005747B8">
        <w:rPr>
          <w:lang w:val="ru-RU"/>
        </w:rPr>
        <w:tab/>
      </w:r>
      <w:r w:rsidR="0036439B">
        <w:t>3.</w:t>
      </w:r>
      <w:r w:rsidRPr="005747B8">
        <w:rPr>
          <w:lang w:val="ru-RU"/>
        </w:rPr>
        <w:tab/>
      </w:r>
      <w:r w:rsidRPr="003D71A6">
        <w:rPr>
          <w:lang w:val="fr-FR"/>
        </w:rPr>
        <w:t>Chapitre 1.6, nouvelle mesure transitoire 1.6.3.49</w:t>
      </w:r>
    </w:p>
    <w:p w14:paraId="4755D4E7" w14:textId="742E2A8E" w:rsidR="001C749D" w:rsidRDefault="001C749D" w:rsidP="001C3FC8">
      <w:pPr>
        <w:pStyle w:val="SingleTxtG"/>
        <w:rPr>
          <w:lang w:val="fr-FR"/>
        </w:rPr>
      </w:pPr>
      <w:r w:rsidRPr="003D71A6">
        <w:rPr>
          <w:lang w:val="fr-FR"/>
        </w:rPr>
        <w:tab/>
      </w:r>
      <w:r w:rsidRPr="003D71A6">
        <w:rPr>
          <w:i/>
          <w:lang w:val="fr-FR"/>
        </w:rPr>
        <w:t>Au lieu de</w:t>
      </w:r>
      <w:r w:rsidRPr="003D71A6">
        <w:rPr>
          <w:lang w:val="fr-FR"/>
        </w:rPr>
        <w:t xml:space="preserve"> pression nominale du disque de rupture </w:t>
      </w:r>
      <w:r w:rsidRPr="003D71A6">
        <w:rPr>
          <w:i/>
          <w:lang w:val="fr-FR"/>
        </w:rPr>
        <w:t>lire</w:t>
      </w:r>
      <w:r w:rsidRPr="003D71A6">
        <w:rPr>
          <w:lang w:val="fr-FR"/>
        </w:rPr>
        <w:t xml:space="preserve"> </w:t>
      </w:r>
      <w:bookmarkStart w:id="1" w:name="_Hlk516041120"/>
      <w:r w:rsidRPr="003D71A6">
        <w:rPr>
          <w:lang w:val="fr-FR"/>
        </w:rPr>
        <w:t>pression d'éclatement du disque de rupture</w:t>
      </w:r>
      <w:bookmarkEnd w:id="1"/>
    </w:p>
    <w:p w14:paraId="770F8F22" w14:textId="33E99D95" w:rsidR="00D962F1" w:rsidRPr="003D71A6" w:rsidRDefault="00D962F1" w:rsidP="00D962F1">
      <w:pPr>
        <w:pStyle w:val="H23G"/>
        <w:rPr>
          <w:lang w:val="fr-FR"/>
        </w:rPr>
      </w:pPr>
      <w:r w:rsidRPr="003D71A6">
        <w:rPr>
          <w:lang w:val="fr-FR"/>
        </w:rPr>
        <w:tab/>
      </w:r>
      <w:r>
        <w:rPr>
          <w:lang w:val="fr-FR"/>
        </w:rPr>
        <w:t>4.</w:t>
      </w:r>
      <w:r w:rsidRPr="003D71A6">
        <w:rPr>
          <w:lang w:val="fr-FR"/>
        </w:rPr>
        <w:tab/>
        <w:t xml:space="preserve">Chapitre </w:t>
      </w:r>
      <w:r>
        <w:rPr>
          <w:lang w:val="fr-FR"/>
        </w:rPr>
        <w:t>1.6</w:t>
      </w:r>
      <w:r w:rsidRPr="003D71A6">
        <w:rPr>
          <w:lang w:val="fr-FR"/>
        </w:rPr>
        <w:t xml:space="preserve">, </w:t>
      </w:r>
      <w:r>
        <w:rPr>
          <w:lang w:val="fr-FR"/>
        </w:rPr>
        <w:t>après la nouvelle mesure transitoire 1.6.3.53</w:t>
      </w:r>
    </w:p>
    <w:p w14:paraId="2AF2F7D9" w14:textId="77777777" w:rsidR="00D962F1" w:rsidRPr="005B711F" w:rsidRDefault="00D962F1" w:rsidP="00D962F1">
      <w:pPr>
        <w:pStyle w:val="SingleTxtG"/>
        <w:rPr>
          <w:iCs/>
          <w:lang w:val="fr-FR"/>
        </w:rPr>
      </w:pPr>
      <w:r>
        <w:rPr>
          <w:i/>
          <w:lang w:val="fr-FR"/>
        </w:rPr>
        <w:t xml:space="preserve">Ajouter </w:t>
      </w:r>
      <w:r>
        <w:rPr>
          <w:iCs/>
          <w:lang w:val="fr-FR"/>
        </w:rPr>
        <w:t>Renuméroter 1.6.3.50 en tant que 1.6.3.100.</w:t>
      </w:r>
    </w:p>
    <w:p w14:paraId="1D67E28A" w14:textId="3B3717C0" w:rsidR="001C3FC8" w:rsidRPr="003D71A6" w:rsidRDefault="001C3FC8" w:rsidP="001C3FC8">
      <w:pPr>
        <w:pStyle w:val="H23G"/>
        <w:rPr>
          <w:lang w:val="fr-FR"/>
        </w:rPr>
      </w:pPr>
      <w:r>
        <w:rPr>
          <w:lang w:val="fr-FR"/>
        </w:rPr>
        <w:tab/>
      </w:r>
      <w:r w:rsidR="00D962F1">
        <w:rPr>
          <w:lang w:val="fr-FR"/>
        </w:rPr>
        <w:t>5</w:t>
      </w:r>
      <w:r w:rsidR="0036439B">
        <w:rPr>
          <w:lang w:val="fr-FR"/>
        </w:rPr>
        <w:t>.</w:t>
      </w:r>
      <w:r>
        <w:rPr>
          <w:lang w:val="fr-FR"/>
        </w:rPr>
        <w:tab/>
      </w:r>
      <w:r w:rsidRPr="003D71A6">
        <w:rPr>
          <w:lang w:val="fr-FR"/>
        </w:rPr>
        <w:t>Chapitre 1.6, nouvelle mesure transitoire 1.6.4.51</w:t>
      </w:r>
    </w:p>
    <w:p w14:paraId="2A2382AC" w14:textId="7C712A28" w:rsidR="001C3FC8" w:rsidRDefault="001C3FC8" w:rsidP="001C3FC8">
      <w:pPr>
        <w:pStyle w:val="SingleTxtG"/>
        <w:rPr>
          <w:lang w:val="fr-FR"/>
        </w:rPr>
      </w:pPr>
      <w:r w:rsidRPr="003D71A6">
        <w:rPr>
          <w:i/>
          <w:lang w:val="fr-FR"/>
        </w:rPr>
        <w:t>Au lieu de</w:t>
      </w:r>
      <w:r w:rsidRPr="003D71A6">
        <w:rPr>
          <w:lang w:val="fr-FR"/>
        </w:rPr>
        <w:t xml:space="preserve"> pression nominale du disque de rupture </w:t>
      </w:r>
      <w:r w:rsidRPr="003D71A6">
        <w:rPr>
          <w:i/>
          <w:lang w:val="fr-FR"/>
        </w:rPr>
        <w:t>lire</w:t>
      </w:r>
      <w:r w:rsidRPr="003D71A6">
        <w:rPr>
          <w:lang w:val="fr-FR"/>
        </w:rPr>
        <w:t xml:space="preserve"> </w:t>
      </w:r>
      <w:bookmarkStart w:id="2" w:name="_Hlk516041312"/>
      <w:r w:rsidRPr="003D71A6">
        <w:rPr>
          <w:lang w:val="fr-FR"/>
        </w:rPr>
        <w:t>pression d'éclatement du disque de rupture</w:t>
      </w:r>
      <w:bookmarkEnd w:id="2"/>
    </w:p>
    <w:p w14:paraId="0546F04F" w14:textId="47AEBC18" w:rsidR="00694C7F" w:rsidRPr="0036439B" w:rsidRDefault="0036439B" w:rsidP="0036439B">
      <w:pPr>
        <w:pStyle w:val="H23G"/>
        <w:rPr>
          <w:lang w:val="fr-FR"/>
        </w:rPr>
      </w:pPr>
      <w:r>
        <w:rPr>
          <w:lang w:val="fr-FR"/>
        </w:rPr>
        <w:tab/>
        <w:t>6.</w:t>
      </w:r>
      <w:r>
        <w:rPr>
          <w:lang w:val="fr-FR"/>
        </w:rPr>
        <w:tab/>
      </w:r>
      <w:r w:rsidR="00694C7F" w:rsidRPr="0036439B">
        <w:rPr>
          <w:lang w:val="fr-FR"/>
        </w:rPr>
        <w:t>Chapitre 1.8, amendement au 1.8.3.1</w:t>
      </w:r>
    </w:p>
    <w:p w14:paraId="0D7DB455" w14:textId="77777777" w:rsidR="00694C7F" w:rsidRPr="003467E5" w:rsidRDefault="00694C7F" w:rsidP="00694C7F">
      <w:pPr>
        <w:pStyle w:val="SingleTxtG"/>
        <w:rPr>
          <w:lang w:val="fr-FR"/>
        </w:rPr>
      </w:pPr>
      <w:r w:rsidRPr="003467E5">
        <w:rPr>
          <w:i/>
          <w:iCs/>
          <w:lang w:val="fr-FR"/>
        </w:rPr>
        <w:t xml:space="preserve">Substituer </w:t>
      </w:r>
      <w:r w:rsidRPr="003467E5">
        <w:rPr>
          <w:lang w:val="fr-FR"/>
        </w:rPr>
        <w:t>au texte existant :</w:t>
      </w:r>
    </w:p>
    <w:p w14:paraId="2A7BEC1C" w14:textId="1D51A5C3" w:rsidR="00694C7F" w:rsidRDefault="00694C7F" w:rsidP="00DC3135">
      <w:pPr>
        <w:pStyle w:val="SingleTxtG"/>
        <w:ind w:left="1701"/>
        <w:rPr>
          <w:lang w:val="fr-FR"/>
        </w:rPr>
      </w:pPr>
      <w:r w:rsidRPr="003467E5">
        <w:rPr>
          <w:lang w:val="fr-FR"/>
        </w:rPr>
        <w:t>1.8.3.1</w:t>
      </w:r>
      <w:r w:rsidRPr="003467E5">
        <w:rPr>
          <w:lang w:val="fr-FR"/>
        </w:rPr>
        <w:tab/>
      </w:r>
      <w:r w:rsidRPr="003467E5">
        <w:rPr>
          <w:lang w:val="fr-FR"/>
        </w:rPr>
        <w:tab/>
        <w:t>Au début, remplacer « dont l'activité comporte le transport de marchandises dangereuses par route, ou les opérations d'emballage, de chargement, de remplissage ou de déchargement liées à ces transports, » par « </w:t>
      </w:r>
      <w:bookmarkStart w:id="3" w:name="_Hlk516041360"/>
      <w:r w:rsidRPr="003467E5">
        <w:rPr>
          <w:lang w:val="fr-FR"/>
        </w:rPr>
        <w:t xml:space="preserve">dont les activités comprennent l'expédition ou le transport de marchandises dangereuses par route, ou </w:t>
      </w:r>
      <w:r w:rsidRPr="003467E5">
        <w:rPr>
          <w:lang w:val="fr-FR"/>
        </w:rPr>
        <w:lastRenderedPageBreak/>
        <w:t>les opérations connexes d'emballage, de chargement, de remplissage ou de déchargement,</w:t>
      </w:r>
      <w:bookmarkEnd w:id="3"/>
      <w:r w:rsidRPr="003467E5">
        <w:rPr>
          <w:lang w:val="fr-FR"/>
        </w:rPr>
        <w:t xml:space="preserve"> ». </w:t>
      </w:r>
    </w:p>
    <w:p w14:paraId="3E05A2C2" w14:textId="2C8F245C" w:rsidR="003656F1" w:rsidRPr="003D71A6" w:rsidRDefault="003656F1" w:rsidP="003656F1">
      <w:pPr>
        <w:pStyle w:val="H23G"/>
        <w:rPr>
          <w:lang w:val="fr-FR"/>
        </w:rPr>
      </w:pPr>
      <w:r w:rsidRPr="003D71A6">
        <w:rPr>
          <w:lang w:val="fr-FR"/>
        </w:rPr>
        <w:tab/>
      </w:r>
      <w:r w:rsidR="0036439B">
        <w:rPr>
          <w:lang w:val="fr-FR"/>
        </w:rPr>
        <w:t>7.</w:t>
      </w:r>
      <w:r w:rsidRPr="003D71A6">
        <w:rPr>
          <w:lang w:val="fr-FR"/>
        </w:rPr>
        <w:tab/>
        <w:t xml:space="preserve">Chapitre </w:t>
      </w:r>
      <w:r>
        <w:rPr>
          <w:lang w:val="fr-FR"/>
        </w:rPr>
        <w:t>2.1,</w:t>
      </w:r>
      <w:r w:rsidRPr="003D71A6">
        <w:rPr>
          <w:lang w:val="fr-FR"/>
        </w:rPr>
        <w:t xml:space="preserve"> </w:t>
      </w:r>
      <w:r>
        <w:rPr>
          <w:lang w:val="fr-FR"/>
        </w:rPr>
        <w:t>nouvelle section 2.1.5, dans le nota sous le titre</w:t>
      </w:r>
    </w:p>
    <w:p w14:paraId="7941AEC9" w14:textId="77777777" w:rsidR="003656F1" w:rsidRDefault="003656F1" w:rsidP="003656F1">
      <w:pPr>
        <w:pStyle w:val="SingleTxtG"/>
        <w:rPr>
          <w:iCs/>
          <w:lang w:val="fr-FR"/>
        </w:rPr>
      </w:pPr>
      <w:r>
        <w:rPr>
          <w:i/>
          <w:lang w:val="fr-FR"/>
        </w:rPr>
        <w:t xml:space="preserve">Au lieu de </w:t>
      </w:r>
      <w:r>
        <w:rPr>
          <w:iCs/>
          <w:lang w:val="fr-FR"/>
        </w:rPr>
        <w:t xml:space="preserve">3537 et 3548 </w:t>
      </w:r>
      <w:r>
        <w:rPr>
          <w:i/>
          <w:lang w:val="fr-FR"/>
        </w:rPr>
        <w:t xml:space="preserve">lire </w:t>
      </w:r>
      <w:r>
        <w:rPr>
          <w:iCs/>
          <w:lang w:val="fr-FR"/>
        </w:rPr>
        <w:t>3537 à 3548</w:t>
      </w:r>
    </w:p>
    <w:p w14:paraId="6369FE78" w14:textId="2CC8DDD6" w:rsidR="005A6DB4" w:rsidRPr="0036439B" w:rsidRDefault="00FE7542" w:rsidP="0036439B">
      <w:pPr>
        <w:pStyle w:val="H23G"/>
        <w:rPr>
          <w:lang w:val="fr-FR"/>
        </w:rPr>
      </w:pPr>
      <w:r>
        <w:rPr>
          <w:lang w:val="fr-FR"/>
        </w:rPr>
        <w:tab/>
        <w:t>8.</w:t>
      </w:r>
      <w:r>
        <w:rPr>
          <w:lang w:val="fr-FR"/>
        </w:rPr>
        <w:tab/>
      </w:r>
      <w:r w:rsidR="005A6DB4" w:rsidRPr="0036439B">
        <w:rPr>
          <w:lang w:val="fr-FR"/>
        </w:rPr>
        <w:t>Chapitre 2.2, amendement au 2.2.51.1.3</w:t>
      </w:r>
    </w:p>
    <w:p w14:paraId="517C709A" w14:textId="5CFE974E" w:rsidR="005A6DB4" w:rsidRDefault="005A6DB4" w:rsidP="005A6DB4">
      <w:pPr>
        <w:pStyle w:val="SingleTxtG"/>
        <w:rPr>
          <w:lang w:val="fr-FR"/>
        </w:rPr>
      </w:pPr>
      <w:r>
        <w:rPr>
          <w:i/>
          <w:iCs/>
          <w:lang w:val="fr-FR"/>
        </w:rPr>
        <w:t xml:space="preserve">Au lieu de </w:t>
      </w:r>
      <w:r>
        <w:rPr>
          <w:lang w:val="fr-FR"/>
        </w:rPr>
        <w:t xml:space="preserve">treizième tiret </w:t>
      </w:r>
      <w:r>
        <w:rPr>
          <w:i/>
          <w:iCs/>
          <w:lang w:val="fr-FR"/>
        </w:rPr>
        <w:t xml:space="preserve">lire </w:t>
      </w:r>
      <w:proofErr w:type="gramStart"/>
      <w:r>
        <w:rPr>
          <w:lang w:val="fr-FR"/>
        </w:rPr>
        <w:t>treizième et quatorzième tirets</w:t>
      </w:r>
      <w:proofErr w:type="gramEnd"/>
    </w:p>
    <w:p w14:paraId="454416B5" w14:textId="3047BBB9" w:rsidR="005A6DB4" w:rsidRPr="0036439B" w:rsidRDefault="00FE7542" w:rsidP="0036439B">
      <w:pPr>
        <w:pStyle w:val="H23G"/>
        <w:rPr>
          <w:lang w:val="fr-FR"/>
        </w:rPr>
      </w:pPr>
      <w:r>
        <w:rPr>
          <w:lang w:val="fr-FR"/>
        </w:rPr>
        <w:tab/>
        <w:t>9.</w:t>
      </w:r>
      <w:r>
        <w:rPr>
          <w:lang w:val="fr-FR"/>
        </w:rPr>
        <w:tab/>
      </w:r>
      <w:r w:rsidR="005A6DB4" w:rsidRPr="0036439B">
        <w:rPr>
          <w:lang w:val="fr-FR"/>
        </w:rPr>
        <w:t xml:space="preserve">Chapitre 2.2, amendement au 2.2.51.2.2, </w:t>
      </w:r>
      <w:bookmarkStart w:id="4" w:name="_Hlk516041739"/>
      <w:r w:rsidR="007A34D2">
        <w:rPr>
          <w:lang w:val="fr-FR"/>
        </w:rPr>
        <w:t>sous le</w:t>
      </w:r>
      <w:r w:rsidR="005A6DB4" w:rsidRPr="0036439B">
        <w:rPr>
          <w:lang w:val="fr-FR"/>
        </w:rPr>
        <w:t xml:space="preserve"> tiret</w:t>
      </w:r>
      <w:r w:rsidR="007A34D2">
        <w:rPr>
          <w:lang w:val="fr-FR"/>
        </w:rPr>
        <w:t xml:space="preserve"> finissant par « numéro ONU 2067 »</w:t>
      </w:r>
      <w:bookmarkEnd w:id="4"/>
    </w:p>
    <w:p w14:paraId="6027F45F" w14:textId="398CA746" w:rsidR="005A6DB4" w:rsidRDefault="00DC3135" w:rsidP="005A6DB4">
      <w:pPr>
        <w:pStyle w:val="SingleTxtG"/>
        <w:rPr>
          <w:i/>
          <w:iCs/>
          <w:lang w:val="fr-FR"/>
        </w:rPr>
      </w:pPr>
      <w:r>
        <w:rPr>
          <w:i/>
          <w:iCs/>
          <w:lang w:val="fr-FR"/>
        </w:rPr>
        <w:t>Insérer</w:t>
      </w:r>
    </w:p>
    <w:p w14:paraId="2DFF7F54" w14:textId="1F75918F" w:rsidR="005A6DB4" w:rsidRDefault="005A6DB4" w:rsidP="00DC3135">
      <w:pPr>
        <w:pStyle w:val="SingleTxtG"/>
        <w:ind w:left="1701"/>
        <w:rPr>
          <w:lang w:val="fr-FR"/>
        </w:rPr>
      </w:pPr>
      <w:bookmarkStart w:id="5" w:name="_Hlk516041680"/>
      <w:proofErr w:type="gramStart"/>
      <w:r w:rsidRPr="00E70D7A">
        <w:rPr>
          <w:b/>
          <w:bCs/>
          <w:i/>
          <w:iCs/>
          <w:lang w:val="fr-FR"/>
        </w:rPr>
        <w:t>NOTA:</w:t>
      </w:r>
      <w:proofErr w:type="gramEnd"/>
      <w:r>
        <w:rPr>
          <w:i/>
          <w:iCs/>
          <w:lang w:val="fr-FR"/>
        </w:rPr>
        <w:tab/>
        <w:t>L</w:t>
      </w:r>
      <w:r w:rsidRPr="00E70D7A">
        <w:rPr>
          <w:i/>
          <w:iCs/>
          <w:lang w:val="fr-FR"/>
        </w:rPr>
        <w:t>'expression "autorité compétente" désigne l'autorité</w:t>
      </w:r>
      <w:r>
        <w:rPr>
          <w:i/>
          <w:iCs/>
          <w:lang w:val="fr-FR"/>
        </w:rPr>
        <w:t xml:space="preserve"> </w:t>
      </w:r>
      <w:r w:rsidRPr="00E70D7A">
        <w:rPr>
          <w:i/>
          <w:iCs/>
          <w:lang w:val="fr-FR"/>
        </w:rPr>
        <w:t>compétente du pays d'origine. Si le pays d'origine n'est pas une Partie contractante à l’ADR,</w:t>
      </w:r>
      <w:r>
        <w:rPr>
          <w:i/>
          <w:iCs/>
          <w:lang w:val="fr-FR"/>
        </w:rPr>
        <w:t xml:space="preserve"> </w:t>
      </w:r>
      <w:r w:rsidRPr="00E70D7A">
        <w:rPr>
          <w:i/>
          <w:iCs/>
          <w:lang w:val="fr-FR"/>
        </w:rPr>
        <w:t>la classification et les conditions de transport doivent être reconnues par l'autorité compétente</w:t>
      </w:r>
      <w:r>
        <w:rPr>
          <w:i/>
          <w:iCs/>
          <w:lang w:val="fr-FR"/>
        </w:rPr>
        <w:t xml:space="preserve"> </w:t>
      </w:r>
      <w:r w:rsidRPr="00E70D7A">
        <w:rPr>
          <w:i/>
          <w:iCs/>
          <w:lang w:val="fr-FR"/>
        </w:rPr>
        <w:t>du premier pays Partie contractante à l’ADR touché par l’envoi.</w:t>
      </w:r>
      <w:bookmarkEnd w:id="5"/>
    </w:p>
    <w:p w14:paraId="447F25CB" w14:textId="1A5CE46F" w:rsidR="00CD49F0" w:rsidRPr="003D71A6" w:rsidRDefault="00CD49F0" w:rsidP="00CD49F0">
      <w:pPr>
        <w:pStyle w:val="H23G"/>
        <w:rPr>
          <w:lang w:val="fr-FR"/>
        </w:rPr>
      </w:pPr>
      <w:r w:rsidRPr="003D71A6">
        <w:rPr>
          <w:lang w:val="fr-FR"/>
        </w:rPr>
        <w:tab/>
      </w:r>
      <w:r w:rsidR="00FE7542">
        <w:rPr>
          <w:lang w:val="fr-FR"/>
        </w:rPr>
        <w:t>10.</w:t>
      </w:r>
      <w:r w:rsidRPr="003D71A6">
        <w:rPr>
          <w:lang w:val="fr-FR"/>
        </w:rPr>
        <w:tab/>
        <w:t xml:space="preserve">Chapitre </w:t>
      </w:r>
      <w:r>
        <w:rPr>
          <w:lang w:val="fr-FR"/>
        </w:rPr>
        <w:t>2.2,</w:t>
      </w:r>
      <w:r w:rsidRPr="003D71A6">
        <w:rPr>
          <w:lang w:val="fr-FR"/>
        </w:rPr>
        <w:t xml:space="preserve"> </w:t>
      </w:r>
      <w:r>
        <w:rPr>
          <w:lang w:val="fr-FR"/>
        </w:rPr>
        <w:t>2.2.8.2.1</w:t>
      </w:r>
    </w:p>
    <w:p w14:paraId="5CD9BAA1" w14:textId="77777777" w:rsidR="00CD49F0" w:rsidRDefault="00CD49F0" w:rsidP="00CD49F0">
      <w:pPr>
        <w:pStyle w:val="SingleTxtG"/>
      </w:pPr>
      <w:r>
        <w:rPr>
          <w:lang w:val="fr-FR"/>
        </w:rPr>
        <w:t>Sans objet en français.</w:t>
      </w:r>
    </w:p>
    <w:p w14:paraId="27D9A32F" w14:textId="55271CD9" w:rsidR="00CD49F0" w:rsidRPr="003D71A6" w:rsidRDefault="00CD49F0" w:rsidP="00CD49F0">
      <w:pPr>
        <w:pStyle w:val="H23G"/>
        <w:rPr>
          <w:lang w:val="fr-FR"/>
        </w:rPr>
      </w:pPr>
      <w:r>
        <w:rPr>
          <w:lang w:val="fr-FR"/>
        </w:rPr>
        <w:tab/>
      </w:r>
      <w:r w:rsidR="00FE7542">
        <w:rPr>
          <w:lang w:val="fr-FR"/>
        </w:rPr>
        <w:t>11.</w:t>
      </w:r>
      <w:r>
        <w:rPr>
          <w:lang w:val="fr-FR"/>
        </w:rPr>
        <w:tab/>
      </w:r>
      <w:r w:rsidRPr="003D71A6">
        <w:rPr>
          <w:lang w:val="fr-FR"/>
        </w:rPr>
        <w:t>Chapitre 2.2, amendement au 2.2.9.1.7, nouvel alinéa g), après « piles ou batteries »</w:t>
      </w:r>
    </w:p>
    <w:p w14:paraId="6355FCBE" w14:textId="77777777" w:rsidR="00CD49F0" w:rsidRDefault="00CD49F0" w:rsidP="00CD49F0">
      <w:pPr>
        <w:pStyle w:val="SingleTxtG"/>
        <w:rPr>
          <w:lang w:val="fr-FR"/>
        </w:rPr>
      </w:pPr>
      <w:r w:rsidRPr="003D71A6">
        <w:rPr>
          <w:i/>
          <w:lang w:val="fr-FR"/>
        </w:rPr>
        <w:t>Insérer</w:t>
      </w:r>
      <w:r w:rsidRPr="003D71A6">
        <w:rPr>
          <w:lang w:val="fr-FR"/>
        </w:rPr>
        <w:t xml:space="preserve"> </w:t>
      </w:r>
      <w:bookmarkStart w:id="6" w:name="_Hlk516042041"/>
      <w:r w:rsidRPr="003D71A6">
        <w:rPr>
          <w:lang w:val="fr-FR"/>
        </w:rPr>
        <w:t>fabriquées après le 30 juin 2003</w:t>
      </w:r>
      <w:bookmarkEnd w:id="6"/>
    </w:p>
    <w:p w14:paraId="0036B2A3" w14:textId="252017B1" w:rsidR="003656F1" w:rsidRPr="003D71A6" w:rsidRDefault="003656F1" w:rsidP="003656F1">
      <w:pPr>
        <w:pStyle w:val="H23G"/>
        <w:rPr>
          <w:lang w:val="fr-FR"/>
        </w:rPr>
      </w:pPr>
      <w:r w:rsidRPr="003D71A6">
        <w:rPr>
          <w:lang w:val="fr-FR"/>
        </w:rPr>
        <w:tab/>
      </w:r>
      <w:r w:rsidR="00FE7542">
        <w:rPr>
          <w:lang w:val="fr-FR"/>
        </w:rPr>
        <w:t>12.</w:t>
      </w:r>
      <w:r w:rsidRPr="003D71A6">
        <w:rPr>
          <w:lang w:val="fr-FR"/>
        </w:rPr>
        <w:tab/>
        <w:t xml:space="preserve">Chapitre </w:t>
      </w:r>
      <w:r>
        <w:rPr>
          <w:lang w:val="fr-FR"/>
        </w:rPr>
        <w:t>3.2, tableau A, pour le No ONU 2071</w:t>
      </w:r>
    </w:p>
    <w:p w14:paraId="4D6FBC27" w14:textId="77777777" w:rsidR="003656F1" w:rsidRPr="00297642" w:rsidRDefault="003656F1" w:rsidP="003656F1">
      <w:pPr>
        <w:pStyle w:val="SingleTxtG"/>
      </w:pPr>
      <w:r>
        <w:rPr>
          <w:i/>
          <w:iCs/>
          <w:lang w:val="fr-FR"/>
        </w:rPr>
        <w:t xml:space="preserve">Supprimer </w:t>
      </w:r>
      <w:r w:rsidRPr="00477B36">
        <w:rPr>
          <w:lang w:val="fr-FR"/>
        </w:rPr>
        <w:t>En colonne (3b), ajouter « M11 ».</w:t>
      </w:r>
    </w:p>
    <w:p w14:paraId="52921310" w14:textId="557FC66C" w:rsidR="003656F1" w:rsidRPr="003D71A6" w:rsidRDefault="003656F1" w:rsidP="003656F1">
      <w:pPr>
        <w:pStyle w:val="H23G"/>
        <w:rPr>
          <w:lang w:val="fr-FR"/>
        </w:rPr>
      </w:pPr>
      <w:r w:rsidRPr="003D71A6">
        <w:rPr>
          <w:lang w:val="fr-FR"/>
        </w:rPr>
        <w:tab/>
      </w:r>
      <w:r w:rsidR="00FE7542">
        <w:rPr>
          <w:lang w:val="fr-FR"/>
        </w:rPr>
        <w:t>13.</w:t>
      </w:r>
      <w:r w:rsidRPr="003D71A6">
        <w:rPr>
          <w:lang w:val="fr-FR"/>
        </w:rPr>
        <w:tab/>
        <w:t xml:space="preserve">Chapitre </w:t>
      </w:r>
      <w:r>
        <w:rPr>
          <w:lang w:val="fr-FR"/>
        </w:rPr>
        <w:t>3.2, tableau A, pour le No ONU 2381</w:t>
      </w:r>
    </w:p>
    <w:p w14:paraId="48F22E72" w14:textId="77777777" w:rsidR="003656F1" w:rsidRDefault="003656F1" w:rsidP="003656F1">
      <w:pPr>
        <w:pStyle w:val="SingleTxtG"/>
        <w:rPr>
          <w:iCs/>
          <w:lang w:val="fr-FR"/>
        </w:rPr>
      </w:pPr>
      <w:r>
        <w:rPr>
          <w:i/>
          <w:lang w:val="fr-FR"/>
        </w:rPr>
        <w:t xml:space="preserve">Au lieu de </w:t>
      </w:r>
      <w:r>
        <w:rPr>
          <w:iCs/>
          <w:lang w:val="fr-FR"/>
        </w:rPr>
        <w:t xml:space="preserve">TP38 </w:t>
      </w:r>
      <w:r>
        <w:rPr>
          <w:i/>
          <w:lang w:val="fr-FR"/>
        </w:rPr>
        <w:t xml:space="preserve">lire </w:t>
      </w:r>
      <w:r>
        <w:rPr>
          <w:iCs/>
          <w:lang w:val="fr-FR"/>
        </w:rPr>
        <w:t>TP39</w:t>
      </w:r>
    </w:p>
    <w:p w14:paraId="0DEC98E5" w14:textId="3E616D0B" w:rsidR="003656F1" w:rsidRPr="003D71A6" w:rsidRDefault="003656F1" w:rsidP="003656F1">
      <w:pPr>
        <w:pStyle w:val="H23G"/>
        <w:rPr>
          <w:lang w:val="fr-FR"/>
        </w:rPr>
      </w:pPr>
      <w:r w:rsidRPr="003D71A6">
        <w:rPr>
          <w:lang w:val="fr-FR"/>
        </w:rPr>
        <w:tab/>
      </w:r>
      <w:r w:rsidR="00FE7542">
        <w:rPr>
          <w:lang w:val="fr-FR"/>
        </w:rPr>
        <w:t>14.</w:t>
      </w:r>
      <w:r w:rsidRPr="003D71A6">
        <w:rPr>
          <w:lang w:val="fr-FR"/>
        </w:rPr>
        <w:tab/>
        <w:t xml:space="preserve">Chapitre </w:t>
      </w:r>
      <w:r>
        <w:rPr>
          <w:lang w:val="fr-FR"/>
        </w:rPr>
        <w:t>3.2, tableau A, pour le No ONU 3148</w:t>
      </w:r>
    </w:p>
    <w:p w14:paraId="48B235A0" w14:textId="77777777" w:rsidR="003656F1" w:rsidRDefault="003656F1" w:rsidP="003656F1">
      <w:pPr>
        <w:pStyle w:val="SingleTxtG"/>
        <w:rPr>
          <w:iCs/>
          <w:lang w:val="fr-FR"/>
        </w:rPr>
      </w:pPr>
      <w:r>
        <w:rPr>
          <w:i/>
          <w:lang w:val="fr-FR"/>
        </w:rPr>
        <w:t xml:space="preserve">Au lieu de </w:t>
      </w:r>
      <w:r>
        <w:rPr>
          <w:iCs/>
          <w:lang w:val="fr-FR"/>
        </w:rPr>
        <w:t xml:space="preserve">TP39 </w:t>
      </w:r>
      <w:r>
        <w:rPr>
          <w:i/>
          <w:lang w:val="fr-FR"/>
        </w:rPr>
        <w:t xml:space="preserve">lire </w:t>
      </w:r>
      <w:r>
        <w:rPr>
          <w:iCs/>
          <w:lang w:val="fr-FR"/>
        </w:rPr>
        <w:t>TP38</w:t>
      </w:r>
    </w:p>
    <w:p w14:paraId="77C009F2" w14:textId="6398DF4E" w:rsidR="003656F1" w:rsidRPr="003D71A6" w:rsidRDefault="003656F1" w:rsidP="003656F1">
      <w:pPr>
        <w:pStyle w:val="H23G"/>
        <w:rPr>
          <w:lang w:val="fr-FR"/>
        </w:rPr>
      </w:pPr>
      <w:r w:rsidRPr="003D71A6">
        <w:rPr>
          <w:lang w:val="fr-FR"/>
        </w:rPr>
        <w:tab/>
      </w:r>
      <w:r w:rsidR="00FE7542">
        <w:rPr>
          <w:lang w:val="fr-FR"/>
        </w:rPr>
        <w:t>15.</w:t>
      </w:r>
      <w:r w:rsidRPr="003D71A6">
        <w:rPr>
          <w:lang w:val="fr-FR"/>
        </w:rPr>
        <w:tab/>
        <w:t xml:space="preserve">Chapitre </w:t>
      </w:r>
      <w:r>
        <w:rPr>
          <w:lang w:val="fr-FR"/>
        </w:rPr>
        <w:t>3.2, tableau A, pour les Nos. ONU 3528, 3529 et 3530</w:t>
      </w:r>
    </w:p>
    <w:p w14:paraId="1D4A8C6A" w14:textId="77777777" w:rsidR="003656F1" w:rsidRDefault="003656F1" w:rsidP="003656F1">
      <w:pPr>
        <w:pStyle w:val="SingleTxtG"/>
      </w:pPr>
      <w:r>
        <w:rPr>
          <w:lang w:val="fr-FR"/>
        </w:rPr>
        <w:t>Sans objet en français.</w:t>
      </w:r>
    </w:p>
    <w:p w14:paraId="6F1DAFBB" w14:textId="460100EA" w:rsidR="00694C7F" w:rsidRPr="0036439B" w:rsidRDefault="00FE7542" w:rsidP="0036439B">
      <w:pPr>
        <w:pStyle w:val="H23G"/>
        <w:rPr>
          <w:lang w:val="fr-FR"/>
        </w:rPr>
      </w:pPr>
      <w:r>
        <w:rPr>
          <w:lang w:val="fr-FR"/>
        </w:rPr>
        <w:tab/>
        <w:t>16.</w:t>
      </w:r>
      <w:r>
        <w:rPr>
          <w:lang w:val="fr-FR"/>
        </w:rPr>
        <w:tab/>
      </w:r>
      <w:r w:rsidR="00694C7F" w:rsidRPr="0036439B">
        <w:rPr>
          <w:lang w:val="fr-FR"/>
        </w:rPr>
        <w:t>Chapitre 3.3, amendement à la disposition spéciale 251, alinéa a)</w:t>
      </w:r>
    </w:p>
    <w:p w14:paraId="60EB96A9" w14:textId="77599994" w:rsidR="00694C7F" w:rsidRDefault="00694C7F" w:rsidP="00694C7F">
      <w:pPr>
        <w:pStyle w:val="SingleTxtG"/>
        <w:rPr>
          <w:lang w:val="fr-FR"/>
        </w:rPr>
      </w:pPr>
      <w:r w:rsidRPr="003467E5">
        <w:rPr>
          <w:i/>
          <w:iCs/>
          <w:lang w:val="fr-FR"/>
        </w:rPr>
        <w:t xml:space="preserve">Au lieu </w:t>
      </w:r>
      <w:proofErr w:type="gramStart"/>
      <w:r w:rsidRPr="003467E5">
        <w:rPr>
          <w:i/>
          <w:iCs/>
          <w:lang w:val="fr-FR"/>
        </w:rPr>
        <w:t>de</w:t>
      </w:r>
      <w:r w:rsidRPr="003467E5">
        <w:rPr>
          <w:lang w:val="fr-FR"/>
        </w:rPr>
        <w:t xml:space="preserve"> en</w:t>
      </w:r>
      <w:proofErr w:type="gramEnd"/>
      <w:r w:rsidRPr="003467E5">
        <w:rPr>
          <w:lang w:val="fr-FR"/>
        </w:rPr>
        <w:t xml:space="preserve"> dessous des quantités </w:t>
      </w:r>
      <w:r w:rsidRPr="003467E5">
        <w:rPr>
          <w:i/>
          <w:iCs/>
          <w:lang w:val="fr-FR"/>
        </w:rPr>
        <w:t xml:space="preserve">lire </w:t>
      </w:r>
      <w:bookmarkStart w:id="7" w:name="_Hlk516042473"/>
      <w:r w:rsidRPr="003467E5">
        <w:rPr>
          <w:lang w:val="fr-FR"/>
        </w:rPr>
        <w:t>ne dépassant pas les quantités</w:t>
      </w:r>
      <w:bookmarkEnd w:id="7"/>
    </w:p>
    <w:p w14:paraId="60254A52" w14:textId="3CD50AB7" w:rsidR="00B8706D" w:rsidRPr="0036439B" w:rsidRDefault="00FE7542" w:rsidP="0036439B">
      <w:pPr>
        <w:pStyle w:val="H23G"/>
        <w:rPr>
          <w:lang w:val="fr-FR"/>
        </w:rPr>
      </w:pPr>
      <w:r>
        <w:rPr>
          <w:lang w:val="fr-FR"/>
        </w:rPr>
        <w:tab/>
        <w:t>17.</w:t>
      </w:r>
      <w:r>
        <w:rPr>
          <w:lang w:val="fr-FR"/>
        </w:rPr>
        <w:tab/>
      </w:r>
      <w:r w:rsidR="00B8706D" w:rsidRPr="0036439B">
        <w:rPr>
          <w:lang w:val="fr-FR"/>
        </w:rPr>
        <w:t xml:space="preserve">Chapitre 3.3, </w:t>
      </w:r>
      <w:r w:rsidR="006D33BA" w:rsidRPr="0036439B">
        <w:rPr>
          <w:lang w:val="fr-FR"/>
        </w:rPr>
        <w:t>amendement à la disposition spéciale 251, à la fin de l’alinéa a)</w:t>
      </w:r>
    </w:p>
    <w:p w14:paraId="4365C13F" w14:textId="0431ABBD" w:rsidR="00B8706D" w:rsidRDefault="00B8706D" w:rsidP="00694C7F">
      <w:pPr>
        <w:pStyle w:val="SingleTxtG"/>
        <w:rPr>
          <w:lang w:val="fr-FR"/>
        </w:rPr>
      </w:pPr>
      <w:r w:rsidRPr="0036439B">
        <w:rPr>
          <w:i/>
          <w:iCs/>
          <w:lang w:val="fr-FR"/>
        </w:rPr>
        <w:t>Insérer</w:t>
      </w:r>
      <w:r>
        <w:rPr>
          <w:lang w:val="fr-FR"/>
        </w:rPr>
        <w:t xml:space="preserve"> </w:t>
      </w:r>
      <w:proofErr w:type="gramStart"/>
      <w:r>
        <w:rPr>
          <w:lang w:val="fr-FR"/>
        </w:rPr>
        <w:t>ou</w:t>
      </w:r>
      <w:proofErr w:type="gramEnd"/>
    </w:p>
    <w:p w14:paraId="452AB436" w14:textId="75AC6EE3" w:rsidR="005A6DB4" w:rsidRPr="0036439B" w:rsidRDefault="00FE7542" w:rsidP="0036439B">
      <w:pPr>
        <w:pStyle w:val="H23G"/>
        <w:rPr>
          <w:lang w:val="fr-FR"/>
        </w:rPr>
      </w:pPr>
      <w:r>
        <w:rPr>
          <w:lang w:val="fr-FR"/>
        </w:rPr>
        <w:tab/>
        <w:t>18.</w:t>
      </w:r>
      <w:r>
        <w:rPr>
          <w:lang w:val="fr-FR"/>
        </w:rPr>
        <w:tab/>
      </w:r>
      <w:r w:rsidR="005A6DB4" w:rsidRPr="0036439B">
        <w:rPr>
          <w:lang w:val="fr-FR"/>
        </w:rPr>
        <w:t>Chapitre 3.3, amendement à la disposition spéciale 307, deuxième phrase</w:t>
      </w:r>
    </w:p>
    <w:p w14:paraId="31E0172B" w14:textId="596F848D" w:rsidR="005A6DB4" w:rsidRDefault="005A6DB4" w:rsidP="005A6DB4">
      <w:pPr>
        <w:pStyle w:val="SingleTxtG"/>
        <w:rPr>
          <w:lang w:val="fr-FR"/>
        </w:rPr>
      </w:pPr>
      <w:r>
        <w:rPr>
          <w:i/>
          <w:iCs/>
          <w:lang w:val="fr-FR"/>
        </w:rPr>
        <w:t xml:space="preserve">Au lieu de </w:t>
      </w:r>
      <w:r>
        <w:rPr>
          <w:lang w:val="fr-FR"/>
        </w:rPr>
        <w:t xml:space="preserve">treizième tiret </w:t>
      </w:r>
      <w:r>
        <w:rPr>
          <w:i/>
          <w:iCs/>
          <w:lang w:val="fr-FR"/>
        </w:rPr>
        <w:t xml:space="preserve">lire </w:t>
      </w:r>
      <w:proofErr w:type="gramStart"/>
      <w:r>
        <w:rPr>
          <w:lang w:val="fr-FR"/>
        </w:rPr>
        <w:t>treizième et quatorzième tirets</w:t>
      </w:r>
      <w:proofErr w:type="gramEnd"/>
    </w:p>
    <w:p w14:paraId="48FFC9CE" w14:textId="54D759FE" w:rsidR="00694C7F" w:rsidRPr="0036439B" w:rsidRDefault="00FE7542" w:rsidP="0036439B">
      <w:pPr>
        <w:pStyle w:val="H23G"/>
        <w:rPr>
          <w:lang w:val="fr-FR"/>
        </w:rPr>
      </w:pPr>
      <w:r>
        <w:rPr>
          <w:lang w:val="fr-FR"/>
        </w:rPr>
        <w:tab/>
        <w:t>19.</w:t>
      </w:r>
      <w:r>
        <w:rPr>
          <w:lang w:val="fr-FR"/>
        </w:rPr>
        <w:tab/>
      </w:r>
      <w:r w:rsidR="00694C7F" w:rsidRPr="0036439B">
        <w:rPr>
          <w:lang w:val="fr-FR"/>
        </w:rPr>
        <w:t>Chapitre 3.3, nouvelle disposition spéciale 388, quatrième paragraphe</w:t>
      </w:r>
    </w:p>
    <w:p w14:paraId="17EDB9B5" w14:textId="77777777" w:rsidR="00694C7F" w:rsidRPr="003467E5" w:rsidRDefault="00694C7F" w:rsidP="00694C7F">
      <w:pPr>
        <w:pStyle w:val="SingleTxtG"/>
        <w:rPr>
          <w:b/>
          <w:bCs/>
          <w:lang w:val="fr-FR"/>
        </w:rPr>
      </w:pPr>
      <w:r w:rsidRPr="003467E5">
        <w:rPr>
          <w:i/>
          <w:iCs/>
          <w:lang w:val="fr-FR"/>
        </w:rPr>
        <w:t xml:space="preserve">Substituer </w:t>
      </w:r>
      <w:r w:rsidRPr="003467E5">
        <w:rPr>
          <w:lang w:val="fr-FR"/>
        </w:rPr>
        <w:t>au texte existant :</w:t>
      </w:r>
    </w:p>
    <w:p w14:paraId="15FA0E60" w14:textId="397ACD48" w:rsidR="00694C7F" w:rsidRDefault="00694C7F" w:rsidP="00DC3135">
      <w:pPr>
        <w:pStyle w:val="SingleTxtG"/>
        <w:ind w:left="1701"/>
        <w:rPr>
          <w:lang w:val="fr-FR"/>
        </w:rPr>
      </w:pPr>
      <w:bookmarkStart w:id="8" w:name="_Hlk516042602"/>
      <w:r w:rsidRPr="003467E5">
        <w:rPr>
          <w:lang w:val="fr-FR"/>
        </w:rPr>
        <w:lastRenderedPageBreak/>
        <w:t>Si un véhicule est propulsé par un moteur à combustion interne fonctionnant au liquide inflammable et au gaz inflammable, il doit être affecté à la rubrique ONU 3166 VÉHICULE À PROPULSION PAR GAZ INFLAMMABLE.</w:t>
      </w:r>
      <w:bookmarkEnd w:id="8"/>
    </w:p>
    <w:p w14:paraId="046D6F7F" w14:textId="577C1DC9" w:rsidR="00E3356E" w:rsidRPr="0036439B" w:rsidRDefault="00FE7542" w:rsidP="0036439B">
      <w:pPr>
        <w:pStyle w:val="H23G"/>
        <w:rPr>
          <w:lang w:val="fr-FR"/>
        </w:rPr>
      </w:pPr>
      <w:r>
        <w:rPr>
          <w:lang w:val="fr-FR"/>
        </w:rPr>
        <w:tab/>
        <w:t>20.</w:t>
      </w:r>
      <w:r>
        <w:rPr>
          <w:lang w:val="fr-FR"/>
        </w:rPr>
        <w:tab/>
      </w:r>
      <w:r w:rsidR="00E3356E" w:rsidRPr="0036439B">
        <w:rPr>
          <w:lang w:val="fr-FR"/>
        </w:rPr>
        <w:t>Chapitre 3.3, nouvelle disposition spéciale 391</w:t>
      </w:r>
    </w:p>
    <w:p w14:paraId="755B0F0F" w14:textId="2F667522" w:rsidR="00E3356E" w:rsidRPr="00C6603D" w:rsidRDefault="00E3356E" w:rsidP="00E3356E">
      <w:pPr>
        <w:pStyle w:val="SingleTxtG"/>
        <w:rPr>
          <w:b/>
          <w:bCs/>
          <w:iCs/>
          <w:lang w:val="fr-FR"/>
        </w:rPr>
      </w:pPr>
      <w:r>
        <w:rPr>
          <w:i/>
          <w:iCs/>
          <w:lang w:val="fr-FR"/>
        </w:rPr>
        <w:t>Au lieu de</w:t>
      </w:r>
      <w:r w:rsidRPr="003467E5">
        <w:rPr>
          <w:i/>
          <w:iCs/>
          <w:lang w:val="fr-FR"/>
        </w:rPr>
        <w:t xml:space="preserve"> </w:t>
      </w:r>
      <w:r>
        <w:rPr>
          <w:lang w:val="fr-FR"/>
        </w:rPr>
        <w:t>391</w:t>
      </w:r>
      <w:r w:rsidR="00C6603D">
        <w:rPr>
          <w:lang w:val="fr-FR"/>
        </w:rPr>
        <w:t xml:space="preserve"> </w:t>
      </w:r>
      <w:r w:rsidR="00C6603D" w:rsidRPr="00C6603D">
        <w:rPr>
          <w:iCs/>
        </w:rPr>
        <w:t>(Réservé)</w:t>
      </w:r>
      <w:r>
        <w:rPr>
          <w:lang w:val="fr-FR"/>
        </w:rPr>
        <w:t xml:space="preserve"> </w:t>
      </w:r>
      <w:r>
        <w:rPr>
          <w:i/>
          <w:iCs/>
          <w:lang w:val="fr-FR"/>
        </w:rPr>
        <w:t xml:space="preserve">lire </w:t>
      </w:r>
      <w:r w:rsidRPr="00E3356E">
        <w:rPr>
          <w:lang w:val="fr-FR"/>
        </w:rPr>
        <w:t>390-391</w:t>
      </w:r>
      <w:r w:rsidR="00C6603D">
        <w:rPr>
          <w:lang w:val="fr-FR"/>
        </w:rPr>
        <w:t xml:space="preserve"> </w:t>
      </w:r>
      <w:r w:rsidR="00C6603D" w:rsidRPr="00C6603D">
        <w:rPr>
          <w:iCs/>
        </w:rPr>
        <w:t>(Réservé</w:t>
      </w:r>
      <w:r w:rsidR="00C6603D">
        <w:rPr>
          <w:iCs/>
        </w:rPr>
        <w:t>s</w:t>
      </w:r>
      <w:r w:rsidR="00C6603D" w:rsidRPr="00C6603D">
        <w:rPr>
          <w:iCs/>
        </w:rPr>
        <w:t>)</w:t>
      </w:r>
    </w:p>
    <w:p w14:paraId="373D9385" w14:textId="2D5D48FE" w:rsidR="001C3FC8" w:rsidRPr="003D71A6" w:rsidRDefault="001C3FC8" w:rsidP="001C3FC8">
      <w:pPr>
        <w:pStyle w:val="H23G"/>
        <w:rPr>
          <w:lang w:val="fr-FR"/>
        </w:rPr>
      </w:pPr>
      <w:r>
        <w:rPr>
          <w:lang w:val="fr-FR"/>
        </w:rPr>
        <w:tab/>
      </w:r>
      <w:r w:rsidR="00FE7542">
        <w:rPr>
          <w:lang w:val="fr-FR"/>
        </w:rPr>
        <w:t>21.</w:t>
      </w:r>
      <w:r>
        <w:rPr>
          <w:lang w:val="fr-FR"/>
        </w:rPr>
        <w:tab/>
      </w:r>
      <w:r w:rsidRPr="003D71A6">
        <w:rPr>
          <w:lang w:val="fr-FR"/>
        </w:rPr>
        <w:t>Chapitre 3.3, nouvelle disposition spéciale 392, à l’alinéa a), dans le tableau</w:t>
      </w:r>
      <w:bookmarkStart w:id="9" w:name="_Hlk516042795"/>
      <w:r w:rsidR="00D722D7">
        <w:rPr>
          <w:lang w:val="fr-FR"/>
        </w:rPr>
        <w:t>, première colonne</w:t>
      </w:r>
      <w:r w:rsidRPr="003D71A6">
        <w:rPr>
          <w:lang w:val="fr-FR"/>
        </w:rPr>
        <w:t xml:space="preserve"> (</w:t>
      </w:r>
      <w:r w:rsidR="004C3D40">
        <w:rPr>
          <w:lang w:val="fr-FR"/>
        </w:rPr>
        <w:t>cinq</w:t>
      </w:r>
      <w:r w:rsidRPr="003D71A6">
        <w:rPr>
          <w:lang w:val="fr-FR"/>
        </w:rPr>
        <w:t xml:space="preserve"> fois)</w:t>
      </w:r>
      <w:bookmarkEnd w:id="9"/>
    </w:p>
    <w:p w14:paraId="3722089E" w14:textId="3ED7E4CD" w:rsidR="001C3FC8" w:rsidRDefault="001C3FC8" w:rsidP="001C3FC8">
      <w:pPr>
        <w:pStyle w:val="SingleTxtG"/>
        <w:rPr>
          <w:lang w:val="fr-FR"/>
        </w:rPr>
      </w:pPr>
      <w:r w:rsidRPr="003D71A6">
        <w:rPr>
          <w:i/>
          <w:lang w:val="fr-FR"/>
        </w:rPr>
        <w:t>Au lieu de</w:t>
      </w:r>
      <w:r w:rsidRPr="003D71A6">
        <w:rPr>
          <w:lang w:val="fr-FR"/>
        </w:rPr>
        <w:t xml:space="preserve"> Règlement ECE </w:t>
      </w:r>
      <w:r w:rsidRPr="003D71A6">
        <w:rPr>
          <w:i/>
          <w:lang w:val="fr-FR"/>
        </w:rPr>
        <w:t>lire</w:t>
      </w:r>
      <w:r w:rsidRPr="003D71A6">
        <w:rPr>
          <w:lang w:val="fr-FR"/>
        </w:rPr>
        <w:t xml:space="preserve"> Règlement ONU</w:t>
      </w:r>
    </w:p>
    <w:p w14:paraId="38CCAE67" w14:textId="6D70237B" w:rsidR="00190E18" w:rsidRPr="003D71A6" w:rsidRDefault="00190E18" w:rsidP="00190E18">
      <w:pPr>
        <w:pStyle w:val="H23G"/>
        <w:rPr>
          <w:lang w:val="fr-FR"/>
        </w:rPr>
      </w:pPr>
      <w:bookmarkStart w:id="10" w:name="_Hlk515971069"/>
      <w:r>
        <w:rPr>
          <w:lang w:val="fr-FR"/>
        </w:rPr>
        <w:tab/>
      </w:r>
      <w:r w:rsidR="00FE7542">
        <w:rPr>
          <w:lang w:val="fr-FR"/>
        </w:rPr>
        <w:t>22.</w:t>
      </w:r>
      <w:r>
        <w:rPr>
          <w:lang w:val="fr-FR"/>
        </w:rPr>
        <w:tab/>
      </w:r>
      <w:r w:rsidRPr="003D71A6">
        <w:rPr>
          <w:lang w:val="fr-FR"/>
        </w:rPr>
        <w:t>Chapitre 3.3, nouvelle disposition spéciale 392, à l’alinéa a), dans le tableau</w:t>
      </w:r>
      <w:r>
        <w:rPr>
          <w:lang w:val="fr-FR"/>
        </w:rPr>
        <w:t>, avant-dernière ligne, deuxième colonne</w:t>
      </w:r>
    </w:p>
    <w:p w14:paraId="1F4B8062" w14:textId="7374E523" w:rsidR="00190E18" w:rsidRDefault="00190E18" w:rsidP="00946268">
      <w:pPr>
        <w:pStyle w:val="SingleTxtG"/>
        <w:rPr>
          <w:lang w:val="fr-FR"/>
        </w:rPr>
      </w:pPr>
      <w:r w:rsidRPr="003D71A6">
        <w:rPr>
          <w:i/>
          <w:lang w:val="fr-FR"/>
        </w:rPr>
        <w:t>Au lieu de</w:t>
      </w:r>
      <w:r w:rsidRPr="003D71A6">
        <w:rPr>
          <w:lang w:val="fr-FR"/>
        </w:rPr>
        <w:t xml:space="preserve"> </w:t>
      </w:r>
      <w:r w:rsidRPr="00190E18">
        <w:rPr>
          <w:lang w:val="fr-FR"/>
        </w:rPr>
        <w:t>Règlement ECE No 134 (Véhicules à hydrogène et à pile à</w:t>
      </w:r>
      <w:r>
        <w:rPr>
          <w:lang w:val="fr-FR"/>
        </w:rPr>
        <w:t xml:space="preserve"> </w:t>
      </w:r>
      <w:r w:rsidRPr="00190E18">
        <w:rPr>
          <w:lang w:val="fr-FR"/>
        </w:rPr>
        <w:t>combustible (HFCV))</w:t>
      </w:r>
      <w:r w:rsidRPr="003D71A6">
        <w:rPr>
          <w:lang w:val="fr-FR"/>
        </w:rPr>
        <w:t xml:space="preserve"> </w:t>
      </w:r>
      <w:r w:rsidRPr="003D71A6">
        <w:rPr>
          <w:i/>
          <w:lang w:val="fr-FR"/>
        </w:rPr>
        <w:t>lire</w:t>
      </w:r>
      <w:r w:rsidRPr="003D71A6">
        <w:rPr>
          <w:lang w:val="fr-FR"/>
        </w:rPr>
        <w:t xml:space="preserve"> </w:t>
      </w:r>
      <w:r w:rsidRPr="00190E18">
        <w:rPr>
          <w:lang w:val="fr-FR"/>
        </w:rPr>
        <w:t>Prescriptions uniformes relatives à l’homologation des véhicules automobiles et de leurs composants en ce qui concerne les prescriptions de sécurité des véhicules fonctionnant à l’hydrogène</w:t>
      </w:r>
    </w:p>
    <w:bookmarkEnd w:id="10"/>
    <w:p w14:paraId="37E04B31" w14:textId="63E2A97B" w:rsidR="00DA0E51" w:rsidRPr="0036439B" w:rsidRDefault="00FE7542" w:rsidP="0036439B">
      <w:pPr>
        <w:pStyle w:val="H23G"/>
        <w:rPr>
          <w:lang w:val="fr-FR"/>
        </w:rPr>
      </w:pPr>
      <w:r>
        <w:rPr>
          <w:lang w:val="fr-FR"/>
        </w:rPr>
        <w:tab/>
        <w:t>23.</w:t>
      </w:r>
      <w:r>
        <w:rPr>
          <w:lang w:val="fr-FR"/>
        </w:rPr>
        <w:tab/>
      </w:r>
      <w:r w:rsidR="00DA0E51" w:rsidRPr="0036439B">
        <w:rPr>
          <w:lang w:val="fr-FR"/>
        </w:rPr>
        <w:t xml:space="preserve">Chapitre 3.3, nouvelle disposition spéciale 392 </w:t>
      </w:r>
      <w:r w:rsidR="001500C7">
        <w:rPr>
          <w:lang w:val="fr-FR"/>
        </w:rPr>
        <w:t>b</w:t>
      </w:r>
      <w:r w:rsidR="00DA0E51" w:rsidRPr="0036439B">
        <w:rPr>
          <w:lang w:val="fr-FR"/>
        </w:rPr>
        <w:t xml:space="preserve">), Nota 1 </w:t>
      </w:r>
    </w:p>
    <w:p w14:paraId="576844C2" w14:textId="780370A2" w:rsidR="00DA0E51" w:rsidRDefault="00DA0E51" w:rsidP="00946268">
      <w:pPr>
        <w:pStyle w:val="SingleTxtG"/>
      </w:pPr>
      <w:r w:rsidRPr="00DC3135">
        <w:rPr>
          <w:i/>
          <w:iCs/>
        </w:rPr>
        <w:t>Au lieu de</w:t>
      </w:r>
      <w:r w:rsidR="00DC3135">
        <w:t xml:space="preserve"> </w:t>
      </w:r>
      <w:r w:rsidRPr="0036439B">
        <w:t xml:space="preserve">ISO </w:t>
      </w:r>
      <w:proofErr w:type="gramStart"/>
      <w:r w:rsidRPr="0036439B">
        <w:t>11623:</w:t>
      </w:r>
      <w:proofErr w:type="gramEnd"/>
      <w:r w:rsidRPr="0036439B">
        <w:t>2015 Bouteilles à gaz transportable − Contrôles et essais périodiques des bouteil</w:t>
      </w:r>
      <w:r w:rsidR="00DC3135">
        <w:t>les à gaz en matériau composite</w:t>
      </w:r>
      <w:r w:rsidRPr="0036439B">
        <w:t xml:space="preserve"> </w:t>
      </w:r>
      <w:r w:rsidRPr="00DC3135">
        <w:rPr>
          <w:i/>
          <w:iCs/>
        </w:rPr>
        <w:t>lire</w:t>
      </w:r>
      <w:r w:rsidR="00DC3135">
        <w:t xml:space="preserve"> </w:t>
      </w:r>
      <w:bookmarkStart w:id="11" w:name="_Hlk516042877"/>
      <w:r w:rsidR="004C3D40" w:rsidRPr="0036439B">
        <w:t xml:space="preserve">ISO 11623:2015 </w:t>
      </w:r>
      <w:r w:rsidRPr="0036439B">
        <w:t>Bouteilles à gaz − Construction composite − Contrôles et essais périodiques</w:t>
      </w:r>
      <w:bookmarkEnd w:id="11"/>
    </w:p>
    <w:p w14:paraId="35D5A1B3" w14:textId="5E067B99" w:rsidR="00AE428E" w:rsidRPr="00AE428E" w:rsidRDefault="00AE428E" w:rsidP="00AE428E">
      <w:pPr>
        <w:pStyle w:val="H23G"/>
        <w:rPr>
          <w:lang w:val="fr-FR"/>
        </w:rPr>
      </w:pPr>
      <w:r>
        <w:rPr>
          <w:lang w:val="fr-FR"/>
        </w:rPr>
        <w:tab/>
        <w:t>24.</w:t>
      </w:r>
      <w:r>
        <w:rPr>
          <w:lang w:val="fr-FR"/>
        </w:rPr>
        <w:tab/>
      </w:r>
      <w:r w:rsidRPr="00AE428E">
        <w:rPr>
          <w:lang w:val="fr-FR"/>
        </w:rPr>
        <w:t>Chapitre 3.3, nouvelle disposition spéciale 392, exemples 1 et 2 à la fin</w:t>
      </w:r>
    </w:p>
    <w:p w14:paraId="5FA92CF0" w14:textId="77777777" w:rsidR="00AE428E" w:rsidRDefault="00AE428E" w:rsidP="00AE428E">
      <w:pPr>
        <w:pStyle w:val="SingleTxtG"/>
      </w:pPr>
      <w:r>
        <w:rPr>
          <w:i/>
          <w:iCs/>
        </w:rPr>
        <w:t>Au lieu de</w:t>
      </w:r>
      <w:r>
        <w:t xml:space="preserve"> No ONU </w:t>
      </w:r>
      <w:r>
        <w:rPr>
          <w:i/>
          <w:iCs/>
        </w:rPr>
        <w:t>lire</w:t>
      </w:r>
      <w:r>
        <w:t xml:space="preserve"> UN</w:t>
      </w:r>
    </w:p>
    <w:p w14:paraId="0BA3BB37" w14:textId="71F357D5" w:rsidR="002D0E8F" w:rsidRPr="0036439B" w:rsidRDefault="00FE7542" w:rsidP="0036439B">
      <w:pPr>
        <w:pStyle w:val="H23G"/>
        <w:rPr>
          <w:lang w:val="fr-FR"/>
        </w:rPr>
      </w:pPr>
      <w:r>
        <w:rPr>
          <w:lang w:val="fr-FR"/>
        </w:rPr>
        <w:tab/>
        <w:t>2</w:t>
      </w:r>
      <w:r w:rsidR="00AE428E">
        <w:rPr>
          <w:lang w:val="fr-FR"/>
        </w:rPr>
        <w:t>5</w:t>
      </w:r>
      <w:r>
        <w:rPr>
          <w:lang w:val="fr-FR"/>
        </w:rPr>
        <w:t>.</w:t>
      </w:r>
      <w:r>
        <w:rPr>
          <w:lang w:val="fr-FR"/>
        </w:rPr>
        <w:tab/>
      </w:r>
      <w:r w:rsidR="002D0E8F" w:rsidRPr="0036439B">
        <w:rPr>
          <w:lang w:val="fr-FR"/>
        </w:rPr>
        <w:t>Chapitre 4.1, amendement à l’instruction d’emballage P801</w:t>
      </w:r>
    </w:p>
    <w:p w14:paraId="2351F43D" w14:textId="77777777" w:rsidR="002D0E8F" w:rsidRPr="003467E5" w:rsidRDefault="002D0E8F" w:rsidP="002D0E8F">
      <w:pPr>
        <w:pStyle w:val="SingleTxtG"/>
        <w:rPr>
          <w:lang w:val="fr-FR"/>
        </w:rPr>
      </w:pPr>
      <w:r w:rsidRPr="003467E5">
        <w:rPr>
          <w:i/>
          <w:iCs/>
          <w:lang w:val="fr-FR"/>
        </w:rPr>
        <w:t xml:space="preserve">Substituer </w:t>
      </w:r>
      <w:r w:rsidRPr="003467E5">
        <w:rPr>
          <w:lang w:val="fr-FR"/>
        </w:rPr>
        <w:t>au texte existant :</w:t>
      </w:r>
    </w:p>
    <w:p w14:paraId="1A139809" w14:textId="35B8E8EC" w:rsidR="002D0E8F" w:rsidRPr="003467E5" w:rsidRDefault="002D0E8F" w:rsidP="00DC3135">
      <w:pPr>
        <w:pStyle w:val="SingleTxtG"/>
        <w:ind w:left="1701"/>
        <w:rPr>
          <w:i/>
          <w:iCs/>
          <w:lang w:val="fr-FR"/>
        </w:rPr>
      </w:pPr>
      <w:r w:rsidRPr="003467E5">
        <w:rPr>
          <w:lang w:val="fr-FR"/>
        </w:rPr>
        <w:t xml:space="preserve">4.1.4.1, instruction d’emballage P801 </w:t>
      </w:r>
      <w:r w:rsidRPr="003467E5">
        <w:rPr>
          <w:lang w:val="fr-FR"/>
        </w:rPr>
        <w:tab/>
        <w:t>Dans la disposition supplémentaire 2, remplacer « </w:t>
      </w:r>
      <w:r>
        <w:rPr>
          <w:lang w:val="fr-FR"/>
        </w:rPr>
        <w:t xml:space="preserve">une couche en matériau </w:t>
      </w:r>
      <w:r w:rsidRPr="003467E5">
        <w:rPr>
          <w:lang w:val="fr-FR"/>
        </w:rPr>
        <w:t>non conducteur » par « </w:t>
      </w:r>
      <w:r>
        <w:rPr>
          <w:lang w:val="fr-FR"/>
        </w:rPr>
        <w:t>une couche d’isolant électrique</w:t>
      </w:r>
      <w:r w:rsidRPr="003467E5">
        <w:rPr>
          <w:lang w:val="fr-FR"/>
        </w:rPr>
        <w:t> ».</w:t>
      </w:r>
    </w:p>
    <w:p w14:paraId="7729C01F" w14:textId="1A439FEC" w:rsidR="00694C7F" w:rsidRPr="0036439B" w:rsidRDefault="00FE7542" w:rsidP="0036439B">
      <w:pPr>
        <w:pStyle w:val="H23G"/>
        <w:rPr>
          <w:lang w:val="fr-FR"/>
        </w:rPr>
      </w:pPr>
      <w:r>
        <w:rPr>
          <w:lang w:val="fr-FR"/>
        </w:rPr>
        <w:tab/>
        <w:t>2</w:t>
      </w:r>
      <w:r w:rsidR="00AE428E">
        <w:rPr>
          <w:lang w:val="fr-FR"/>
        </w:rPr>
        <w:t>6</w:t>
      </w:r>
      <w:r>
        <w:rPr>
          <w:lang w:val="fr-FR"/>
        </w:rPr>
        <w:t>.</w:t>
      </w:r>
      <w:r>
        <w:rPr>
          <w:lang w:val="fr-FR"/>
        </w:rPr>
        <w:tab/>
      </w:r>
      <w:r w:rsidR="00694C7F" w:rsidRPr="0036439B">
        <w:rPr>
          <w:lang w:val="fr-FR"/>
        </w:rPr>
        <w:t>Chapitre 4.1, 4.1.4.1, nouvelle instruction d’emballage P006, paragraphe 3) c), dernière phrase</w:t>
      </w:r>
    </w:p>
    <w:p w14:paraId="17BC55F5" w14:textId="77777777" w:rsidR="00694C7F" w:rsidRPr="003467E5" w:rsidRDefault="00694C7F" w:rsidP="00694C7F">
      <w:pPr>
        <w:pStyle w:val="SingleTxtG"/>
        <w:rPr>
          <w:lang w:val="fr-FR"/>
        </w:rPr>
      </w:pPr>
      <w:r w:rsidRPr="003467E5">
        <w:rPr>
          <w:i/>
          <w:iCs/>
          <w:lang w:val="fr-FR"/>
        </w:rPr>
        <w:t xml:space="preserve">Substituer </w:t>
      </w:r>
      <w:r w:rsidRPr="003467E5">
        <w:rPr>
          <w:lang w:val="fr-FR"/>
        </w:rPr>
        <w:t>au texte existant :</w:t>
      </w:r>
    </w:p>
    <w:p w14:paraId="2F3A52AD" w14:textId="333FDF30" w:rsidR="00694C7F" w:rsidRDefault="00694C7F" w:rsidP="00DC3135">
      <w:pPr>
        <w:pStyle w:val="SingleTxtG"/>
        <w:ind w:left="1701"/>
        <w:rPr>
          <w:lang w:val="fr-FR"/>
        </w:rPr>
      </w:pPr>
      <w:r w:rsidRPr="003467E5">
        <w:rPr>
          <w:lang w:val="fr-FR"/>
        </w:rPr>
        <w:t xml:space="preserve">Aucune fuite du contenu ne doit altérer sensiblement les propriétés protectrices de l’objet ou de son emballage </w:t>
      </w:r>
      <w:proofErr w:type="gramStart"/>
      <w:r w:rsidRPr="003467E5">
        <w:rPr>
          <w:lang w:val="fr-FR"/>
        </w:rPr>
        <w:t>extérieur</w:t>
      </w:r>
      <w:r w:rsidR="004C3D40">
        <w:rPr>
          <w:lang w:val="fr-FR"/>
        </w:rPr>
        <w:t>;</w:t>
      </w:r>
      <w:proofErr w:type="gramEnd"/>
    </w:p>
    <w:p w14:paraId="6B8272F0" w14:textId="5E9EB810" w:rsidR="00694C7F" w:rsidRPr="0036439B" w:rsidRDefault="00FE7542" w:rsidP="0036439B">
      <w:pPr>
        <w:pStyle w:val="H23G"/>
        <w:rPr>
          <w:lang w:val="fr-FR"/>
        </w:rPr>
      </w:pPr>
      <w:r>
        <w:rPr>
          <w:lang w:val="fr-FR"/>
        </w:rPr>
        <w:tab/>
        <w:t>2</w:t>
      </w:r>
      <w:r w:rsidR="00AE428E">
        <w:rPr>
          <w:lang w:val="fr-FR"/>
        </w:rPr>
        <w:t>7</w:t>
      </w:r>
      <w:r>
        <w:rPr>
          <w:lang w:val="fr-FR"/>
        </w:rPr>
        <w:t>.</w:t>
      </w:r>
      <w:r>
        <w:rPr>
          <w:lang w:val="fr-FR"/>
        </w:rPr>
        <w:tab/>
      </w:r>
      <w:r w:rsidR="00694C7F" w:rsidRPr="0036439B">
        <w:rPr>
          <w:lang w:val="fr-FR"/>
        </w:rPr>
        <w:t>Chapitre 4.1, 4.1.4.3, nouvelle instruction d’emballage LP03, paragraphe 2) c), dernière phrase</w:t>
      </w:r>
    </w:p>
    <w:p w14:paraId="068054F5" w14:textId="77777777" w:rsidR="00694C7F" w:rsidRPr="003467E5" w:rsidRDefault="00694C7F" w:rsidP="00694C7F">
      <w:pPr>
        <w:pStyle w:val="SingleTxtG"/>
        <w:rPr>
          <w:lang w:val="fr-FR"/>
        </w:rPr>
      </w:pPr>
      <w:r w:rsidRPr="003467E5">
        <w:rPr>
          <w:i/>
          <w:iCs/>
          <w:lang w:val="fr-FR"/>
        </w:rPr>
        <w:t xml:space="preserve">Substituer </w:t>
      </w:r>
      <w:r w:rsidRPr="003467E5">
        <w:rPr>
          <w:lang w:val="fr-FR"/>
        </w:rPr>
        <w:t>au texte existant :</w:t>
      </w:r>
    </w:p>
    <w:p w14:paraId="0447E08C" w14:textId="5BD578AE" w:rsidR="00694C7F" w:rsidRDefault="00694C7F" w:rsidP="00DC3135">
      <w:pPr>
        <w:pStyle w:val="SingleTxtG"/>
        <w:ind w:left="1701"/>
        <w:rPr>
          <w:lang w:val="fr-FR"/>
        </w:rPr>
      </w:pPr>
      <w:r w:rsidRPr="003467E5">
        <w:rPr>
          <w:lang w:val="fr-FR"/>
        </w:rPr>
        <w:t>Aucune fuite du contenu ne doit altérer sensiblement les propriétés protectrices de l’obje</w:t>
      </w:r>
      <w:r w:rsidR="004C3D40">
        <w:rPr>
          <w:lang w:val="fr-FR"/>
        </w:rPr>
        <w:t xml:space="preserve">t ou de son emballage </w:t>
      </w:r>
      <w:proofErr w:type="gramStart"/>
      <w:r w:rsidR="004C3D40">
        <w:rPr>
          <w:lang w:val="fr-FR"/>
        </w:rPr>
        <w:t>extérieur;</w:t>
      </w:r>
      <w:proofErr w:type="gramEnd"/>
    </w:p>
    <w:p w14:paraId="21F30986" w14:textId="241825B9" w:rsidR="003656F1" w:rsidRPr="003D71A6" w:rsidRDefault="003656F1" w:rsidP="003656F1">
      <w:pPr>
        <w:pStyle w:val="H23G"/>
        <w:rPr>
          <w:lang w:val="fr-FR"/>
        </w:rPr>
      </w:pPr>
      <w:r w:rsidRPr="003D71A6">
        <w:rPr>
          <w:lang w:val="fr-FR"/>
        </w:rPr>
        <w:tab/>
      </w:r>
      <w:r w:rsidR="00FE7542">
        <w:rPr>
          <w:lang w:val="fr-FR"/>
        </w:rPr>
        <w:t>2</w:t>
      </w:r>
      <w:r w:rsidR="00AE428E">
        <w:rPr>
          <w:lang w:val="fr-FR"/>
        </w:rPr>
        <w:t>8</w:t>
      </w:r>
      <w:r w:rsidR="00FE7542">
        <w:rPr>
          <w:lang w:val="fr-FR"/>
        </w:rPr>
        <w:t>.</w:t>
      </w:r>
      <w:r w:rsidRPr="003D71A6">
        <w:rPr>
          <w:lang w:val="fr-FR"/>
        </w:rPr>
        <w:tab/>
        <w:t xml:space="preserve">Chapitre </w:t>
      </w:r>
      <w:r>
        <w:rPr>
          <w:lang w:val="fr-FR"/>
        </w:rPr>
        <w:t>4.3, 4.3.4.1.3, tableau, pour la Classe 4.1, pour les No ONU 3533 et 3534</w:t>
      </w:r>
    </w:p>
    <w:p w14:paraId="03C113FA" w14:textId="77777777" w:rsidR="003656F1" w:rsidRDefault="003656F1" w:rsidP="003656F1">
      <w:pPr>
        <w:pStyle w:val="SingleTxtG"/>
      </w:pPr>
      <w:r>
        <w:rPr>
          <w:lang w:val="fr-FR"/>
        </w:rPr>
        <w:t>Sans objet en français.</w:t>
      </w:r>
    </w:p>
    <w:p w14:paraId="21281D70" w14:textId="259C182D" w:rsidR="003656F1" w:rsidRPr="003D71A6" w:rsidRDefault="003656F1" w:rsidP="003656F1">
      <w:pPr>
        <w:pStyle w:val="H23G"/>
        <w:rPr>
          <w:lang w:val="fr-FR"/>
        </w:rPr>
      </w:pPr>
      <w:r w:rsidRPr="003D71A6">
        <w:rPr>
          <w:lang w:val="fr-FR"/>
        </w:rPr>
        <w:lastRenderedPageBreak/>
        <w:tab/>
      </w:r>
      <w:r w:rsidR="00FE7542">
        <w:rPr>
          <w:lang w:val="fr-FR"/>
        </w:rPr>
        <w:t>2</w:t>
      </w:r>
      <w:r w:rsidR="00AE428E">
        <w:rPr>
          <w:lang w:val="fr-FR"/>
        </w:rPr>
        <w:t>9</w:t>
      </w:r>
      <w:r w:rsidR="00FE7542">
        <w:rPr>
          <w:lang w:val="fr-FR"/>
        </w:rPr>
        <w:t>.</w:t>
      </w:r>
      <w:r w:rsidRPr="003D71A6">
        <w:rPr>
          <w:lang w:val="fr-FR"/>
        </w:rPr>
        <w:tab/>
        <w:t xml:space="preserve">Chapitre </w:t>
      </w:r>
      <w:r>
        <w:rPr>
          <w:lang w:val="fr-FR"/>
        </w:rPr>
        <w:t>4.3, 4.3.4.1.3, tableau, pour la Classe 5.1, pour le No ONU 3375 (deux rubriques), après « ou gel, »</w:t>
      </w:r>
    </w:p>
    <w:p w14:paraId="1AFE0D55" w14:textId="77777777" w:rsidR="003656F1" w:rsidRPr="00297642" w:rsidRDefault="003656F1" w:rsidP="003656F1">
      <w:pPr>
        <w:pStyle w:val="SingleTxtG"/>
        <w:rPr>
          <w:iCs/>
          <w:lang w:val="fr-FR"/>
        </w:rPr>
      </w:pPr>
      <w:r>
        <w:rPr>
          <w:i/>
          <w:lang w:val="fr-FR"/>
        </w:rPr>
        <w:t xml:space="preserve">Insérer </w:t>
      </w:r>
      <w:r w:rsidRPr="00297642">
        <w:rPr>
          <w:iCs/>
          <w:lang w:val="fr-FR"/>
        </w:rPr>
        <w:t>servant à la fabrication des explosifs de mine,</w:t>
      </w:r>
    </w:p>
    <w:p w14:paraId="7AAAC3EC" w14:textId="4BE01596" w:rsidR="005A6DB4" w:rsidRPr="0036439B" w:rsidRDefault="00FE7542" w:rsidP="0036439B">
      <w:pPr>
        <w:pStyle w:val="H23G"/>
        <w:rPr>
          <w:lang w:val="fr-FR"/>
        </w:rPr>
      </w:pPr>
      <w:r>
        <w:rPr>
          <w:lang w:val="fr-FR"/>
        </w:rPr>
        <w:tab/>
      </w:r>
      <w:r w:rsidR="00AE428E">
        <w:rPr>
          <w:lang w:val="fr-FR"/>
        </w:rPr>
        <w:t>30</w:t>
      </w:r>
      <w:r>
        <w:rPr>
          <w:lang w:val="fr-FR"/>
        </w:rPr>
        <w:t>.</w:t>
      </w:r>
      <w:r>
        <w:rPr>
          <w:lang w:val="fr-FR"/>
        </w:rPr>
        <w:tab/>
      </w:r>
      <w:r w:rsidR="005A6DB4" w:rsidRPr="0036439B">
        <w:rPr>
          <w:lang w:val="fr-FR"/>
        </w:rPr>
        <w:t>Chapitre 5.2, 5.2.2.2.2, dans le tableau, pour le No du modèle d’étiquette 2.1, dans la colonne « Division ou Catégorie »</w:t>
      </w:r>
    </w:p>
    <w:p w14:paraId="2DBCCD5A" w14:textId="77777777" w:rsidR="005A6DB4" w:rsidRPr="003467E5" w:rsidRDefault="005A6DB4" w:rsidP="005A6DB4">
      <w:pPr>
        <w:pStyle w:val="SingleTxtG"/>
        <w:rPr>
          <w:lang w:val="fr-FR"/>
        </w:rPr>
      </w:pPr>
      <w:r>
        <w:rPr>
          <w:i/>
          <w:iCs/>
          <w:lang w:val="fr-FR"/>
        </w:rPr>
        <w:t>Supprimer</w:t>
      </w:r>
      <w:r w:rsidRPr="003467E5">
        <w:rPr>
          <w:i/>
          <w:iCs/>
          <w:lang w:val="fr-FR"/>
        </w:rPr>
        <w:t xml:space="preserve"> </w:t>
      </w:r>
      <w:r w:rsidRPr="00042464">
        <w:rPr>
          <w:lang w:val="fr-FR"/>
        </w:rPr>
        <w:t>(sauf</w:t>
      </w:r>
      <w:r>
        <w:rPr>
          <w:lang w:val="fr-FR"/>
        </w:rPr>
        <w:t xml:space="preserve"> </w:t>
      </w:r>
      <w:r w:rsidRPr="00042464">
        <w:rPr>
          <w:lang w:val="fr-FR"/>
        </w:rPr>
        <w:t>selon 5.2.2.2.1.6 d))</w:t>
      </w:r>
    </w:p>
    <w:p w14:paraId="2520AF31" w14:textId="031610B9" w:rsidR="005A6DB4" w:rsidRPr="0036439B" w:rsidRDefault="00FE7542" w:rsidP="0036439B">
      <w:pPr>
        <w:pStyle w:val="H23G"/>
        <w:rPr>
          <w:lang w:val="fr-FR"/>
        </w:rPr>
      </w:pPr>
      <w:r>
        <w:rPr>
          <w:lang w:val="fr-FR"/>
        </w:rPr>
        <w:tab/>
        <w:t>3</w:t>
      </w:r>
      <w:r w:rsidR="00AE428E">
        <w:rPr>
          <w:lang w:val="fr-FR"/>
        </w:rPr>
        <w:t>1</w:t>
      </w:r>
      <w:r>
        <w:rPr>
          <w:lang w:val="fr-FR"/>
        </w:rPr>
        <w:t>.</w:t>
      </w:r>
      <w:r>
        <w:rPr>
          <w:lang w:val="fr-FR"/>
        </w:rPr>
        <w:tab/>
      </w:r>
      <w:r w:rsidR="005A6DB4" w:rsidRPr="0036439B">
        <w:rPr>
          <w:lang w:val="fr-FR"/>
        </w:rPr>
        <w:t>Chapitre 5.2, 5.2.2.2.2, dans le tableau, pour le No du modèle d’étiquette 2.1, dans les colonnes « Signe conventionnel et couleur du signe » et « Chiffre figurant dans le coin inférieur (et couleur du chiffre) », à la fin</w:t>
      </w:r>
    </w:p>
    <w:p w14:paraId="71EDA52B" w14:textId="77777777" w:rsidR="005A6DB4" w:rsidRPr="003467E5" w:rsidRDefault="005A6DB4" w:rsidP="005A6DB4">
      <w:pPr>
        <w:pStyle w:val="SingleTxtG"/>
        <w:rPr>
          <w:lang w:val="fr-FR"/>
        </w:rPr>
      </w:pPr>
      <w:r>
        <w:rPr>
          <w:i/>
          <w:iCs/>
          <w:lang w:val="fr-FR"/>
        </w:rPr>
        <w:t>Ajouter</w:t>
      </w:r>
      <w:r w:rsidRPr="003467E5">
        <w:rPr>
          <w:i/>
          <w:iCs/>
          <w:lang w:val="fr-FR"/>
        </w:rPr>
        <w:t xml:space="preserve"> </w:t>
      </w:r>
      <w:r w:rsidRPr="00042464">
        <w:rPr>
          <w:lang w:val="fr-FR"/>
        </w:rPr>
        <w:t>(sauf</w:t>
      </w:r>
      <w:r>
        <w:rPr>
          <w:lang w:val="fr-FR"/>
        </w:rPr>
        <w:t xml:space="preserve"> </w:t>
      </w:r>
      <w:r w:rsidRPr="00042464">
        <w:rPr>
          <w:lang w:val="fr-FR"/>
        </w:rPr>
        <w:t>selon 5.2.2.2.1.6 d))</w:t>
      </w:r>
    </w:p>
    <w:p w14:paraId="36153198" w14:textId="0684B0F7" w:rsidR="00156CE1" w:rsidRPr="00E3356E" w:rsidRDefault="00156CE1" w:rsidP="00156CE1">
      <w:pPr>
        <w:pStyle w:val="H23G"/>
      </w:pPr>
      <w:r>
        <w:tab/>
      </w:r>
      <w:r w:rsidR="00FE7542">
        <w:t>3</w:t>
      </w:r>
      <w:r w:rsidR="00AE428E">
        <w:t>2</w:t>
      </w:r>
      <w:r w:rsidR="00FE7542">
        <w:t>.</w:t>
      </w:r>
      <w:r>
        <w:tab/>
      </w:r>
      <w:r w:rsidRPr="00E3356E">
        <w:rPr>
          <w:lang w:val="fr-FR"/>
        </w:rPr>
        <w:t xml:space="preserve">Chapitre </w:t>
      </w:r>
      <w:r w:rsidRPr="00E3356E">
        <w:t xml:space="preserve">5.2, 5.2.2.2.2, tableau, </w:t>
      </w:r>
      <w:r w:rsidRPr="00E3356E">
        <w:rPr>
          <w:bCs/>
          <w:lang w:val="fr-FR"/>
        </w:rPr>
        <w:t>pour la ligne « Danger de classe 4.1 »</w:t>
      </w:r>
    </w:p>
    <w:p w14:paraId="661C5DF2" w14:textId="77777777" w:rsidR="00156CE1" w:rsidRDefault="00156CE1" w:rsidP="00156CE1">
      <w:pPr>
        <w:pStyle w:val="SingleTxtG"/>
      </w:pPr>
      <w:r w:rsidRPr="00E3356E">
        <w:rPr>
          <w:lang w:val="fr-FR"/>
        </w:rPr>
        <w:t>Sans objet en français.</w:t>
      </w:r>
    </w:p>
    <w:p w14:paraId="5CE8DF45" w14:textId="2C3D83AD" w:rsidR="005747B8" w:rsidRPr="003D71A6" w:rsidRDefault="005747B8" w:rsidP="005747B8">
      <w:pPr>
        <w:pStyle w:val="H23G"/>
        <w:tabs>
          <w:tab w:val="left" w:pos="2268"/>
        </w:tabs>
        <w:rPr>
          <w:lang w:val="fr-FR"/>
        </w:rPr>
      </w:pPr>
      <w:r w:rsidRPr="003D71A6">
        <w:rPr>
          <w:lang w:val="fr-FR"/>
        </w:rPr>
        <w:tab/>
      </w:r>
      <w:r w:rsidR="00FE7542">
        <w:rPr>
          <w:lang w:val="fr-FR"/>
        </w:rPr>
        <w:t>3</w:t>
      </w:r>
      <w:r w:rsidR="00AE428E">
        <w:rPr>
          <w:lang w:val="fr-FR"/>
        </w:rPr>
        <w:t>3</w:t>
      </w:r>
      <w:r w:rsidR="00FE7542">
        <w:rPr>
          <w:lang w:val="fr-FR"/>
        </w:rPr>
        <w:t>.</w:t>
      </w:r>
      <w:r w:rsidRPr="003D71A6">
        <w:rPr>
          <w:lang w:val="fr-FR"/>
        </w:rPr>
        <w:tab/>
        <w:t>Chapitre 5.3, amendement au 5.3.1.2</w:t>
      </w:r>
    </w:p>
    <w:p w14:paraId="6CCA3075" w14:textId="77777777" w:rsidR="005747B8" w:rsidRPr="003D71A6" w:rsidRDefault="005747B8" w:rsidP="005747B8">
      <w:pPr>
        <w:pStyle w:val="SingleTxtG"/>
        <w:rPr>
          <w:lang w:val="fr-FR"/>
        </w:rPr>
      </w:pPr>
      <w:r w:rsidRPr="003D71A6">
        <w:rPr>
          <w:i/>
          <w:lang w:val="fr-FR"/>
        </w:rPr>
        <w:t xml:space="preserve">Substituer </w:t>
      </w:r>
      <w:r w:rsidRPr="003D71A6">
        <w:rPr>
          <w:lang w:val="fr-FR"/>
        </w:rPr>
        <w:t>au texte existant</w:t>
      </w:r>
    </w:p>
    <w:p w14:paraId="23B1E2E7" w14:textId="792D8979" w:rsidR="005747B8" w:rsidRPr="003D71A6" w:rsidRDefault="005747B8" w:rsidP="00DC3135">
      <w:pPr>
        <w:pStyle w:val="SingleTxtG"/>
        <w:tabs>
          <w:tab w:val="left" w:pos="2552"/>
        </w:tabs>
        <w:ind w:left="1701"/>
        <w:rPr>
          <w:lang w:val="fr-FR"/>
        </w:rPr>
      </w:pPr>
      <w:r w:rsidRPr="003D71A6">
        <w:rPr>
          <w:lang w:val="fr-FR"/>
        </w:rPr>
        <w:t>5.3.1.2</w:t>
      </w:r>
      <w:r w:rsidRPr="003D71A6">
        <w:rPr>
          <w:lang w:val="fr-FR"/>
        </w:rPr>
        <w:tab/>
        <w:t xml:space="preserve">Dans le titre, après « conteneurs » </w:t>
      </w:r>
      <w:proofErr w:type="gramStart"/>
      <w:r w:rsidRPr="003D71A6">
        <w:rPr>
          <w:lang w:val="fr-FR"/>
        </w:rPr>
        <w:t>ajouter:</w:t>
      </w:r>
      <w:proofErr w:type="gramEnd"/>
      <w:r w:rsidRPr="003D71A6">
        <w:rPr>
          <w:lang w:val="fr-FR"/>
        </w:rPr>
        <w:t xml:space="preserve"> « conteneurs pour vrac, ».</w:t>
      </w:r>
    </w:p>
    <w:p w14:paraId="7A5A8F0E" w14:textId="5723FF68" w:rsidR="005747B8" w:rsidRPr="003D71A6" w:rsidRDefault="006E3E17" w:rsidP="00DC3135">
      <w:pPr>
        <w:pStyle w:val="SingleTxtG"/>
        <w:tabs>
          <w:tab w:val="left" w:pos="2552"/>
        </w:tabs>
        <w:ind w:left="1701"/>
        <w:rPr>
          <w:lang w:val="fr-FR"/>
        </w:rPr>
      </w:pPr>
      <w:r w:rsidRPr="003D71A6">
        <w:rPr>
          <w:lang w:val="fr-FR"/>
        </w:rPr>
        <w:t>5.3.1.2</w:t>
      </w:r>
      <w:r w:rsidRPr="003D71A6">
        <w:rPr>
          <w:lang w:val="fr-FR"/>
        </w:rPr>
        <w:tab/>
      </w:r>
      <w:r w:rsidR="005747B8" w:rsidRPr="003D71A6">
        <w:rPr>
          <w:lang w:val="fr-FR"/>
        </w:rPr>
        <w:t>Modifier le premier paragraphe figurant après le Nota pour lire comme suit :</w:t>
      </w:r>
    </w:p>
    <w:p w14:paraId="7F2F15CD" w14:textId="734EB3BE" w:rsidR="005747B8" w:rsidRDefault="005747B8" w:rsidP="00DC3135">
      <w:pPr>
        <w:pStyle w:val="SingleTxtG"/>
        <w:ind w:left="1701"/>
        <w:rPr>
          <w:lang w:val="fr-FR"/>
        </w:rPr>
      </w:pPr>
      <w:r w:rsidRPr="003D71A6">
        <w:rPr>
          <w:lang w:val="fr-FR"/>
        </w:rPr>
        <w:t>« </w:t>
      </w:r>
      <w:bookmarkStart w:id="12" w:name="_Hlk516043871"/>
      <w:r w:rsidRPr="003D71A6">
        <w:rPr>
          <w:lang w:val="fr-FR"/>
        </w:rPr>
        <w:t>Les plaques-étiquettes doivent être apposées des deux côtés et à chaque extrémité du conteneur, du conteneur pour vrac, du CGEM, du conteneur-citerne ou de la citerne mobile et sur deux côtés opposés dans le cas des conteneurs pour vrac souples.</w:t>
      </w:r>
      <w:bookmarkEnd w:id="12"/>
      <w:r w:rsidRPr="003D71A6">
        <w:rPr>
          <w:lang w:val="fr-FR"/>
        </w:rPr>
        <w:t> ».</w:t>
      </w:r>
    </w:p>
    <w:p w14:paraId="6074D44E" w14:textId="6C5AA69A" w:rsidR="00F9560A" w:rsidRPr="003D71A6" w:rsidRDefault="00F9560A" w:rsidP="00F9560A">
      <w:pPr>
        <w:pStyle w:val="H23G"/>
        <w:rPr>
          <w:lang w:val="fr-FR"/>
        </w:rPr>
      </w:pPr>
      <w:r w:rsidRPr="003D71A6">
        <w:rPr>
          <w:lang w:val="fr-FR"/>
        </w:rPr>
        <w:tab/>
      </w:r>
      <w:r w:rsidR="00FE7542">
        <w:rPr>
          <w:lang w:val="fr-FR"/>
        </w:rPr>
        <w:t>3</w:t>
      </w:r>
      <w:r w:rsidR="00AE428E">
        <w:rPr>
          <w:lang w:val="fr-FR"/>
        </w:rPr>
        <w:t>4</w:t>
      </w:r>
      <w:r w:rsidR="00FE7542">
        <w:rPr>
          <w:lang w:val="fr-FR"/>
        </w:rPr>
        <w:t>.</w:t>
      </w:r>
      <w:r w:rsidRPr="003D71A6">
        <w:rPr>
          <w:lang w:val="fr-FR"/>
        </w:rPr>
        <w:tab/>
      </w:r>
      <w:r w:rsidRPr="003D71A6">
        <w:rPr>
          <w:lang w:val="fr-FR"/>
        </w:rPr>
        <w:tab/>
        <w:t xml:space="preserve">Chapitre </w:t>
      </w:r>
      <w:r>
        <w:rPr>
          <w:lang w:val="fr-FR"/>
        </w:rPr>
        <w:t>6.2</w:t>
      </w:r>
      <w:r w:rsidRPr="003D71A6">
        <w:rPr>
          <w:lang w:val="fr-FR"/>
        </w:rPr>
        <w:t xml:space="preserve">, </w:t>
      </w:r>
      <w:r>
        <w:rPr>
          <w:lang w:val="fr-FR"/>
        </w:rPr>
        <w:t xml:space="preserve">6.2.4.1, amendement relatif à la norme </w:t>
      </w:r>
      <w:r w:rsidRPr="00F9560A">
        <w:rPr>
          <w:lang w:val="fr-FR"/>
        </w:rPr>
        <w:t xml:space="preserve">EN ISO </w:t>
      </w:r>
      <w:proofErr w:type="gramStart"/>
      <w:r w:rsidRPr="00F9560A">
        <w:rPr>
          <w:lang w:val="fr-FR"/>
        </w:rPr>
        <w:t>17871:</w:t>
      </w:r>
      <w:proofErr w:type="gramEnd"/>
      <w:r w:rsidRPr="00F9560A">
        <w:rPr>
          <w:lang w:val="fr-FR"/>
        </w:rPr>
        <w:t>2015</w:t>
      </w:r>
      <w:r>
        <w:rPr>
          <w:lang w:val="fr-FR"/>
        </w:rPr>
        <w:t xml:space="preserve"> et nouvelle norme </w:t>
      </w:r>
      <w:r w:rsidRPr="00F9560A">
        <w:rPr>
          <w:lang w:val="fr-FR"/>
        </w:rPr>
        <w:t>EN ISO 17871:2015</w:t>
      </w:r>
      <w:r>
        <w:rPr>
          <w:lang w:val="fr-FR"/>
        </w:rPr>
        <w:t xml:space="preserve"> </w:t>
      </w:r>
      <w:bookmarkStart w:id="13" w:name="_Hlk515628821"/>
      <w:r>
        <w:rPr>
          <w:lang w:val="fr-FR"/>
        </w:rPr>
        <w:t>+ A1:2018</w:t>
      </w:r>
      <w:bookmarkEnd w:id="13"/>
    </w:p>
    <w:p w14:paraId="7D01A0FB" w14:textId="6320C090" w:rsidR="00F9560A" w:rsidRPr="003D71A6" w:rsidRDefault="00F9560A" w:rsidP="00F9560A">
      <w:pPr>
        <w:pStyle w:val="SingleTxtG"/>
        <w:rPr>
          <w:lang w:val="fr-FR"/>
        </w:rPr>
      </w:pPr>
      <w:r>
        <w:rPr>
          <w:i/>
          <w:lang w:val="fr-FR"/>
        </w:rPr>
        <w:t>Supprimer</w:t>
      </w:r>
      <w:r w:rsidRPr="003D71A6">
        <w:rPr>
          <w:i/>
          <w:lang w:val="fr-FR"/>
        </w:rPr>
        <w:t xml:space="preserve"> </w:t>
      </w:r>
    </w:p>
    <w:p w14:paraId="206CACAE" w14:textId="037509CF" w:rsidR="00253240" w:rsidRPr="003D71A6" w:rsidRDefault="00253240" w:rsidP="00253240">
      <w:pPr>
        <w:pStyle w:val="H23G"/>
        <w:rPr>
          <w:lang w:val="fr-FR"/>
        </w:rPr>
      </w:pPr>
      <w:r w:rsidRPr="003D71A6">
        <w:rPr>
          <w:lang w:val="fr-FR"/>
        </w:rPr>
        <w:tab/>
      </w:r>
      <w:r w:rsidR="00FE7542">
        <w:rPr>
          <w:lang w:val="fr-FR"/>
        </w:rPr>
        <w:t>3</w:t>
      </w:r>
      <w:r w:rsidR="00AE428E">
        <w:rPr>
          <w:lang w:val="fr-FR"/>
        </w:rPr>
        <w:t>5</w:t>
      </w:r>
      <w:r w:rsidR="00FE7542">
        <w:rPr>
          <w:lang w:val="fr-FR"/>
        </w:rPr>
        <w:t>.</w:t>
      </w:r>
      <w:r w:rsidRPr="003D71A6">
        <w:rPr>
          <w:lang w:val="fr-FR"/>
        </w:rPr>
        <w:tab/>
      </w:r>
      <w:r w:rsidRPr="003D71A6">
        <w:rPr>
          <w:lang w:val="fr-FR"/>
        </w:rPr>
        <w:tab/>
        <w:t xml:space="preserve">Chapitre </w:t>
      </w:r>
      <w:r>
        <w:rPr>
          <w:lang w:val="fr-FR"/>
        </w:rPr>
        <w:t>6.2</w:t>
      </w:r>
      <w:r w:rsidRPr="003D71A6">
        <w:rPr>
          <w:lang w:val="fr-FR"/>
        </w:rPr>
        <w:t xml:space="preserve">, </w:t>
      </w:r>
      <w:r>
        <w:rPr>
          <w:lang w:val="fr-FR"/>
        </w:rPr>
        <w:t>6.2.4.2, ensemble des amendements</w:t>
      </w:r>
    </w:p>
    <w:p w14:paraId="327FE626" w14:textId="0952CF86" w:rsidR="00253240" w:rsidRPr="00DC3135" w:rsidRDefault="00253240" w:rsidP="00253240">
      <w:pPr>
        <w:pStyle w:val="SingleTxtG"/>
        <w:rPr>
          <w:lang w:val="fr-FR"/>
        </w:rPr>
      </w:pPr>
      <w:r>
        <w:rPr>
          <w:i/>
          <w:iCs/>
          <w:lang w:val="fr-FR"/>
        </w:rPr>
        <w:t xml:space="preserve">Substituer </w:t>
      </w:r>
      <w:r w:rsidRPr="00DC3135">
        <w:rPr>
          <w:lang w:val="fr-FR"/>
        </w:rPr>
        <w:t>au texte existant</w:t>
      </w:r>
    </w:p>
    <w:p w14:paraId="48F01023" w14:textId="16AEBD05" w:rsidR="00253240" w:rsidRPr="00DC3135" w:rsidRDefault="00DC3135" w:rsidP="00DC3135">
      <w:pPr>
        <w:pStyle w:val="SingleTxtG"/>
        <w:tabs>
          <w:tab w:val="left" w:pos="2552"/>
        </w:tabs>
        <w:ind w:left="1701"/>
      </w:pPr>
      <w:r>
        <w:t>6.2.4.2</w:t>
      </w:r>
      <w:r w:rsidR="001A5025" w:rsidRPr="00DC3135">
        <w:tab/>
      </w:r>
      <w:r w:rsidR="00253240" w:rsidRPr="00DC3135">
        <w:t>Dans le tableau, supprimer les lignes pour «</w:t>
      </w:r>
      <w:r w:rsidR="001A5025" w:rsidRPr="00DC3135">
        <w:t> </w:t>
      </w:r>
      <w:r w:rsidR="00253240" w:rsidRPr="00DC3135">
        <w:t xml:space="preserve">EN ISO </w:t>
      </w:r>
      <w:proofErr w:type="gramStart"/>
      <w:r w:rsidR="00253240" w:rsidRPr="00DC3135">
        <w:t>11623:</w:t>
      </w:r>
      <w:proofErr w:type="gramEnd"/>
      <w:r w:rsidR="00253240" w:rsidRPr="00DC3135">
        <w:t>2002 (sauf article 4)</w:t>
      </w:r>
      <w:r w:rsidR="001A5025" w:rsidRPr="00DC3135">
        <w:t> </w:t>
      </w:r>
      <w:r w:rsidR="00253240" w:rsidRPr="00DC3135">
        <w:t>», «</w:t>
      </w:r>
      <w:r w:rsidR="001A5025" w:rsidRPr="00DC3135">
        <w:t> </w:t>
      </w:r>
      <w:r w:rsidR="00253240" w:rsidRPr="00DC3135">
        <w:t>EN 14912:2005</w:t>
      </w:r>
      <w:r w:rsidR="001A5025" w:rsidRPr="00DC3135">
        <w:t> </w:t>
      </w:r>
      <w:r w:rsidR="00253240" w:rsidRPr="00DC3135">
        <w:t>» et «</w:t>
      </w:r>
      <w:r w:rsidR="001A5025" w:rsidRPr="00DC3135">
        <w:t> </w:t>
      </w:r>
      <w:r w:rsidR="00253240" w:rsidRPr="00DC3135">
        <w:t>EN 1440:2008 +A1:2012 (sauf annexes G et H)</w:t>
      </w:r>
      <w:r w:rsidR="001A5025" w:rsidRPr="00DC3135">
        <w:t> </w:t>
      </w:r>
      <w:r w:rsidR="00253240" w:rsidRPr="00DC3135">
        <w:t>».</w:t>
      </w:r>
    </w:p>
    <w:p w14:paraId="5549C4C0" w14:textId="61776D59" w:rsidR="005747B8" w:rsidRPr="003D71A6" w:rsidRDefault="005747B8" w:rsidP="005747B8">
      <w:pPr>
        <w:pStyle w:val="H23G"/>
        <w:rPr>
          <w:lang w:val="fr-FR"/>
        </w:rPr>
      </w:pPr>
      <w:r w:rsidRPr="003D71A6">
        <w:rPr>
          <w:lang w:val="fr-FR"/>
        </w:rPr>
        <w:tab/>
      </w:r>
      <w:r w:rsidR="00FE7542">
        <w:rPr>
          <w:lang w:val="fr-FR"/>
        </w:rPr>
        <w:t>3</w:t>
      </w:r>
      <w:r w:rsidR="00AE428E">
        <w:rPr>
          <w:lang w:val="fr-FR"/>
        </w:rPr>
        <w:t>6</w:t>
      </w:r>
      <w:r w:rsidR="00FE7542">
        <w:rPr>
          <w:lang w:val="fr-FR"/>
        </w:rPr>
        <w:t>.</w:t>
      </w:r>
      <w:r w:rsidRPr="003D71A6">
        <w:rPr>
          <w:lang w:val="fr-FR"/>
        </w:rPr>
        <w:tab/>
      </w:r>
      <w:r w:rsidRPr="003D71A6">
        <w:rPr>
          <w:lang w:val="fr-FR"/>
        </w:rPr>
        <w:tab/>
        <w:t>Chapitre 6.8, 6.8.2.1.23, premier amendement</w:t>
      </w:r>
    </w:p>
    <w:p w14:paraId="0A0DEC8B" w14:textId="77777777" w:rsidR="005747B8" w:rsidRPr="003D71A6" w:rsidRDefault="005747B8" w:rsidP="005747B8">
      <w:pPr>
        <w:pStyle w:val="SingleTxtG"/>
        <w:rPr>
          <w:lang w:val="fr-FR"/>
        </w:rPr>
      </w:pPr>
      <w:r w:rsidRPr="003D71A6">
        <w:rPr>
          <w:i/>
          <w:lang w:val="fr-FR"/>
        </w:rPr>
        <w:t xml:space="preserve">Substituer </w:t>
      </w:r>
      <w:r w:rsidRPr="003D71A6">
        <w:rPr>
          <w:lang w:val="fr-FR"/>
        </w:rPr>
        <w:t>au texte existant</w:t>
      </w:r>
    </w:p>
    <w:p w14:paraId="53384E76" w14:textId="0873728E" w:rsidR="005747B8" w:rsidRPr="003D71A6" w:rsidRDefault="002B07AE" w:rsidP="00DC3135">
      <w:pPr>
        <w:pStyle w:val="SingleTxtG"/>
        <w:ind w:left="1701"/>
        <w:rPr>
          <w:lang w:val="fr-FR"/>
        </w:rPr>
      </w:pPr>
      <w:r>
        <w:rPr>
          <w:lang w:val="fr-FR"/>
        </w:rPr>
        <w:t>6.8.2.1.23</w:t>
      </w:r>
      <w:r>
        <w:rPr>
          <w:lang w:val="fr-FR"/>
        </w:rPr>
        <w:tab/>
      </w:r>
      <w:r w:rsidR="005747B8" w:rsidRPr="003D71A6">
        <w:rPr>
          <w:lang w:val="fr-FR"/>
        </w:rPr>
        <w:t>Remplacer</w:t>
      </w:r>
      <w:r w:rsidR="005747B8" w:rsidRPr="003D71A6">
        <w:rPr>
          <w:b/>
          <w:lang w:val="fr-FR"/>
        </w:rPr>
        <w:t xml:space="preserve"> </w:t>
      </w:r>
      <w:r w:rsidR="005747B8" w:rsidRPr="003D71A6">
        <w:rPr>
          <w:lang w:val="fr-FR"/>
        </w:rPr>
        <w:t>les deux premières phrases du premier paragraphe par le texte suivant :</w:t>
      </w:r>
    </w:p>
    <w:p w14:paraId="3226E706" w14:textId="7E8EB69E" w:rsidR="005747B8" w:rsidRPr="003D71A6" w:rsidRDefault="005747B8" w:rsidP="00DC3135">
      <w:pPr>
        <w:pStyle w:val="SingleTxtG"/>
        <w:ind w:left="1701"/>
        <w:rPr>
          <w:iCs/>
          <w:lang w:val="fr-FR"/>
        </w:rPr>
      </w:pPr>
      <w:r w:rsidRPr="003D71A6">
        <w:rPr>
          <w:lang w:val="fr-FR"/>
        </w:rPr>
        <w:t>« </w:t>
      </w:r>
      <w:bookmarkStart w:id="14" w:name="_Hlk516044083"/>
      <w:r w:rsidRPr="003D71A6">
        <w:rPr>
          <w:iCs/>
          <w:lang w:val="fr-FR"/>
        </w:rPr>
        <w:t xml:space="preserve">L’aptitude du constructeur à réaliser des travaux de soudure doit être vérifiée et confirmée par l’autorité compétente ou par l’organisme désigné par elle. L’aptitude de l’atelier de maintenance ou de réparation à réaliser des travaux de soudure doit être vérifiée et confirmée par l’organisme de contrôle conformément au 6.8.2.4.5. </w:t>
      </w:r>
      <w:r w:rsidRPr="003D71A6">
        <w:rPr>
          <w:lang w:val="fr-FR"/>
        </w:rPr>
        <w:t xml:space="preserve">Un système d’assurance qualité du soudage doit être mis en place par le constructeur ou </w:t>
      </w:r>
      <w:r w:rsidRPr="003D71A6">
        <w:rPr>
          <w:iCs/>
          <w:lang w:val="fr-FR"/>
        </w:rPr>
        <w:t>l’atelier de maintenance ou de réparation</w:t>
      </w:r>
      <w:r w:rsidRPr="003D71A6">
        <w:rPr>
          <w:lang w:val="fr-FR"/>
        </w:rPr>
        <w:t>.</w:t>
      </w:r>
      <w:bookmarkEnd w:id="14"/>
      <w:r w:rsidR="002B07AE">
        <w:rPr>
          <w:iCs/>
          <w:lang w:val="fr-FR"/>
        </w:rPr>
        <w:t> ».</w:t>
      </w:r>
    </w:p>
    <w:p w14:paraId="6B57F3D9" w14:textId="534E92A0" w:rsidR="005747B8" w:rsidRPr="003D71A6" w:rsidRDefault="005747B8" w:rsidP="005747B8">
      <w:pPr>
        <w:pStyle w:val="H23G"/>
        <w:rPr>
          <w:lang w:val="fr-FR"/>
        </w:rPr>
      </w:pPr>
      <w:r w:rsidRPr="003D71A6">
        <w:rPr>
          <w:lang w:val="fr-FR"/>
        </w:rPr>
        <w:lastRenderedPageBreak/>
        <w:tab/>
      </w:r>
      <w:r w:rsidR="00FE7542">
        <w:rPr>
          <w:lang w:val="fr-FR"/>
        </w:rPr>
        <w:t>3</w:t>
      </w:r>
      <w:r w:rsidR="00AE428E">
        <w:rPr>
          <w:lang w:val="fr-FR"/>
        </w:rPr>
        <w:t>7.</w:t>
      </w:r>
      <w:r w:rsidRPr="003D71A6">
        <w:rPr>
          <w:lang w:val="fr-FR"/>
        </w:rPr>
        <w:tab/>
        <w:t>Chapitre 6.8, amendement au 6.8.2.2.10</w:t>
      </w:r>
      <w:r w:rsidRPr="003D71A6">
        <w:rPr>
          <w:lang w:val="fr-FR"/>
        </w:rPr>
        <w:tab/>
      </w:r>
    </w:p>
    <w:p w14:paraId="2832C3A5" w14:textId="77777777" w:rsidR="005747B8" w:rsidRPr="003D71A6" w:rsidRDefault="005747B8" w:rsidP="005747B8">
      <w:pPr>
        <w:pStyle w:val="SingleTxtG"/>
        <w:rPr>
          <w:lang w:val="fr-FR"/>
        </w:rPr>
      </w:pPr>
      <w:r w:rsidRPr="003D71A6">
        <w:rPr>
          <w:i/>
          <w:lang w:val="fr-FR"/>
        </w:rPr>
        <w:t xml:space="preserve">Substituer </w:t>
      </w:r>
      <w:r w:rsidRPr="003D71A6">
        <w:rPr>
          <w:lang w:val="fr-FR"/>
        </w:rPr>
        <w:t>au texte existant</w:t>
      </w:r>
    </w:p>
    <w:p w14:paraId="3E885580" w14:textId="77777777" w:rsidR="005747B8" w:rsidRPr="003D71A6" w:rsidRDefault="005747B8" w:rsidP="002B07AE">
      <w:pPr>
        <w:pStyle w:val="SingleTxtG"/>
        <w:ind w:left="1701"/>
        <w:rPr>
          <w:lang w:val="fr-FR"/>
        </w:rPr>
      </w:pPr>
      <w:r w:rsidRPr="003D71A6">
        <w:rPr>
          <w:lang w:val="fr-FR"/>
        </w:rPr>
        <w:t>6.8.2.2.10</w:t>
      </w:r>
      <w:r w:rsidRPr="003D71A6">
        <w:rPr>
          <w:lang w:val="fr-FR"/>
        </w:rPr>
        <w:tab/>
        <w:t>Modifier le deuxième paragraphe pour lire comme suit :</w:t>
      </w:r>
    </w:p>
    <w:p w14:paraId="0F44F10F" w14:textId="77777777" w:rsidR="005747B8" w:rsidRPr="003D71A6" w:rsidRDefault="005747B8" w:rsidP="002B07AE">
      <w:pPr>
        <w:pStyle w:val="SingleTxtG"/>
        <w:ind w:left="1701"/>
        <w:rPr>
          <w:lang w:val="fr-FR"/>
        </w:rPr>
      </w:pPr>
      <w:r w:rsidRPr="003D71A6">
        <w:rPr>
          <w:lang w:val="fr-FR"/>
        </w:rPr>
        <w:t>« </w:t>
      </w:r>
      <w:bookmarkStart w:id="15" w:name="_Hlk516044150"/>
      <w:r w:rsidRPr="003D71A6">
        <w:rPr>
          <w:lang w:val="fr-FR"/>
        </w:rPr>
        <w:t>Sauf pour les citernes destinées au transport de gaz comprimés, liquéfiés ou dissous pour lesquelles la disposition du disque de rupture et de la soupape de sécurité doit satisfaire l'autorité compétente, les pressions d'éclatement des disques de rupture doivent respecter les règles suivantes :</w:t>
      </w:r>
    </w:p>
    <w:p w14:paraId="62E092F4" w14:textId="77777777" w:rsidR="005747B8" w:rsidRPr="003D71A6" w:rsidRDefault="005747B8" w:rsidP="002B07AE">
      <w:pPr>
        <w:pStyle w:val="SingleTxtG"/>
        <w:ind w:left="1701"/>
        <w:rPr>
          <w:lang w:val="fr-FR"/>
        </w:rPr>
      </w:pPr>
      <w:r w:rsidRPr="003D71A6">
        <w:rPr>
          <w:lang w:val="fr-FR"/>
        </w:rPr>
        <w:t>-</w:t>
      </w:r>
      <w:r w:rsidRPr="003D71A6">
        <w:rPr>
          <w:lang w:val="fr-FR"/>
        </w:rPr>
        <w:tab/>
        <w:t>la pression minimale d'éclatement à 20°C, tolérances incluses, doit être supérieure ou égale à 0,8 fois la pression d'épreuve,</w:t>
      </w:r>
    </w:p>
    <w:p w14:paraId="5C7297EB" w14:textId="77777777" w:rsidR="005747B8" w:rsidRPr="003D71A6" w:rsidRDefault="005747B8" w:rsidP="002B07AE">
      <w:pPr>
        <w:pStyle w:val="SingleTxtG"/>
        <w:ind w:left="1701"/>
        <w:rPr>
          <w:lang w:val="fr-FR"/>
        </w:rPr>
      </w:pPr>
      <w:r w:rsidRPr="003D71A6">
        <w:rPr>
          <w:lang w:val="fr-FR"/>
        </w:rPr>
        <w:t>-</w:t>
      </w:r>
      <w:r w:rsidRPr="003D71A6">
        <w:rPr>
          <w:lang w:val="fr-FR"/>
        </w:rPr>
        <w:tab/>
        <w:t>la pression maximale d'éclatement à 20°C, tolérances incluses, doit être inférieure ou égale à 1,1 fois la pression d'épreuve, et</w:t>
      </w:r>
    </w:p>
    <w:p w14:paraId="333B072F" w14:textId="77777777" w:rsidR="005747B8" w:rsidRPr="003D71A6" w:rsidRDefault="005747B8" w:rsidP="002B07AE">
      <w:pPr>
        <w:pStyle w:val="SingleTxtG"/>
        <w:ind w:left="1701"/>
        <w:rPr>
          <w:lang w:val="fr-FR"/>
        </w:rPr>
      </w:pPr>
      <w:r w:rsidRPr="003D71A6">
        <w:rPr>
          <w:lang w:val="fr-FR"/>
        </w:rPr>
        <w:t>-</w:t>
      </w:r>
      <w:r w:rsidRPr="003D71A6">
        <w:rPr>
          <w:lang w:val="fr-FR"/>
        </w:rPr>
        <w:tab/>
        <w:t>la pression d'éclatement à la température maximale de service doit être supérieure à la pression maximale de service.</w:t>
      </w:r>
    </w:p>
    <w:p w14:paraId="7A8F76BA" w14:textId="77777777" w:rsidR="005747B8" w:rsidRPr="003D71A6" w:rsidRDefault="005747B8" w:rsidP="002B07AE">
      <w:pPr>
        <w:pStyle w:val="SingleTxtG"/>
        <w:ind w:left="1701"/>
        <w:rPr>
          <w:lang w:val="fr-FR"/>
        </w:rPr>
      </w:pPr>
      <w:r w:rsidRPr="003D71A6">
        <w:rPr>
          <w:lang w:val="fr-FR"/>
        </w:rPr>
        <w:t>Un manomètre ou un autre indicateur approprié doit être installé dans l’espace entre le disque de rupture et la soupape de sécurité pour permettre de détecter une rupture, une perforation ou une fuite du disque.</w:t>
      </w:r>
      <w:bookmarkEnd w:id="15"/>
      <w:r w:rsidRPr="003D71A6">
        <w:rPr>
          <w:lang w:val="fr-FR"/>
        </w:rPr>
        <w:t> ».</w:t>
      </w:r>
    </w:p>
    <w:p w14:paraId="7A32458D" w14:textId="6868D965" w:rsidR="003656F1" w:rsidRPr="003D71A6" w:rsidRDefault="003656F1" w:rsidP="003656F1">
      <w:pPr>
        <w:pStyle w:val="H23G"/>
        <w:rPr>
          <w:lang w:val="fr-FR"/>
        </w:rPr>
      </w:pPr>
      <w:r w:rsidRPr="003D71A6">
        <w:rPr>
          <w:lang w:val="fr-FR"/>
        </w:rPr>
        <w:tab/>
      </w:r>
      <w:r w:rsidR="00FE7542">
        <w:rPr>
          <w:lang w:val="fr-FR"/>
        </w:rPr>
        <w:t>3</w:t>
      </w:r>
      <w:r w:rsidR="00AE428E">
        <w:rPr>
          <w:lang w:val="fr-FR"/>
        </w:rPr>
        <w:t>8</w:t>
      </w:r>
      <w:r w:rsidR="00FE7542">
        <w:rPr>
          <w:lang w:val="fr-FR"/>
        </w:rPr>
        <w:t>.</w:t>
      </w:r>
      <w:r w:rsidRPr="003D71A6">
        <w:rPr>
          <w:lang w:val="fr-FR"/>
        </w:rPr>
        <w:tab/>
        <w:t xml:space="preserve">Chapitre </w:t>
      </w:r>
      <w:r>
        <w:rPr>
          <w:lang w:val="fr-FR"/>
        </w:rPr>
        <w:t>6.8, 6.8.2.2.11</w:t>
      </w:r>
    </w:p>
    <w:p w14:paraId="75A339B1" w14:textId="006E524D" w:rsidR="003656F1" w:rsidRDefault="003656F1" w:rsidP="003656F1">
      <w:pPr>
        <w:pStyle w:val="SingleTxtG"/>
        <w:rPr>
          <w:iCs/>
          <w:lang w:val="fr-FR"/>
        </w:rPr>
      </w:pPr>
      <w:r>
        <w:rPr>
          <w:i/>
          <w:lang w:val="fr-FR"/>
        </w:rPr>
        <w:t xml:space="preserve">Au lieu </w:t>
      </w:r>
      <w:proofErr w:type="gramStart"/>
      <w:r>
        <w:rPr>
          <w:i/>
          <w:lang w:val="fr-FR"/>
        </w:rPr>
        <w:t>de</w:t>
      </w:r>
      <w:r w:rsidRPr="00915D2D">
        <w:rPr>
          <w:lang w:val="fr-FR"/>
        </w:rPr>
        <w:t xml:space="preserve"> </w:t>
      </w:r>
      <w:r w:rsidRPr="00FB35E2">
        <w:rPr>
          <w:lang w:val="fr-FR"/>
        </w:rPr>
        <w:t>Ajouter</w:t>
      </w:r>
      <w:proofErr w:type="gramEnd"/>
      <w:r w:rsidRPr="00FB35E2">
        <w:rPr>
          <w:lang w:val="fr-FR"/>
        </w:rPr>
        <w:t xml:space="preserve"> le nouveau paragraphe suivant à la fin</w:t>
      </w:r>
      <w:r>
        <w:rPr>
          <w:i/>
          <w:lang w:val="fr-FR"/>
        </w:rPr>
        <w:t xml:space="preserve"> lire </w:t>
      </w:r>
      <w:r w:rsidRPr="00FB35E2">
        <w:rPr>
          <w:lang w:val="fr-FR"/>
        </w:rPr>
        <w:t xml:space="preserve">Ajouter le nouveau </w:t>
      </w:r>
      <w:r>
        <w:rPr>
          <w:lang w:val="fr-FR"/>
        </w:rPr>
        <w:t>6.8.2.2.11</w:t>
      </w:r>
      <w:r w:rsidRPr="00FB35E2">
        <w:rPr>
          <w:lang w:val="fr-FR"/>
        </w:rPr>
        <w:t xml:space="preserve"> suivant</w:t>
      </w:r>
    </w:p>
    <w:p w14:paraId="1B897D51" w14:textId="038B6457" w:rsidR="006B663B" w:rsidRPr="003D71A6" w:rsidRDefault="006B663B" w:rsidP="006B663B">
      <w:pPr>
        <w:pStyle w:val="H23G"/>
        <w:rPr>
          <w:lang w:val="fr-FR"/>
        </w:rPr>
      </w:pPr>
      <w:r w:rsidRPr="003D71A6">
        <w:rPr>
          <w:lang w:val="fr-FR"/>
        </w:rPr>
        <w:tab/>
      </w:r>
      <w:r w:rsidR="00FE7542">
        <w:rPr>
          <w:lang w:val="fr-FR"/>
        </w:rPr>
        <w:t>3</w:t>
      </w:r>
      <w:r w:rsidR="00AE428E">
        <w:rPr>
          <w:lang w:val="fr-FR"/>
        </w:rPr>
        <w:t>9</w:t>
      </w:r>
      <w:r w:rsidR="00FE7542">
        <w:rPr>
          <w:lang w:val="fr-FR"/>
        </w:rPr>
        <w:t>.</w:t>
      </w:r>
      <w:r w:rsidRPr="003D71A6">
        <w:rPr>
          <w:lang w:val="fr-FR"/>
        </w:rPr>
        <w:tab/>
      </w:r>
      <w:r w:rsidRPr="003D71A6">
        <w:rPr>
          <w:lang w:val="fr-FR"/>
        </w:rPr>
        <w:tab/>
        <w:t xml:space="preserve">Chapitre </w:t>
      </w:r>
      <w:r>
        <w:rPr>
          <w:lang w:val="fr-FR"/>
        </w:rPr>
        <w:t>6.8</w:t>
      </w:r>
      <w:r w:rsidRPr="003D71A6">
        <w:rPr>
          <w:lang w:val="fr-FR"/>
        </w:rPr>
        <w:t xml:space="preserve">, </w:t>
      </w:r>
      <w:r>
        <w:rPr>
          <w:lang w:val="fr-FR"/>
        </w:rPr>
        <w:t xml:space="preserve">6.8.2.6.1, amendement relatif à la norme </w:t>
      </w:r>
      <w:r w:rsidRPr="00F9560A">
        <w:rPr>
          <w:lang w:val="fr-FR"/>
        </w:rPr>
        <w:t xml:space="preserve">EN </w:t>
      </w:r>
      <w:proofErr w:type="gramStart"/>
      <w:r>
        <w:rPr>
          <w:lang w:val="fr-FR"/>
        </w:rPr>
        <w:t>13317:</w:t>
      </w:r>
      <w:proofErr w:type="gramEnd"/>
      <w:r>
        <w:rPr>
          <w:lang w:val="fr-FR"/>
        </w:rPr>
        <w:t xml:space="preserve">2002 + A1:2006 et nouvelle norme </w:t>
      </w:r>
      <w:r w:rsidRPr="00F9560A">
        <w:rPr>
          <w:lang w:val="fr-FR"/>
        </w:rPr>
        <w:t xml:space="preserve">EN </w:t>
      </w:r>
      <w:r>
        <w:rPr>
          <w:lang w:val="fr-FR"/>
        </w:rPr>
        <w:t>13317:2018</w:t>
      </w:r>
    </w:p>
    <w:p w14:paraId="049957CF" w14:textId="435EDC35" w:rsidR="006B663B" w:rsidRPr="003D71A6" w:rsidRDefault="006B663B" w:rsidP="006B663B">
      <w:pPr>
        <w:pStyle w:val="SingleTxtG"/>
        <w:rPr>
          <w:lang w:val="fr-FR"/>
        </w:rPr>
      </w:pPr>
      <w:r>
        <w:rPr>
          <w:i/>
          <w:lang w:val="fr-FR"/>
        </w:rPr>
        <w:t>Supprimer</w:t>
      </w:r>
    </w:p>
    <w:p w14:paraId="3AB0D1BA" w14:textId="799CF5F9" w:rsidR="005747B8" w:rsidRPr="003D71A6" w:rsidRDefault="005747B8" w:rsidP="005747B8">
      <w:pPr>
        <w:pStyle w:val="H23G"/>
        <w:rPr>
          <w:lang w:val="fr-FR"/>
        </w:rPr>
      </w:pPr>
      <w:r w:rsidRPr="003D71A6">
        <w:rPr>
          <w:lang w:val="fr-FR"/>
        </w:rPr>
        <w:tab/>
      </w:r>
      <w:r w:rsidR="00AE428E">
        <w:rPr>
          <w:lang w:val="fr-FR"/>
        </w:rPr>
        <w:t>40</w:t>
      </w:r>
      <w:r w:rsidR="00FE7542">
        <w:rPr>
          <w:lang w:val="fr-FR"/>
        </w:rPr>
        <w:t>.</w:t>
      </w:r>
      <w:r w:rsidRPr="003D71A6">
        <w:rPr>
          <w:lang w:val="fr-FR"/>
        </w:rPr>
        <w:tab/>
        <w:t>Chapitre 6.8, nouvel alinéa sous 6.8.5.1.2 a)</w:t>
      </w:r>
    </w:p>
    <w:p w14:paraId="2C6A9D92" w14:textId="77777777" w:rsidR="005747B8" w:rsidRPr="003D71A6" w:rsidRDefault="005747B8" w:rsidP="005747B8">
      <w:pPr>
        <w:pStyle w:val="SingleTxtG"/>
        <w:rPr>
          <w:lang w:val="fr-FR"/>
        </w:rPr>
      </w:pPr>
      <w:r w:rsidRPr="003D71A6">
        <w:rPr>
          <w:i/>
          <w:lang w:val="fr-FR"/>
        </w:rPr>
        <w:t>Au lieu de</w:t>
      </w:r>
      <w:r w:rsidRPr="003D71A6">
        <w:rPr>
          <w:lang w:val="fr-FR"/>
        </w:rPr>
        <w:t xml:space="preserve"> -40 °C </w:t>
      </w:r>
      <w:r w:rsidRPr="003D71A6">
        <w:rPr>
          <w:i/>
          <w:lang w:val="fr-FR"/>
        </w:rPr>
        <w:t>lire</w:t>
      </w:r>
      <w:r w:rsidRPr="003D71A6">
        <w:rPr>
          <w:lang w:val="fr-FR"/>
        </w:rPr>
        <w:t xml:space="preserve"> -60 °C</w:t>
      </w:r>
    </w:p>
    <w:p w14:paraId="3FB82EC9" w14:textId="5AB615F4" w:rsidR="00BF06B0" w:rsidRPr="006E3E17" w:rsidRDefault="006E3E17" w:rsidP="006E3E17">
      <w:pPr>
        <w:spacing w:before="240"/>
        <w:ind w:left="1134" w:right="1134"/>
        <w:jc w:val="center"/>
        <w:rPr>
          <w:u w:val="single"/>
        </w:rPr>
      </w:pPr>
      <w:r>
        <w:rPr>
          <w:u w:val="single"/>
        </w:rPr>
        <w:tab/>
      </w:r>
      <w:r>
        <w:rPr>
          <w:u w:val="single"/>
        </w:rPr>
        <w:tab/>
      </w:r>
      <w:r>
        <w:rPr>
          <w:u w:val="single"/>
        </w:rPr>
        <w:tab/>
      </w:r>
    </w:p>
    <w:sectPr w:rsidR="00BF06B0" w:rsidRPr="006E3E17" w:rsidSect="00020AC3">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50ACA" w14:textId="77777777" w:rsidR="00020AC3" w:rsidRDefault="00020AC3"/>
  </w:endnote>
  <w:endnote w:type="continuationSeparator" w:id="0">
    <w:p w14:paraId="176D6800" w14:textId="77777777" w:rsidR="00020AC3" w:rsidRDefault="00020AC3"/>
  </w:endnote>
  <w:endnote w:type="continuationNotice" w:id="1">
    <w:p w14:paraId="15333B07" w14:textId="77777777" w:rsidR="00020AC3" w:rsidRDefault="00020A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231F3" w14:textId="6AC63569" w:rsidR="00020AC3" w:rsidRPr="00020AC3" w:rsidRDefault="00020AC3" w:rsidP="00020AC3">
    <w:pPr>
      <w:pStyle w:val="Footer"/>
      <w:tabs>
        <w:tab w:val="right" w:pos="9638"/>
      </w:tabs>
      <w:rPr>
        <w:sz w:val="18"/>
      </w:rPr>
    </w:pPr>
    <w:r w:rsidRPr="00020AC3">
      <w:rPr>
        <w:b/>
        <w:sz w:val="18"/>
      </w:rPr>
      <w:fldChar w:fldCharType="begin"/>
    </w:r>
    <w:r w:rsidRPr="00020AC3">
      <w:rPr>
        <w:b/>
        <w:sz w:val="18"/>
      </w:rPr>
      <w:instrText xml:space="preserve"> PAGE  \* MERGEFORMAT </w:instrText>
    </w:r>
    <w:r w:rsidRPr="00020AC3">
      <w:rPr>
        <w:b/>
        <w:sz w:val="18"/>
      </w:rPr>
      <w:fldChar w:fldCharType="separate"/>
    </w:r>
    <w:r w:rsidR="00B03A18">
      <w:rPr>
        <w:b/>
        <w:noProof/>
        <w:sz w:val="18"/>
      </w:rPr>
      <w:t>2</w:t>
    </w:r>
    <w:r w:rsidRPr="00020AC3">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5E40E" w14:textId="02E58533" w:rsidR="004D53B7" w:rsidRPr="00020AC3" w:rsidRDefault="00020AC3" w:rsidP="00020AC3">
    <w:pPr>
      <w:pStyle w:val="Footer"/>
      <w:tabs>
        <w:tab w:val="right" w:pos="9638"/>
      </w:tabs>
      <w:rPr>
        <w:sz w:val="18"/>
      </w:rPr>
    </w:pPr>
    <w:r>
      <w:tab/>
    </w:r>
    <w:r w:rsidRPr="00020AC3">
      <w:rPr>
        <w:b/>
        <w:sz w:val="18"/>
      </w:rPr>
      <w:fldChar w:fldCharType="begin"/>
    </w:r>
    <w:r w:rsidRPr="00020AC3">
      <w:rPr>
        <w:b/>
        <w:sz w:val="18"/>
      </w:rPr>
      <w:instrText xml:space="preserve"> PAGE  \* MERGEFORMAT </w:instrText>
    </w:r>
    <w:r w:rsidRPr="00020AC3">
      <w:rPr>
        <w:b/>
        <w:sz w:val="18"/>
      </w:rPr>
      <w:fldChar w:fldCharType="separate"/>
    </w:r>
    <w:r w:rsidR="00B03A18">
      <w:rPr>
        <w:b/>
        <w:noProof/>
        <w:sz w:val="18"/>
      </w:rPr>
      <w:t>3</w:t>
    </w:r>
    <w:r w:rsidRPr="00020AC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2228C" w14:textId="77777777" w:rsidR="00020AC3" w:rsidRPr="00020AC3" w:rsidRDefault="00020AC3">
    <w:pPr>
      <w:pStyle w:val="Footer"/>
      <w:rPr>
        <w:sz w:val="20"/>
      </w:rPr>
    </w:pPr>
    <w:r>
      <w:rPr>
        <w:sz w:val="20"/>
      </w:rPr>
      <w:t>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E6A0B" w14:textId="77777777" w:rsidR="00020AC3" w:rsidRPr="00D27D5E" w:rsidRDefault="00020AC3" w:rsidP="00D27D5E">
      <w:pPr>
        <w:tabs>
          <w:tab w:val="right" w:pos="2155"/>
        </w:tabs>
        <w:spacing w:after="80"/>
        <w:ind w:left="680"/>
        <w:rPr>
          <w:u w:val="single"/>
        </w:rPr>
      </w:pPr>
      <w:r>
        <w:rPr>
          <w:u w:val="single"/>
        </w:rPr>
        <w:tab/>
      </w:r>
    </w:p>
  </w:footnote>
  <w:footnote w:type="continuationSeparator" w:id="0">
    <w:p w14:paraId="18BDD497" w14:textId="77777777" w:rsidR="00020AC3" w:rsidRPr="00A80554" w:rsidRDefault="00020AC3" w:rsidP="00A80554">
      <w:pPr>
        <w:tabs>
          <w:tab w:val="left" w:pos="2155"/>
        </w:tabs>
        <w:spacing w:after="80"/>
        <w:ind w:left="680"/>
        <w:rPr>
          <w:u w:val="single"/>
        </w:rPr>
      </w:pPr>
      <w:r w:rsidRPr="00A80554">
        <w:rPr>
          <w:u w:val="single"/>
        </w:rPr>
        <w:tab/>
      </w:r>
    </w:p>
  </w:footnote>
  <w:footnote w:type="continuationNotice" w:id="1">
    <w:p w14:paraId="78409525" w14:textId="77777777" w:rsidR="00020AC3" w:rsidRDefault="00020A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DCAE1" w14:textId="77777777" w:rsidR="00020AC3" w:rsidRPr="00020AC3" w:rsidRDefault="00020AC3">
    <w:pPr>
      <w:pStyle w:val="Header"/>
    </w:pPr>
    <w:r>
      <w:t>ECE/TRANS/WP.15/240/Corr.1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B16EB" w14:textId="77777777" w:rsidR="00020AC3" w:rsidRPr="00020AC3" w:rsidRDefault="00020AC3" w:rsidP="00020AC3">
    <w:pPr>
      <w:pStyle w:val="Header"/>
      <w:jc w:val="right"/>
    </w:pPr>
    <w:r>
      <w:t>ECE/TRANS/WP.15/240/Corr.1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1"/>
  <w:activeWritingStyle w:appName="MSWord" w:lang="fr-FR" w:vendorID="64" w:dllVersion="6" w:nlCheck="1" w:checkStyle="1"/>
  <w:activeWritingStyle w:appName="MSWord" w:lang="fr-FR" w:vendorID="64" w:dllVersion="0" w:nlCheck="1" w:checkStyle="0"/>
  <w:activeWritingStyle w:appName="MSWord" w:lang="fr-CH"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C3"/>
    <w:rsid w:val="00016AC5"/>
    <w:rsid w:val="00020AC3"/>
    <w:rsid w:val="00030ADE"/>
    <w:rsid w:val="000312C0"/>
    <w:rsid w:val="000964C7"/>
    <w:rsid w:val="000B34CA"/>
    <w:rsid w:val="000F41F2"/>
    <w:rsid w:val="00135C0D"/>
    <w:rsid w:val="001500C7"/>
    <w:rsid w:val="00154636"/>
    <w:rsid w:val="00156CE1"/>
    <w:rsid w:val="00160540"/>
    <w:rsid w:val="0017182C"/>
    <w:rsid w:val="00177007"/>
    <w:rsid w:val="00186EE9"/>
    <w:rsid w:val="00190E18"/>
    <w:rsid w:val="00192EEB"/>
    <w:rsid w:val="001A20FB"/>
    <w:rsid w:val="001A5025"/>
    <w:rsid w:val="001B6F40"/>
    <w:rsid w:val="001C3FC8"/>
    <w:rsid w:val="001C749D"/>
    <w:rsid w:val="001D7F8A"/>
    <w:rsid w:val="001E3FEB"/>
    <w:rsid w:val="001E4A02"/>
    <w:rsid w:val="00223B89"/>
    <w:rsid w:val="00225A8C"/>
    <w:rsid w:val="00232C61"/>
    <w:rsid w:val="00253240"/>
    <w:rsid w:val="002659F1"/>
    <w:rsid w:val="00271C7C"/>
    <w:rsid w:val="00287E79"/>
    <w:rsid w:val="002928F9"/>
    <w:rsid w:val="002A2FA3"/>
    <w:rsid w:val="002A5D07"/>
    <w:rsid w:val="002B07AE"/>
    <w:rsid w:val="002D0E8F"/>
    <w:rsid w:val="002E7CEB"/>
    <w:rsid w:val="003016B7"/>
    <w:rsid w:val="00330F9C"/>
    <w:rsid w:val="00340C35"/>
    <w:rsid w:val="003515AA"/>
    <w:rsid w:val="0036439B"/>
    <w:rsid w:val="003656F1"/>
    <w:rsid w:val="00367E6A"/>
    <w:rsid w:val="00370E0F"/>
    <w:rsid w:val="00374106"/>
    <w:rsid w:val="003976D5"/>
    <w:rsid w:val="003D1DF3"/>
    <w:rsid w:val="003D46A7"/>
    <w:rsid w:val="003D6C68"/>
    <w:rsid w:val="003D76E4"/>
    <w:rsid w:val="00414425"/>
    <w:rsid w:val="004159D0"/>
    <w:rsid w:val="004249E7"/>
    <w:rsid w:val="00426DA1"/>
    <w:rsid w:val="00434168"/>
    <w:rsid w:val="00485D5E"/>
    <w:rsid w:val="00497A70"/>
    <w:rsid w:val="004C3D40"/>
    <w:rsid w:val="004D53B7"/>
    <w:rsid w:val="00543D5E"/>
    <w:rsid w:val="00571F41"/>
    <w:rsid w:val="005747B8"/>
    <w:rsid w:val="0059410B"/>
    <w:rsid w:val="00595BE4"/>
    <w:rsid w:val="005A6DB4"/>
    <w:rsid w:val="005B738F"/>
    <w:rsid w:val="005B76A3"/>
    <w:rsid w:val="005E5D1F"/>
    <w:rsid w:val="00603391"/>
    <w:rsid w:val="006049FD"/>
    <w:rsid w:val="00611D43"/>
    <w:rsid w:val="00612D48"/>
    <w:rsid w:val="00616B45"/>
    <w:rsid w:val="00630D9B"/>
    <w:rsid w:val="00631953"/>
    <w:rsid w:val="006439EC"/>
    <w:rsid w:val="00694C7F"/>
    <w:rsid w:val="006A047B"/>
    <w:rsid w:val="006B4590"/>
    <w:rsid w:val="006B663B"/>
    <w:rsid w:val="006C340C"/>
    <w:rsid w:val="006D33BA"/>
    <w:rsid w:val="006E3E17"/>
    <w:rsid w:val="006E5FC7"/>
    <w:rsid w:val="0070347C"/>
    <w:rsid w:val="007176C1"/>
    <w:rsid w:val="00783F37"/>
    <w:rsid w:val="00790F2F"/>
    <w:rsid w:val="007A34D2"/>
    <w:rsid w:val="007A6076"/>
    <w:rsid w:val="007F55CB"/>
    <w:rsid w:val="00812C1A"/>
    <w:rsid w:val="008317F6"/>
    <w:rsid w:val="00844750"/>
    <w:rsid w:val="008915D5"/>
    <w:rsid w:val="008B44C4"/>
    <w:rsid w:val="008B47ED"/>
    <w:rsid w:val="008B7879"/>
    <w:rsid w:val="008C2211"/>
    <w:rsid w:val="008D3919"/>
    <w:rsid w:val="008E7FAE"/>
    <w:rsid w:val="00911BF7"/>
    <w:rsid w:val="00926E87"/>
    <w:rsid w:val="00946268"/>
    <w:rsid w:val="00952FDB"/>
    <w:rsid w:val="00977EC8"/>
    <w:rsid w:val="009B18A3"/>
    <w:rsid w:val="009D3A8C"/>
    <w:rsid w:val="009E01B8"/>
    <w:rsid w:val="009E7956"/>
    <w:rsid w:val="00A1547F"/>
    <w:rsid w:val="00A213ED"/>
    <w:rsid w:val="00A2492E"/>
    <w:rsid w:val="00A31F07"/>
    <w:rsid w:val="00A41235"/>
    <w:rsid w:val="00A70163"/>
    <w:rsid w:val="00A80554"/>
    <w:rsid w:val="00A97858"/>
    <w:rsid w:val="00AA72C3"/>
    <w:rsid w:val="00AC4EE6"/>
    <w:rsid w:val="00AC67A1"/>
    <w:rsid w:val="00AC7977"/>
    <w:rsid w:val="00AE352C"/>
    <w:rsid w:val="00AE428E"/>
    <w:rsid w:val="00B03A18"/>
    <w:rsid w:val="00B32E2D"/>
    <w:rsid w:val="00B4466B"/>
    <w:rsid w:val="00B61990"/>
    <w:rsid w:val="00B6602A"/>
    <w:rsid w:val="00B85D99"/>
    <w:rsid w:val="00B8706D"/>
    <w:rsid w:val="00B93E72"/>
    <w:rsid w:val="00B94939"/>
    <w:rsid w:val="00BF0556"/>
    <w:rsid w:val="00BF06B0"/>
    <w:rsid w:val="00C24B53"/>
    <w:rsid w:val="00C261F8"/>
    <w:rsid w:val="00C33100"/>
    <w:rsid w:val="00C6603D"/>
    <w:rsid w:val="00C940E9"/>
    <w:rsid w:val="00CB6267"/>
    <w:rsid w:val="00CD1A71"/>
    <w:rsid w:val="00CD1FBB"/>
    <w:rsid w:val="00CD49F0"/>
    <w:rsid w:val="00D016B5"/>
    <w:rsid w:val="00D034F1"/>
    <w:rsid w:val="00D11B17"/>
    <w:rsid w:val="00D27D5E"/>
    <w:rsid w:val="00D60301"/>
    <w:rsid w:val="00D722D7"/>
    <w:rsid w:val="00D962F1"/>
    <w:rsid w:val="00DA0E51"/>
    <w:rsid w:val="00DA57D4"/>
    <w:rsid w:val="00DB4793"/>
    <w:rsid w:val="00DC3135"/>
    <w:rsid w:val="00DE01E3"/>
    <w:rsid w:val="00DE6D90"/>
    <w:rsid w:val="00DF002F"/>
    <w:rsid w:val="00E0244D"/>
    <w:rsid w:val="00E32A20"/>
    <w:rsid w:val="00E3356E"/>
    <w:rsid w:val="00E55D71"/>
    <w:rsid w:val="00E81E94"/>
    <w:rsid w:val="00E82607"/>
    <w:rsid w:val="00EA31C2"/>
    <w:rsid w:val="00EE2EA3"/>
    <w:rsid w:val="00F01516"/>
    <w:rsid w:val="00F17048"/>
    <w:rsid w:val="00F57129"/>
    <w:rsid w:val="00F9560A"/>
    <w:rsid w:val="00FA5A79"/>
    <w:rsid w:val="00FA6422"/>
    <w:rsid w:val="00FB00CB"/>
    <w:rsid w:val="00FB0BFE"/>
    <w:rsid w:val="00FB4C51"/>
    <w:rsid w:val="00FB7676"/>
    <w:rsid w:val="00FE7542"/>
    <w:rsid w:val="00FF1D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oNotEmbedSmartTags/>
  <w:decimalSymbol w:val="."/>
  <w:listSeparator w:val=","/>
  <w14:docId w14:val="5E42DE26"/>
  <w15:docId w15:val="{C70D7C5E-3529-4573-9BC9-DBEFD481B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qFormat/>
    <w:rsid w:val="000964C7"/>
    <w:pPr>
      <w:keepNext/>
      <w:keepLines/>
      <w:spacing w:after="0" w:line="240" w:lineRule="auto"/>
      <w:ind w:right="0"/>
      <w:jc w:val="left"/>
      <w:outlineLvl w:val="0"/>
    </w:pPr>
  </w:style>
  <w:style w:type="paragraph" w:styleId="Heading2">
    <w:name w:val="heading 2"/>
    <w:basedOn w:val="Normal"/>
    <w:next w:val="Normal"/>
    <w:qFormat/>
    <w:rsid w:val="000964C7"/>
    <w:pPr>
      <w:outlineLvl w:val="1"/>
    </w:pPr>
  </w:style>
  <w:style w:type="paragraph" w:styleId="Heading3">
    <w:name w:val="heading 3"/>
    <w:basedOn w:val="Normal"/>
    <w:next w:val="Normal"/>
    <w:qFormat/>
    <w:rsid w:val="000964C7"/>
    <w:pPr>
      <w:outlineLvl w:val="2"/>
    </w:pPr>
  </w:style>
  <w:style w:type="paragraph" w:styleId="Heading4">
    <w:name w:val="heading 4"/>
    <w:basedOn w:val="Normal"/>
    <w:next w:val="Normal"/>
    <w:qFormat/>
    <w:rsid w:val="000964C7"/>
    <w:pPr>
      <w:outlineLvl w:val="3"/>
    </w:pPr>
  </w:style>
  <w:style w:type="paragraph" w:styleId="Heading5">
    <w:name w:val="heading 5"/>
    <w:basedOn w:val="Normal"/>
    <w:next w:val="Normal"/>
    <w:qFormat/>
    <w:rsid w:val="000964C7"/>
    <w:pPr>
      <w:outlineLvl w:val="4"/>
    </w:pPr>
  </w:style>
  <w:style w:type="paragraph" w:styleId="Heading6">
    <w:name w:val="heading 6"/>
    <w:basedOn w:val="Normal"/>
    <w:next w:val="Normal"/>
    <w:qFormat/>
    <w:rsid w:val="000964C7"/>
    <w:pPr>
      <w:outlineLvl w:val="5"/>
    </w:pPr>
  </w:style>
  <w:style w:type="paragraph" w:styleId="Heading7">
    <w:name w:val="heading 7"/>
    <w:basedOn w:val="Normal"/>
    <w:next w:val="Normal"/>
    <w:qFormat/>
    <w:rsid w:val="000964C7"/>
    <w:pPr>
      <w:outlineLvl w:val="6"/>
    </w:pPr>
  </w:style>
  <w:style w:type="paragraph" w:styleId="Heading8">
    <w:name w:val="heading 8"/>
    <w:basedOn w:val="Normal"/>
    <w:next w:val="Normal"/>
    <w:qFormat/>
    <w:rsid w:val="000964C7"/>
    <w:pPr>
      <w:outlineLvl w:val="7"/>
    </w:pPr>
  </w:style>
  <w:style w:type="paragraph" w:styleId="Heading9">
    <w:name w:val="heading 9"/>
    <w:basedOn w:val="Normal"/>
    <w:next w:val="Normal"/>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ar"/>
    <w:qFormat/>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
    <w:basedOn w:val="DefaultParagraphFont"/>
    <w:rsid w:val="000964C7"/>
    <w:rPr>
      <w:rFonts w:ascii="Times New Roman" w:hAnsi="Times New Roman"/>
      <w:sz w:val="18"/>
      <w:vertAlign w:val="superscript"/>
      <w:lang w:val="fr-CH"/>
    </w:rPr>
  </w:style>
  <w:style w:type="character" w:styleId="EndnoteReference">
    <w:name w:val="endnote reference"/>
    <w:aliases w:val="1_G"/>
    <w:basedOn w:val="FootnoteReference"/>
    <w:rsid w:val="000964C7"/>
    <w:rPr>
      <w:rFonts w:ascii="Times New Roman" w:hAnsi="Times New Roman"/>
      <w:sz w:val="18"/>
      <w:vertAlign w:val="superscript"/>
      <w:lang w:val="fr-CH"/>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
    <w:basedOn w:val="Normal"/>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basedOn w:val="DefaultParagraphFont"/>
    <w:rsid w:val="000964C7"/>
    <w:rPr>
      <w:rFonts w:ascii="Times New Roman" w:hAnsi="Times New Roman"/>
      <w:b/>
      <w:sz w:val="18"/>
      <w:lang w:val="fr-CH"/>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0964C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0964C7"/>
    <w:rPr>
      <w:color w:val="auto"/>
      <w:u w:val="none"/>
    </w:rPr>
  </w:style>
  <w:style w:type="character" w:styleId="FollowedHyperlink">
    <w:name w:val="FollowedHyperlink"/>
    <w:basedOn w:val="DefaultParagraphFont"/>
    <w:semiHidden/>
    <w:rsid w:val="000964C7"/>
    <w:rPr>
      <w:color w:val="auto"/>
      <w:u w:val="none"/>
    </w:rPr>
  </w:style>
  <w:style w:type="character" w:customStyle="1" w:styleId="HChGChar">
    <w:name w:val="_ H _Ch_G Char"/>
    <w:link w:val="HChG"/>
    <w:locked/>
    <w:rsid w:val="00020AC3"/>
    <w:rPr>
      <w:b/>
      <w:sz w:val="28"/>
      <w:lang w:val="fr-CH" w:eastAsia="en-US"/>
    </w:rPr>
  </w:style>
  <w:style w:type="character" w:customStyle="1" w:styleId="H1GCar">
    <w:name w:val="_ H_1_G Car"/>
    <w:link w:val="H1G"/>
    <w:rsid w:val="00020AC3"/>
    <w:rPr>
      <w:b/>
      <w:sz w:val="24"/>
      <w:lang w:val="fr-CH" w:eastAsia="en-US"/>
    </w:rPr>
  </w:style>
  <w:style w:type="character" w:customStyle="1" w:styleId="SingleTxtGChar">
    <w:name w:val="_ Single Txt_G Char"/>
    <w:link w:val="SingleTxtG"/>
    <w:qFormat/>
    <w:rsid w:val="00694C7F"/>
    <w:rPr>
      <w:lang w:val="fr-CH" w:eastAsia="en-US"/>
    </w:rPr>
  </w:style>
  <w:style w:type="character" w:styleId="CommentReference">
    <w:name w:val="annotation reference"/>
    <w:basedOn w:val="DefaultParagraphFont"/>
    <w:semiHidden/>
    <w:unhideWhenUsed/>
    <w:rsid w:val="00694C7F"/>
    <w:rPr>
      <w:sz w:val="16"/>
      <w:szCs w:val="16"/>
    </w:rPr>
  </w:style>
  <w:style w:type="paragraph" w:styleId="CommentText">
    <w:name w:val="annotation text"/>
    <w:basedOn w:val="Normal"/>
    <w:link w:val="CommentTextChar"/>
    <w:semiHidden/>
    <w:unhideWhenUsed/>
    <w:rsid w:val="00694C7F"/>
    <w:pPr>
      <w:spacing w:line="240" w:lineRule="auto"/>
    </w:pPr>
  </w:style>
  <w:style w:type="character" w:customStyle="1" w:styleId="CommentTextChar">
    <w:name w:val="Comment Text Char"/>
    <w:basedOn w:val="DefaultParagraphFont"/>
    <w:link w:val="CommentText"/>
    <w:semiHidden/>
    <w:rsid w:val="00694C7F"/>
    <w:rPr>
      <w:lang w:val="fr-CH" w:eastAsia="en-US"/>
    </w:rPr>
  </w:style>
  <w:style w:type="paragraph" w:styleId="CommentSubject">
    <w:name w:val="annotation subject"/>
    <w:basedOn w:val="CommentText"/>
    <w:next w:val="CommentText"/>
    <w:link w:val="CommentSubjectChar"/>
    <w:semiHidden/>
    <w:unhideWhenUsed/>
    <w:rsid w:val="00694C7F"/>
    <w:rPr>
      <w:b/>
      <w:bCs/>
    </w:rPr>
  </w:style>
  <w:style w:type="character" w:customStyle="1" w:styleId="CommentSubjectChar">
    <w:name w:val="Comment Subject Char"/>
    <w:basedOn w:val="CommentTextChar"/>
    <w:link w:val="CommentSubject"/>
    <w:semiHidden/>
    <w:rsid w:val="00694C7F"/>
    <w:rPr>
      <w:b/>
      <w:bCs/>
      <w:lang w:val="fr-CH" w:eastAsia="en-US"/>
    </w:rPr>
  </w:style>
  <w:style w:type="paragraph" w:styleId="Revision">
    <w:name w:val="Revision"/>
    <w:hidden/>
    <w:uiPriority w:val="99"/>
    <w:semiHidden/>
    <w:rsid w:val="00694C7F"/>
    <w:rPr>
      <w:lang w:val="fr-CH" w:eastAsia="en-US"/>
    </w:rPr>
  </w:style>
  <w:style w:type="paragraph" w:styleId="BalloonText">
    <w:name w:val="Balloon Text"/>
    <w:basedOn w:val="Normal"/>
    <w:link w:val="BalloonTextChar"/>
    <w:rsid w:val="00694C7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694C7F"/>
    <w:rPr>
      <w:rFonts w:ascii="Segoe UI" w:hAnsi="Segoe UI" w:cs="Segoe UI"/>
      <w:sz w:val="18"/>
      <w:szCs w:val="18"/>
      <w:lang w:val="fr-CH" w:eastAsia="en-US"/>
    </w:rPr>
  </w:style>
  <w:style w:type="character" w:customStyle="1" w:styleId="H23GChar">
    <w:name w:val="_ H_2/3_G Char"/>
    <w:link w:val="H23G"/>
    <w:rsid w:val="001C749D"/>
    <w:rPr>
      <w:b/>
      <w:lang w:val="fr-CH" w:eastAsia="en-US"/>
    </w:rPr>
  </w:style>
  <w:style w:type="paragraph" w:styleId="BodyText">
    <w:name w:val="Body Text"/>
    <w:basedOn w:val="Normal"/>
    <w:next w:val="Normal"/>
    <w:link w:val="BodyTextChar"/>
    <w:rsid w:val="001C3FC8"/>
    <w:rPr>
      <w:lang w:val="en-GB"/>
    </w:rPr>
  </w:style>
  <w:style w:type="character" w:customStyle="1" w:styleId="BodyTextChar">
    <w:name w:val="Body Text Char"/>
    <w:basedOn w:val="DefaultParagraphFont"/>
    <w:link w:val="BodyText"/>
    <w:rsid w:val="001C3FC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688863">
      <w:bodyDiv w:val="1"/>
      <w:marLeft w:val="0"/>
      <w:marRight w:val="0"/>
      <w:marTop w:val="0"/>
      <w:marBottom w:val="0"/>
      <w:divBdr>
        <w:top w:val="none" w:sz="0" w:space="0" w:color="auto"/>
        <w:left w:val="none" w:sz="0" w:space="0" w:color="auto"/>
        <w:bottom w:val="none" w:sz="0" w:space="0" w:color="auto"/>
        <w:right w:val="none" w:sz="0" w:space="0" w:color="auto"/>
      </w:divBdr>
    </w:div>
    <w:div w:id="1552109399">
      <w:bodyDiv w:val="1"/>
      <w:marLeft w:val="0"/>
      <w:marRight w:val="0"/>
      <w:marTop w:val="0"/>
      <w:marBottom w:val="0"/>
      <w:divBdr>
        <w:top w:val="none" w:sz="0" w:space="0" w:color="auto"/>
        <w:left w:val="none" w:sz="0" w:space="0" w:color="auto"/>
        <w:bottom w:val="none" w:sz="0" w:space="0" w:color="auto"/>
        <w:right w:val="none" w:sz="0" w:space="0" w:color="auto"/>
      </w:divBdr>
    </w:div>
    <w:div w:id="164889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D2F72-224C-49EF-9F4B-AC8A812FD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TRANS_WP15_AC1_F.dotm</Template>
  <TotalTime>487</TotalTime>
  <Pages>5</Pages>
  <Words>1340</Words>
  <Characters>7640</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ECE/TRANS/WP.15/240</dc:creator>
  <cp:lastModifiedBy>Christine Barrio-Champeau</cp:lastModifiedBy>
  <cp:revision>26</cp:revision>
  <cp:lastPrinted>2009-10-06T13:35:00Z</cp:lastPrinted>
  <dcterms:created xsi:type="dcterms:W3CDTF">2018-05-24T11:49:00Z</dcterms:created>
  <dcterms:modified xsi:type="dcterms:W3CDTF">2018-06-08T12:46:00Z</dcterms:modified>
</cp:coreProperties>
</file>