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9403D2" w:rsidRPr="005D6F01" w14:paraId="08795845" w14:textId="77777777" w:rsidTr="00BF4DB0">
        <w:trPr>
          <w:cantSplit/>
          <w:trHeight w:hRule="exact" w:val="851"/>
        </w:trPr>
        <w:tc>
          <w:tcPr>
            <w:tcW w:w="1276" w:type="dxa"/>
            <w:tcBorders>
              <w:bottom w:val="single" w:sz="4" w:space="0" w:color="auto"/>
            </w:tcBorders>
            <w:vAlign w:val="bottom"/>
          </w:tcPr>
          <w:p w14:paraId="751E3311" w14:textId="77777777" w:rsidR="009403D2" w:rsidRPr="005D6F01" w:rsidRDefault="009403D2" w:rsidP="00BF4DB0">
            <w:pPr>
              <w:spacing w:after="80"/>
            </w:pPr>
          </w:p>
        </w:tc>
        <w:tc>
          <w:tcPr>
            <w:tcW w:w="2268" w:type="dxa"/>
            <w:tcBorders>
              <w:bottom w:val="single" w:sz="4" w:space="0" w:color="auto"/>
            </w:tcBorders>
            <w:vAlign w:val="bottom"/>
          </w:tcPr>
          <w:p w14:paraId="2299F868" w14:textId="77777777" w:rsidR="009403D2" w:rsidRPr="005D6F01" w:rsidRDefault="009403D2" w:rsidP="00BF4DB0">
            <w:pPr>
              <w:spacing w:after="80" w:line="300" w:lineRule="exact"/>
              <w:rPr>
                <w:b/>
                <w:sz w:val="24"/>
                <w:szCs w:val="24"/>
              </w:rPr>
            </w:pPr>
            <w:r w:rsidRPr="005D6F01">
              <w:rPr>
                <w:sz w:val="28"/>
                <w:szCs w:val="28"/>
              </w:rPr>
              <w:t>United Nations</w:t>
            </w:r>
          </w:p>
        </w:tc>
        <w:tc>
          <w:tcPr>
            <w:tcW w:w="6095" w:type="dxa"/>
            <w:gridSpan w:val="2"/>
            <w:tcBorders>
              <w:bottom w:val="single" w:sz="4" w:space="0" w:color="auto"/>
            </w:tcBorders>
            <w:vAlign w:val="bottom"/>
          </w:tcPr>
          <w:p w14:paraId="07DB708C" w14:textId="77777777" w:rsidR="009403D2" w:rsidRPr="005D6F01" w:rsidRDefault="009403D2" w:rsidP="00BF4DB0">
            <w:pPr>
              <w:suppressAutoHyphens w:val="0"/>
              <w:spacing w:after="20"/>
              <w:jc w:val="right"/>
            </w:pPr>
            <w:r w:rsidRPr="005D6F01">
              <w:rPr>
                <w:sz w:val="40"/>
              </w:rPr>
              <w:t>ECE</w:t>
            </w:r>
            <w:r w:rsidRPr="005D6F01">
              <w:t>/TRANS/WP.15/2</w:t>
            </w:r>
            <w:r>
              <w:t>44</w:t>
            </w:r>
          </w:p>
        </w:tc>
      </w:tr>
      <w:tr w:rsidR="009403D2" w:rsidRPr="005D6F01" w14:paraId="310BBDB1" w14:textId="77777777" w:rsidTr="00BF4DB0">
        <w:trPr>
          <w:cantSplit/>
          <w:trHeight w:hRule="exact" w:val="2835"/>
        </w:trPr>
        <w:tc>
          <w:tcPr>
            <w:tcW w:w="1276" w:type="dxa"/>
            <w:tcBorders>
              <w:top w:val="single" w:sz="4" w:space="0" w:color="auto"/>
              <w:bottom w:val="single" w:sz="12" w:space="0" w:color="auto"/>
            </w:tcBorders>
          </w:tcPr>
          <w:p w14:paraId="323C0564" w14:textId="77777777" w:rsidR="009403D2" w:rsidRPr="005D6F01" w:rsidRDefault="009403D2" w:rsidP="00BF4DB0">
            <w:pPr>
              <w:spacing w:before="120"/>
            </w:pPr>
            <w:r w:rsidRPr="005D6F01">
              <w:rPr>
                <w:noProof/>
              </w:rPr>
              <w:drawing>
                <wp:inline distT="0" distB="0" distL="0" distR="0" wp14:anchorId="2A78F2E3" wp14:editId="7D0AC228">
                  <wp:extent cx="714375" cy="590550"/>
                  <wp:effectExtent l="0" t="0" r="952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A79B41" w14:textId="77777777" w:rsidR="009403D2" w:rsidRPr="005D6F01" w:rsidRDefault="009403D2" w:rsidP="00BF4DB0">
            <w:pPr>
              <w:spacing w:before="120" w:line="420" w:lineRule="exact"/>
              <w:rPr>
                <w:sz w:val="40"/>
                <w:szCs w:val="40"/>
              </w:rPr>
            </w:pPr>
            <w:r w:rsidRPr="005D6F01">
              <w:rPr>
                <w:b/>
                <w:sz w:val="40"/>
                <w:szCs w:val="40"/>
              </w:rPr>
              <w:t>Economic and Social Council</w:t>
            </w:r>
          </w:p>
        </w:tc>
        <w:tc>
          <w:tcPr>
            <w:tcW w:w="2835" w:type="dxa"/>
            <w:tcBorders>
              <w:top w:val="single" w:sz="4" w:space="0" w:color="auto"/>
              <w:bottom w:val="single" w:sz="12" w:space="0" w:color="auto"/>
            </w:tcBorders>
          </w:tcPr>
          <w:p w14:paraId="0FFBE2DC" w14:textId="77777777" w:rsidR="009403D2" w:rsidRPr="005D6F01" w:rsidRDefault="009403D2" w:rsidP="00BF4DB0">
            <w:pPr>
              <w:suppressAutoHyphens w:val="0"/>
              <w:spacing w:before="240" w:line="240" w:lineRule="exact"/>
            </w:pPr>
            <w:r w:rsidRPr="005D6F01">
              <w:t>Distr.: General</w:t>
            </w:r>
          </w:p>
          <w:p w14:paraId="4D3AC805" w14:textId="6B14252B" w:rsidR="009403D2" w:rsidRPr="005D6F01" w:rsidRDefault="007A4C92" w:rsidP="00BF4DB0">
            <w:pPr>
              <w:suppressAutoHyphens w:val="0"/>
            </w:pPr>
            <w:r>
              <w:t>12</w:t>
            </w:r>
            <w:r w:rsidR="009403D2">
              <w:t xml:space="preserve"> December 2018</w:t>
            </w:r>
          </w:p>
          <w:p w14:paraId="63184733" w14:textId="77777777" w:rsidR="009403D2" w:rsidRPr="005D6F01" w:rsidRDefault="009403D2" w:rsidP="00BF4DB0">
            <w:pPr>
              <w:suppressAutoHyphens w:val="0"/>
            </w:pPr>
          </w:p>
          <w:p w14:paraId="35705222" w14:textId="77777777" w:rsidR="009403D2" w:rsidRPr="005D6F01" w:rsidRDefault="009403D2" w:rsidP="00BF4DB0">
            <w:pPr>
              <w:suppressAutoHyphens w:val="0"/>
            </w:pPr>
            <w:r>
              <w:t>Original: English</w:t>
            </w:r>
          </w:p>
        </w:tc>
      </w:tr>
    </w:tbl>
    <w:p w14:paraId="200237EE" w14:textId="66615DF3" w:rsidR="00336208" w:rsidRPr="00D725A0" w:rsidRDefault="00336208" w:rsidP="008A1F63">
      <w:pPr>
        <w:spacing w:before="120"/>
        <w:rPr>
          <w:b/>
          <w:sz w:val="28"/>
          <w:szCs w:val="28"/>
        </w:rPr>
      </w:pPr>
      <w:r w:rsidRPr="00D725A0">
        <w:rPr>
          <w:b/>
          <w:sz w:val="28"/>
          <w:szCs w:val="28"/>
        </w:rPr>
        <w:t>Economic Commission for Europe</w:t>
      </w:r>
    </w:p>
    <w:p w14:paraId="1028739D" w14:textId="77777777" w:rsidR="00336208" w:rsidRPr="00D725A0" w:rsidRDefault="00336208" w:rsidP="000462FE">
      <w:pPr>
        <w:spacing w:before="120"/>
        <w:rPr>
          <w:sz w:val="28"/>
          <w:szCs w:val="28"/>
        </w:rPr>
      </w:pPr>
      <w:r w:rsidRPr="00D725A0">
        <w:rPr>
          <w:sz w:val="28"/>
          <w:szCs w:val="28"/>
        </w:rPr>
        <w:t>Inland Transport Committee</w:t>
      </w:r>
    </w:p>
    <w:p w14:paraId="7AE812D1" w14:textId="77777777" w:rsidR="00336208" w:rsidRPr="00D725A0" w:rsidRDefault="00336208" w:rsidP="000462FE">
      <w:pPr>
        <w:spacing w:before="120"/>
        <w:rPr>
          <w:b/>
          <w:sz w:val="24"/>
          <w:szCs w:val="24"/>
        </w:rPr>
      </w:pPr>
      <w:r w:rsidRPr="00D725A0">
        <w:rPr>
          <w:b/>
          <w:sz w:val="24"/>
          <w:szCs w:val="24"/>
        </w:rPr>
        <w:t>Working Party on the Transport of Dangerous Goods</w:t>
      </w:r>
    </w:p>
    <w:p w14:paraId="3426D263" w14:textId="77777777" w:rsidR="00336208" w:rsidRPr="00D725A0" w:rsidRDefault="00C652EF" w:rsidP="000462FE">
      <w:pPr>
        <w:spacing w:before="120"/>
        <w:rPr>
          <w:rFonts w:eastAsia="SimSun"/>
          <w:b/>
        </w:rPr>
      </w:pPr>
      <w:r>
        <w:rPr>
          <w:rFonts w:eastAsia="SimSun"/>
          <w:b/>
        </w:rPr>
        <w:t>105th</w:t>
      </w:r>
      <w:r w:rsidR="00336208" w:rsidRPr="00D725A0">
        <w:rPr>
          <w:rFonts w:eastAsia="SimSun"/>
          <w:b/>
        </w:rPr>
        <w:t xml:space="preserve"> session </w:t>
      </w:r>
    </w:p>
    <w:p w14:paraId="5062008C" w14:textId="77777777" w:rsidR="00336208" w:rsidRPr="00D725A0" w:rsidRDefault="00336208" w:rsidP="005C7D46">
      <w:r w:rsidRPr="00D725A0">
        <w:t>Geneva, 6</w:t>
      </w:r>
      <w:r w:rsidR="005C7D46" w:rsidRPr="00D725A0">
        <w:t>–</w:t>
      </w:r>
      <w:r w:rsidR="00C652EF">
        <w:t>9 November 2018</w:t>
      </w:r>
      <w:r w:rsidRPr="00D725A0">
        <w:t xml:space="preserve"> </w:t>
      </w:r>
    </w:p>
    <w:p w14:paraId="5ABBD9DE" w14:textId="77777777" w:rsidR="00336208" w:rsidRPr="00D725A0" w:rsidRDefault="00336208" w:rsidP="000462FE">
      <w:pPr>
        <w:pStyle w:val="HChG"/>
      </w:pPr>
      <w:r w:rsidRPr="00D725A0">
        <w:tab/>
      </w:r>
      <w:r w:rsidRPr="00D725A0">
        <w:tab/>
      </w:r>
      <w:bookmarkStart w:id="0" w:name="_Toc499903628"/>
      <w:r w:rsidRPr="00D725A0">
        <w:t>Report o</w:t>
      </w:r>
      <w:r w:rsidR="00C652EF">
        <w:t>f the Working Party on its 105th</w:t>
      </w:r>
      <w:r w:rsidRPr="00D725A0">
        <w:t xml:space="preserve"> session</w:t>
      </w:r>
      <w:bookmarkEnd w:id="0"/>
    </w:p>
    <w:p w14:paraId="73A1FFC6" w14:textId="77777777" w:rsidR="00336208" w:rsidRPr="00D725A0" w:rsidRDefault="00C652EF" w:rsidP="003009FF">
      <w:pPr>
        <w:pStyle w:val="SingleTxtG"/>
      </w:pPr>
      <w:r>
        <w:t>held in Geneva from 6 to 9 November 2018</w:t>
      </w:r>
    </w:p>
    <w:p w14:paraId="28DE3EE0" w14:textId="1BBD5F97" w:rsidR="003009FF" w:rsidRDefault="003009FF" w:rsidP="003009FF">
      <w:pPr>
        <w:spacing w:after="120"/>
        <w:rPr>
          <w:sz w:val="28"/>
        </w:rPr>
      </w:pPr>
      <w:r w:rsidRPr="00D725A0">
        <w:rPr>
          <w:sz w:val="28"/>
        </w:rPr>
        <w:t>Contents</w:t>
      </w:r>
    </w:p>
    <w:p w14:paraId="3166F971" w14:textId="77777777" w:rsidR="00C33456" w:rsidRPr="004F7E05" w:rsidRDefault="00C33456" w:rsidP="00C33456">
      <w:pPr>
        <w:tabs>
          <w:tab w:val="right" w:pos="8929"/>
          <w:tab w:val="right" w:pos="9638"/>
        </w:tabs>
        <w:spacing w:after="240"/>
        <w:ind w:left="283"/>
      </w:pPr>
      <w:r w:rsidRPr="00D725A0">
        <w:rPr>
          <w:i/>
          <w:sz w:val="18"/>
        </w:rPr>
        <w:tab/>
      </w:r>
      <w:r w:rsidRPr="004F7E05">
        <w:rPr>
          <w:i/>
          <w:sz w:val="18"/>
        </w:rPr>
        <w:t>Paragraphs</w:t>
      </w:r>
      <w:r w:rsidRPr="004F7E05">
        <w:rPr>
          <w:i/>
          <w:sz w:val="18"/>
        </w:rPr>
        <w:tab/>
        <w:t>Page</w:t>
      </w:r>
    </w:p>
    <w:p w14:paraId="567C3EF0"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t>I.</w:t>
      </w:r>
      <w:r w:rsidRPr="004F7E05">
        <w:tab/>
        <w:t>Attendance</w:t>
      </w:r>
      <w:r w:rsidRPr="004F7E05">
        <w:tab/>
      </w:r>
      <w:r w:rsidRPr="004F7E05">
        <w:tab/>
        <w:t>1–6</w:t>
      </w:r>
      <w:r w:rsidRPr="004F7E05">
        <w:tab/>
        <w:t>4</w:t>
      </w:r>
    </w:p>
    <w:p w14:paraId="778763B0" w14:textId="77777777" w:rsidR="00C33456" w:rsidRPr="004F7E05" w:rsidRDefault="00C33456" w:rsidP="00C33456">
      <w:pPr>
        <w:tabs>
          <w:tab w:val="right" w:pos="850"/>
          <w:tab w:val="left" w:pos="1134"/>
          <w:tab w:val="left" w:pos="1559"/>
          <w:tab w:val="left" w:pos="1984"/>
          <w:tab w:val="left" w:leader="dot" w:pos="7654"/>
          <w:tab w:val="right" w:pos="8929"/>
          <w:tab w:val="right" w:pos="9638"/>
        </w:tabs>
        <w:spacing w:after="240"/>
      </w:pPr>
      <w:r w:rsidRPr="004F7E05">
        <w:tab/>
        <w:t>II.</w:t>
      </w:r>
      <w:r w:rsidRPr="004F7E05">
        <w:tab/>
        <w:t>Adoption of the agenda (agenda item 1)</w:t>
      </w:r>
      <w:r w:rsidRPr="004F7E05">
        <w:tab/>
      </w:r>
      <w:r w:rsidRPr="004F7E05">
        <w:tab/>
        <w:t>7</w:t>
      </w:r>
      <w:r w:rsidRPr="004F7E05">
        <w:tab/>
        <w:t>4</w:t>
      </w:r>
    </w:p>
    <w:p w14:paraId="2008435C"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t>III.</w:t>
      </w:r>
      <w:r w:rsidRPr="004F7E05">
        <w:tab/>
      </w:r>
      <w:r w:rsidRPr="004F7E05">
        <w:rPr>
          <w:szCs w:val="28"/>
        </w:rPr>
        <w:t>Eightieth session of the Inland Transport Committee</w:t>
      </w:r>
      <w:r w:rsidRPr="004F7E05">
        <w:t xml:space="preserve"> (agenda item 2)</w:t>
      </w:r>
      <w:r w:rsidRPr="004F7E05">
        <w:tab/>
      </w:r>
      <w:r w:rsidRPr="004F7E05">
        <w:tab/>
        <w:t>8–10</w:t>
      </w:r>
      <w:r w:rsidRPr="004F7E05">
        <w:tab/>
        <w:t>4</w:t>
      </w:r>
    </w:p>
    <w:p w14:paraId="780CF3F7" w14:textId="77777777" w:rsidR="00C33456" w:rsidRPr="004F7E05" w:rsidRDefault="00C33456" w:rsidP="00C33456">
      <w:pPr>
        <w:tabs>
          <w:tab w:val="right" w:pos="850"/>
          <w:tab w:val="left" w:pos="1134"/>
          <w:tab w:val="left" w:pos="1559"/>
          <w:tab w:val="left" w:pos="1984"/>
          <w:tab w:val="left" w:leader="dot" w:pos="7654"/>
          <w:tab w:val="right" w:pos="8929"/>
          <w:tab w:val="right" w:pos="9638"/>
        </w:tabs>
        <w:spacing w:after="240"/>
      </w:pPr>
      <w:r w:rsidRPr="004F7E05">
        <w:tab/>
        <w:t>IV.</w:t>
      </w:r>
      <w:r w:rsidRPr="004F7E05">
        <w:tab/>
        <w:t>Status of the European Agreement concerning the International Carriage</w:t>
      </w:r>
      <w:r w:rsidRPr="004F7E05">
        <w:br/>
      </w:r>
      <w:r w:rsidRPr="004F7E05">
        <w:tab/>
      </w:r>
      <w:r w:rsidRPr="004F7E05">
        <w:tab/>
        <w:t>of Dangerous Goods by Road (ADR) and related issues (agenda item 3)</w:t>
      </w:r>
      <w:r w:rsidRPr="004F7E05">
        <w:tab/>
      </w:r>
      <w:r w:rsidRPr="004F7E05">
        <w:tab/>
        <w:t>11–20</w:t>
      </w:r>
      <w:r w:rsidRPr="004F7E05">
        <w:tab/>
        <w:t>5</w:t>
      </w:r>
    </w:p>
    <w:p w14:paraId="23F838E1"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r>
      <w:r w:rsidRPr="004F7E05">
        <w:tab/>
        <w:t>A.</w:t>
      </w:r>
      <w:r w:rsidRPr="004F7E05">
        <w:tab/>
        <w:t>Status of the Agreement and the Protocol of amendment of 1993</w:t>
      </w:r>
      <w:r w:rsidRPr="004F7E05">
        <w:tab/>
      </w:r>
      <w:r w:rsidRPr="004F7E05">
        <w:tab/>
        <w:t>11–13</w:t>
      </w:r>
      <w:r w:rsidRPr="004F7E05">
        <w:tab/>
        <w:t>5</w:t>
      </w:r>
    </w:p>
    <w:p w14:paraId="04AAC3D1"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r>
      <w:r w:rsidRPr="004F7E05">
        <w:tab/>
        <w:t>B.</w:t>
      </w:r>
      <w:r w:rsidRPr="004F7E05">
        <w:tab/>
        <w:t>Change of the current title of the ADR</w:t>
      </w:r>
      <w:r w:rsidRPr="004F7E05">
        <w:tab/>
      </w:r>
      <w:r w:rsidRPr="004F7E05">
        <w:tab/>
        <w:t>14–17</w:t>
      </w:r>
      <w:r w:rsidRPr="004F7E05">
        <w:tab/>
        <w:t>5</w:t>
      </w:r>
    </w:p>
    <w:p w14:paraId="2626E59F"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r>
      <w:r w:rsidRPr="004F7E05">
        <w:tab/>
        <w:t>C.</w:t>
      </w:r>
      <w:r w:rsidRPr="004F7E05">
        <w:tab/>
      </w:r>
      <w:proofErr w:type="spellStart"/>
      <w:r w:rsidRPr="004F7E05">
        <w:t>EuroMed</w:t>
      </w:r>
      <w:proofErr w:type="spellEnd"/>
      <w:r w:rsidRPr="004F7E05">
        <w:t xml:space="preserve"> Transport Project</w:t>
      </w:r>
      <w:r w:rsidRPr="004F7E05">
        <w:tab/>
      </w:r>
      <w:r w:rsidRPr="004F7E05">
        <w:tab/>
        <w:t>18-20</w:t>
      </w:r>
      <w:r w:rsidRPr="004F7E05">
        <w:tab/>
        <w:t>6</w:t>
      </w:r>
    </w:p>
    <w:p w14:paraId="3D43BD2F"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t>V.</w:t>
      </w:r>
      <w:r w:rsidRPr="004F7E05">
        <w:tab/>
        <w:t>Work of the RID/ADR/ADN Joint Meeting (agenda item 4)</w:t>
      </w:r>
      <w:r w:rsidRPr="004F7E05">
        <w:tab/>
      </w:r>
      <w:r w:rsidRPr="004F7E05">
        <w:tab/>
        <w:t>21–27</w:t>
      </w:r>
      <w:r w:rsidRPr="004F7E05">
        <w:tab/>
        <w:t>6</w:t>
      </w:r>
    </w:p>
    <w:p w14:paraId="6ABD854B"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r>
      <w:r w:rsidRPr="004F7E05">
        <w:tab/>
        <w:t>A.</w:t>
      </w:r>
      <w:r w:rsidRPr="004F7E05">
        <w:tab/>
        <w:t xml:space="preserve">Amendments proposed by the Joint Meeting at its spring and </w:t>
      </w:r>
      <w:r w:rsidRPr="004F7E05">
        <w:br/>
      </w:r>
      <w:r w:rsidRPr="004F7E05">
        <w:tab/>
      </w:r>
      <w:r w:rsidRPr="004F7E05">
        <w:tab/>
      </w:r>
      <w:r w:rsidRPr="004F7E05">
        <w:tab/>
        <w:t>autumn 2018 sessions</w:t>
      </w:r>
      <w:r w:rsidRPr="004F7E05">
        <w:tab/>
      </w:r>
      <w:r w:rsidRPr="004F7E05">
        <w:tab/>
        <w:t>21-24</w:t>
      </w:r>
      <w:r w:rsidRPr="004F7E05">
        <w:tab/>
        <w:t>6</w:t>
      </w:r>
    </w:p>
    <w:p w14:paraId="03AF8A8E"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r>
      <w:r w:rsidRPr="004F7E05">
        <w:tab/>
        <w:t>B.</w:t>
      </w:r>
      <w:r w:rsidRPr="004F7E05">
        <w:tab/>
      </w:r>
      <w:r w:rsidRPr="004F7E05">
        <w:rPr>
          <w:rFonts w:eastAsia="SimSun"/>
        </w:rPr>
        <w:t>Other issues</w:t>
      </w:r>
      <w:r w:rsidRPr="004F7E05">
        <w:tab/>
      </w:r>
      <w:r w:rsidRPr="004F7E05">
        <w:tab/>
        <w:t>25-27</w:t>
      </w:r>
      <w:r w:rsidRPr="004F7E05">
        <w:tab/>
        <w:t>7</w:t>
      </w:r>
    </w:p>
    <w:p w14:paraId="00632A2E"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t>VI.</w:t>
      </w:r>
      <w:r w:rsidRPr="004F7E05">
        <w:tab/>
        <w:t>Proposals for amendments to Annexes A and B of ADR (agenda item 5)</w:t>
      </w:r>
      <w:r w:rsidRPr="004F7E05">
        <w:tab/>
      </w:r>
      <w:r w:rsidRPr="004F7E05">
        <w:tab/>
      </w:r>
      <w:r>
        <w:t>28-55</w:t>
      </w:r>
      <w:r w:rsidRPr="004F7E05">
        <w:tab/>
        <w:t>7</w:t>
      </w:r>
    </w:p>
    <w:p w14:paraId="7755C9D9"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r>
      <w:r w:rsidRPr="004F7E05">
        <w:tab/>
        <w:t>A.</w:t>
      </w:r>
      <w:r w:rsidRPr="004F7E05">
        <w:tab/>
        <w:t>Construction and approval of vehicles</w:t>
      </w:r>
      <w:r w:rsidRPr="004F7E05">
        <w:tab/>
      </w:r>
      <w:r w:rsidRPr="004F7E05">
        <w:tab/>
        <w:t>28–33</w:t>
      </w:r>
      <w:r w:rsidRPr="004F7E05">
        <w:tab/>
        <w:t>7</w:t>
      </w:r>
    </w:p>
    <w:p w14:paraId="312D914E"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r>
      <w:r w:rsidRPr="004F7E05">
        <w:tab/>
      </w:r>
      <w:r w:rsidRPr="004F7E05">
        <w:tab/>
        <w:t>1.</w:t>
      </w:r>
      <w:r w:rsidRPr="004F7E05">
        <w:tab/>
        <w:t xml:space="preserve">First inspection waiver for EX/II, EX/III, FL and AT vehicles and </w:t>
      </w:r>
      <w:r w:rsidRPr="004F7E05">
        <w:br/>
      </w:r>
      <w:r w:rsidRPr="004F7E05">
        <w:tab/>
      </w:r>
      <w:r w:rsidRPr="004F7E05">
        <w:tab/>
      </w:r>
      <w:r w:rsidRPr="004F7E05">
        <w:tab/>
      </w:r>
      <w:r w:rsidRPr="004F7E05">
        <w:tab/>
        <w:t xml:space="preserve">MEMUs type-approved in accordance with 9.1.2.2 for which a </w:t>
      </w:r>
      <w:r w:rsidRPr="004F7E05">
        <w:br/>
      </w:r>
      <w:r w:rsidRPr="004F7E05">
        <w:tab/>
      </w:r>
      <w:r w:rsidRPr="004F7E05">
        <w:tab/>
      </w:r>
      <w:r w:rsidRPr="004F7E05">
        <w:tab/>
      </w:r>
      <w:r w:rsidRPr="004F7E05">
        <w:tab/>
        <w:t xml:space="preserve">declaration of conformity with the requirements of Chapters 9.2 </w:t>
      </w:r>
      <w:r w:rsidRPr="004F7E05">
        <w:br/>
      </w:r>
      <w:r w:rsidRPr="004F7E05">
        <w:tab/>
      </w:r>
      <w:r w:rsidRPr="004F7E05">
        <w:tab/>
      </w:r>
      <w:r w:rsidRPr="004F7E05">
        <w:tab/>
      </w:r>
      <w:r w:rsidRPr="004F7E05">
        <w:tab/>
        <w:t>to 9.8 has been issued</w:t>
      </w:r>
      <w:r w:rsidRPr="004F7E05">
        <w:tab/>
      </w:r>
      <w:r w:rsidRPr="004F7E05">
        <w:tab/>
        <w:t>28-29</w:t>
      </w:r>
      <w:r w:rsidRPr="004F7E05">
        <w:tab/>
        <w:t>7</w:t>
      </w:r>
    </w:p>
    <w:p w14:paraId="3C2C2EC9"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lastRenderedPageBreak/>
        <w:tab/>
      </w:r>
      <w:r w:rsidRPr="004F7E05">
        <w:tab/>
      </w:r>
      <w:r w:rsidRPr="004F7E05">
        <w:tab/>
        <w:t>2.</w:t>
      </w:r>
      <w:r w:rsidRPr="004F7E05">
        <w:tab/>
      </w:r>
      <w:r w:rsidRPr="004F7E05">
        <w:rPr>
          <w:rFonts w:eastAsiaTheme="minorEastAsia"/>
        </w:rPr>
        <w:t>Implementation of the requirements of 9.2.2.2.1 of ADR on cables</w:t>
      </w:r>
      <w:r w:rsidRPr="004F7E05">
        <w:tab/>
      </w:r>
      <w:r w:rsidRPr="004F7E05">
        <w:tab/>
        <w:t>30</w:t>
      </w:r>
      <w:r w:rsidRPr="004F7E05">
        <w:tab/>
        <w:t>7</w:t>
      </w:r>
    </w:p>
    <w:p w14:paraId="060B9982"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r>
      <w:r w:rsidRPr="004F7E05">
        <w:tab/>
      </w:r>
      <w:r w:rsidRPr="004F7E05">
        <w:tab/>
        <w:t>3.</w:t>
      </w:r>
      <w:r w:rsidRPr="004F7E05">
        <w:tab/>
      </w:r>
      <w:r w:rsidRPr="004F7E05">
        <w:rPr>
          <w:rFonts w:eastAsiaTheme="minorEastAsia"/>
        </w:rPr>
        <w:t xml:space="preserve">Use of electric and hybrid electric vehicles for the carriage of </w:t>
      </w:r>
      <w:r w:rsidRPr="004F7E05">
        <w:rPr>
          <w:rFonts w:eastAsiaTheme="minorEastAsia"/>
        </w:rPr>
        <w:br/>
      </w:r>
      <w:r w:rsidRPr="004F7E05">
        <w:rPr>
          <w:rFonts w:eastAsiaTheme="minorEastAsia"/>
        </w:rPr>
        <w:tab/>
      </w:r>
      <w:r w:rsidRPr="004F7E05">
        <w:rPr>
          <w:rFonts w:eastAsiaTheme="minorEastAsia"/>
        </w:rPr>
        <w:tab/>
      </w:r>
      <w:r w:rsidRPr="004F7E05">
        <w:rPr>
          <w:rFonts w:eastAsiaTheme="minorEastAsia"/>
        </w:rPr>
        <w:tab/>
      </w:r>
      <w:r w:rsidRPr="004F7E05">
        <w:rPr>
          <w:rFonts w:eastAsiaTheme="minorEastAsia"/>
        </w:rPr>
        <w:tab/>
        <w:t>dangerous goods</w:t>
      </w:r>
      <w:r w:rsidRPr="004F7E05">
        <w:tab/>
      </w:r>
      <w:r w:rsidRPr="004F7E05">
        <w:tab/>
        <w:t>31-33</w:t>
      </w:r>
      <w:r w:rsidRPr="004F7E05">
        <w:tab/>
        <w:t>8</w:t>
      </w:r>
    </w:p>
    <w:p w14:paraId="060CC475"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r>
      <w:r w:rsidRPr="004F7E05">
        <w:tab/>
        <w:t>B.</w:t>
      </w:r>
      <w:r w:rsidRPr="004F7E05">
        <w:tab/>
        <w:t>Miscellaneous proposals</w:t>
      </w:r>
      <w:r w:rsidRPr="004F7E05">
        <w:tab/>
      </w:r>
      <w:r w:rsidRPr="004F7E05">
        <w:tab/>
      </w:r>
      <w:r>
        <w:t>34-55</w:t>
      </w:r>
      <w:r w:rsidRPr="004F7E05">
        <w:tab/>
        <w:t>8</w:t>
      </w:r>
    </w:p>
    <w:p w14:paraId="32D960C5"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r>
      <w:r w:rsidRPr="004F7E05">
        <w:tab/>
      </w:r>
      <w:r w:rsidRPr="004F7E05">
        <w:tab/>
        <w:t>1.</w:t>
      </w:r>
      <w:r w:rsidRPr="004F7E05">
        <w:tab/>
      </w:r>
      <w:r w:rsidRPr="004F7E05">
        <w:rPr>
          <w:rFonts w:eastAsiaTheme="minorEastAsia"/>
        </w:rPr>
        <w:t xml:space="preserve">Correction to footnote b of the instructions in writing </w:t>
      </w:r>
      <w:r w:rsidRPr="004F7E05">
        <w:rPr>
          <w:rFonts w:eastAsiaTheme="minorEastAsia"/>
        </w:rPr>
        <w:br/>
      </w:r>
      <w:r w:rsidRPr="004F7E05">
        <w:rPr>
          <w:rFonts w:eastAsiaTheme="minorEastAsia"/>
        </w:rPr>
        <w:tab/>
      </w:r>
      <w:r w:rsidRPr="004F7E05">
        <w:rPr>
          <w:rFonts w:eastAsiaTheme="minorEastAsia"/>
        </w:rPr>
        <w:tab/>
      </w:r>
      <w:r w:rsidRPr="004F7E05">
        <w:rPr>
          <w:rFonts w:eastAsiaTheme="minorEastAsia"/>
        </w:rPr>
        <w:tab/>
      </w:r>
      <w:r w:rsidRPr="004F7E05">
        <w:rPr>
          <w:rFonts w:eastAsiaTheme="minorEastAsia"/>
        </w:rPr>
        <w:tab/>
        <w:t>(paragraph 5.4.3.4)</w:t>
      </w:r>
      <w:r w:rsidRPr="004F7E05">
        <w:tab/>
      </w:r>
      <w:r w:rsidRPr="004F7E05">
        <w:tab/>
        <w:t>34-36</w:t>
      </w:r>
      <w:r w:rsidRPr="004F7E05">
        <w:tab/>
        <w:t>8</w:t>
      </w:r>
    </w:p>
    <w:p w14:paraId="58623C1B"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r>
      <w:r w:rsidRPr="004F7E05">
        <w:tab/>
      </w:r>
      <w:r w:rsidRPr="004F7E05">
        <w:tab/>
        <w:t>2.</w:t>
      </w:r>
      <w:r w:rsidRPr="004F7E05">
        <w:tab/>
      </w:r>
      <w:r w:rsidRPr="004F7E05">
        <w:rPr>
          <w:rFonts w:eastAsiaTheme="minorEastAsia"/>
        </w:rPr>
        <w:t xml:space="preserve">Layout of the ADR training certificate in accordance with 8.2.2.8.3 </w:t>
      </w:r>
      <w:r w:rsidRPr="004F7E05">
        <w:rPr>
          <w:rFonts w:eastAsiaTheme="minorEastAsia"/>
        </w:rPr>
        <w:br/>
      </w:r>
      <w:r w:rsidRPr="004F7E05">
        <w:rPr>
          <w:rFonts w:eastAsiaTheme="minorEastAsia"/>
        </w:rPr>
        <w:tab/>
      </w:r>
      <w:r w:rsidRPr="004F7E05">
        <w:rPr>
          <w:rFonts w:eastAsiaTheme="minorEastAsia"/>
        </w:rPr>
        <w:tab/>
      </w:r>
      <w:r w:rsidRPr="004F7E05">
        <w:rPr>
          <w:rFonts w:eastAsiaTheme="minorEastAsia"/>
        </w:rPr>
        <w:tab/>
      </w:r>
      <w:r w:rsidRPr="004F7E05">
        <w:rPr>
          <w:rFonts w:eastAsiaTheme="minorEastAsia"/>
        </w:rPr>
        <w:tab/>
        <w:t xml:space="preserve">in conjunction with 8.2.2.8.5 of ADR – admissibility of </w:t>
      </w:r>
      <w:r w:rsidRPr="004F7E05">
        <w:rPr>
          <w:rFonts w:eastAsiaTheme="minorEastAsia"/>
        </w:rPr>
        <w:br/>
      </w:r>
      <w:r w:rsidRPr="004F7E05">
        <w:rPr>
          <w:rFonts w:eastAsiaTheme="minorEastAsia"/>
        </w:rPr>
        <w:tab/>
      </w:r>
      <w:r w:rsidRPr="004F7E05">
        <w:rPr>
          <w:rFonts w:eastAsiaTheme="minorEastAsia"/>
        </w:rPr>
        <w:tab/>
      </w:r>
      <w:r w:rsidRPr="004F7E05">
        <w:rPr>
          <w:rFonts w:eastAsiaTheme="minorEastAsia"/>
        </w:rPr>
        <w:tab/>
      </w:r>
      <w:r w:rsidRPr="004F7E05">
        <w:rPr>
          <w:rFonts w:eastAsiaTheme="minorEastAsia"/>
        </w:rPr>
        <w:tab/>
        <w:t>additional information on the back</w:t>
      </w:r>
      <w:r w:rsidRPr="004F7E05">
        <w:tab/>
      </w:r>
      <w:r w:rsidRPr="004F7E05">
        <w:tab/>
      </w:r>
      <w:r>
        <w:t>37-39</w:t>
      </w:r>
      <w:r w:rsidRPr="004F7E05">
        <w:tab/>
        <w:t>8</w:t>
      </w:r>
    </w:p>
    <w:p w14:paraId="4BA8D025"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r>
      <w:r w:rsidRPr="004F7E05">
        <w:tab/>
      </w:r>
      <w:r w:rsidRPr="004F7E05">
        <w:tab/>
        <w:t>3.</w:t>
      </w:r>
      <w:r w:rsidRPr="004F7E05">
        <w:tab/>
      </w:r>
      <w:r w:rsidRPr="004F7E05">
        <w:rPr>
          <w:rFonts w:eastAsiaTheme="minorEastAsia"/>
        </w:rPr>
        <w:t>Amendment to the text of 9.1.3.2</w:t>
      </w:r>
      <w:r w:rsidRPr="004F7E05">
        <w:tab/>
      </w:r>
      <w:r w:rsidRPr="004F7E05">
        <w:tab/>
      </w:r>
      <w:r>
        <w:t>40</w:t>
      </w:r>
      <w:r w:rsidRPr="004F7E05">
        <w:tab/>
        <w:t>9</w:t>
      </w:r>
    </w:p>
    <w:p w14:paraId="2645EA58"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r>
      <w:r w:rsidRPr="004F7E05">
        <w:tab/>
      </w:r>
      <w:r w:rsidRPr="004F7E05">
        <w:tab/>
        <w:t>4.</w:t>
      </w:r>
      <w:r w:rsidRPr="004F7E05">
        <w:tab/>
      </w:r>
      <w:r w:rsidRPr="004F7E05">
        <w:rPr>
          <w:rFonts w:eastAsiaTheme="minorEastAsia"/>
        </w:rPr>
        <w:t>Amendment to the text of 6.8.2.5.1</w:t>
      </w:r>
      <w:r w:rsidRPr="004F7E05">
        <w:tab/>
      </w:r>
      <w:r w:rsidRPr="004F7E05">
        <w:tab/>
      </w:r>
      <w:r>
        <w:t>41</w:t>
      </w:r>
      <w:r w:rsidRPr="004F7E05">
        <w:tab/>
        <w:t>9</w:t>
      </w:r>
    </w:p>
    <w:p w14:paraId="633BEFB5"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r>
      <w:r w:rsidRPr="004F7E05">
        <w:tab/>
      </w:r>
      <w:r w:rsidRPr="004F7E05">
        <w:tab/>
        <w:t>5.</w:t>
      </w:r>
      <w:r w:rsidRPr="004F7E05">
        <w:tab/>
      </w:r>
      <w:r>
        <w:rPr>
          <w:rFonts w:eastAsiaTheme="minorEastAsia"/>
        </w:rPr>
        <w:t>C</w:t>
      </w:r>
      <w:r w:rsidRPr="000A1272">
        <w:rPr>
          <w:rFonts w:eastAsiaTheme="minorEastAsia"/>
        </w:rPr>
        <w:t>larification of the scope of 9.1.3.4</w:t>
      </w:r>
      <w:r w:rsidRPr="004F7E05">
        <w:tab/>
      </w:r>
      <w:r w:rsidRPr="004F7E05">
        <w:tab/>
        <w:t>4</w:t>
      </w:r>
      <w:r>
        <w:t>2</w:t>
      </w:r>
      <w:r w:rsidRPr="004F7E05">
        <w:t>-4</w:t>
      </w:r>
      <w:r>
        <w:t>3</w:t>
      </w:r>
      <w:r w:rsidRPr="004F7E05">
        <w:tab/>
        <w:t>9</w:t>
      </w:r>
    </w:p>
    <w:p w14:paraId="0D67E65F"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r>
      <w:r w:rsidRPr="004F7E05">
        <w:tab/>
      </w:r>
      <w:r w:rsidRPr="004F7E05">
        <w:tab/>
        <w:t>6.</w:t>
      </w:r>
      <w:r w:rsidRPr="004F7E05">
        <w:tab/>
      </w:r>
      <w:r w:rsidRPr="00490E69">
        <w:rPr>
          <w:rFonts w:eastAsiaTheme="minorEastAsia"/>
        </w:rPr>
        <w:t xml:space="preserve">Exemption of fire-fighting equipment for the carriage of Class 7 </w:t>
      </w:r>
      <w:r>
        <w:rPr>
          <w:rFonts w:eastAsiaTheme="minorEastAsia"/>
        </w:rPr>
        <w:br/>
      </w:r>
      <w:r>
        <w:rPr>
          <w:rFonts w:eastAsiaTheme="minorEastAsia"/>
        </w:rPr>
        <w:tab/>
      </w:r>
      <w:r>
        <w:rPr>
          <w:rFonts w:eastAsiaTheme="minorEastAsia"/>
        </w:rPr>
        <w:tab/>
      </w:r>
      <w:r>
        <w:rPr>
          <w:rFonts w:eastAsiaTheme="minorEastAsia"/>
        </w:rPr>
        <w:tab/>
      </w:r>
      <w:r>
        <w:rPr>
          <w:rFonts w:eastAsiaTheme="minorEastAsia"/>
        </w:rPr>
        <w:tab/>
      </w:r>
      <w:r w:rsidRPr="00490E69">
        <w:rPr>
          <w:rFonts w:eastAsiaTheme="minorEastAsia"/>
        </w:rPr>
        <w:t>excepted packages with limited activity levels by post services</w:t>
      </w:r>
      <w:r w:rsidRPr="004F7E05">
        <w:tab/>
      </w:r>
      <w:r w:rsidRPr="004F7E05">
        <w:tab/>
        <w:t>4</w:t>
      </w:r>
      <w:r>
        <w:t>4-46</w:t>
      </w:r>
      <w:r w:rsidRPr="004F7E05">
        <w:tab/>
        <w:t>9</w:t>
      </w:r>
    </w:p>
    <w:p w14:paraId="65FD8867"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r>
      <w:r w:rsidRPr="004F7E05">
        <w:tab/>
      </w:r>
      <w:r w:rsidRPr="004F7E05">
        <w:tab/>
        <w:t>7.</w:t>
      </w:r>
      <w:r w:rsidRPr="004F7E05">
        <w:tab/>
      </w:r>
      <w:r w:rsidRPr="004F7E05">
        <w:rPr>
          <w:rFonts w:eastAsiaTheme="minorEastAsia"/>
        </w:rPr>
        <w:t>Online refresher training for drivers of dangerous goods</w:t>
      </w:r>
      <w:r w:rsidRPr="004F7E05">
        <w:tab/>
      </w:r>
      <w:r w:rsidRPr="004F7E05">
        <w:tab/>
        <w:t>4</w:t>
      </w:r>
      <w:r>
        <w:t>7</w:t>
      </w:r>
      <w:r w:rsidRPr="004F7E05">
        <w:t>-4</w:t>
      </w:r>
      <w:r>
        <w:t>8</w:t>
      </w:r>
      <w:r w:rsidRPr="004F7E05">
        <w:tab/>
        <w:t>10</w:t>
      </w:r>
    </w:p>
    <w:p w14:paraId="4A66B29B"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r>
      <w:r w:rsidRPr="004F7E05">
        <w:tab/>
      </w:r>
      <w:r w:rsidRPr="004F7E05">
        <w:tab/>
        <w:t>8.</w:t>
      </w:r>
      <w:r w:rsidRPr="004F7E05">
        <w:tab/>
      </w:r>
      <w:r w:rsidRPr="004F7E05">
        <w:rPr>
          <w:rFonts w:eastAsiaTheme="minorEastAsia"/>
        </w:rPr>
        <w:t>Proposal to add a footnote to the table in 1.1.3.2 to define Nm</w:t>
      </w:r>
      <w:r w:rsidRPr="004F7E05">
        <w:rPr>
          <w:rFonts w:eastAsiaTheme="minorEastAsia"/>
          <w:vertAlign w:val="superscript"/>
        </w:rPr>
        <w:t>2</w:t>
      </w:r>
      <w:r>
        <w:tab/>
      </w:r>
      <w:r>
        <w:tab/>
        <w:t>49</w:t>
      </w:r>
      <w:r w:rsidRPr="004F7E05">
        <w:tab/>
        <w:t>10</w:t>
      </w:r>
    </w:p>
    <w:p w14:paraId="60DEC052"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rPr>
          <w:rFonts w:eastAsiaTheme="minorEastAsia"/>
        </w:rPr>
      </w:pPr>
      <w:r w:rsidRPr="004F7E05">
        <w:tab/>
      </w:r>
      <w:r w:rsidRPr="004F7E05">
        <w:tab/>
      </w:r>
      <w:r w:rsidRPr="004F7E05">
        <w:tab/>
      </w:r>
      <w:r w:rsidRPr="004F7E05">
        <w:rPr>
          <w:rFonts w:eastAsiaTheme="minorEastAsia"/>
        </w:rPr>
        <w:t>9.</w:t>
      </w:r>
      <w:r w:rsidRPr="004F7E05">
        <w:rPr>
          <w:rFonts w:eastAsiaTheme="minorEastAsia"/>
        </w:rPr>
        <w:tab/>
        <w:t>UN 3316 Chemical and first aid kits transport category</w:t>
      </w:r>
      <w:r w:rsidRPr="004F7E05">
        <w:rPr>
          <w:rFonts w:eastAsiaTheme="minorEastAsia"/>
        </w:rPr>
        <w:tab/>
      </w:r>
      <w:r w:rsidRPr="004F7E05">
        <w:rPr>
          <w:rFonts w:eastAsiaTheme="minorEastAsia"/>
        </w:rPr>
        <w:tab/>
      </w:r>
      <w:r>
        <w:rPr>
          <w:rFonts w:eastAsiaTheme="minorEastAsia"/>
        </w:rPr>
        <w:t>50-51</w:t>
      </w:r>
      <w:r w:rsidRPr="004F7E05">
        <w:rPr>
          <w:rFonts w:eastAsiaTheme="minorEastAsia"/>
        </w:rPr>
        <w:tab/>
        <w:t>10</w:t>
      </w:r>
    </w:p>
    <w:p w14:paraId="5C84E5BA"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rPr>
          <w:rFonts w:eastAsiaTheme="minorEastAsia"/>
        </w:rPr>
      </w:pPr>
      <w:r w:rsidRPr="004F7E05">
        <w:tab/>
      </w:r>
      <w:r w:rsidRPr="004F7E05">
        <w:tab/>
      </w:r>
      <w:r w:rsidRPr="004F7E05">
        <w:tab/>
      </w:r>
      <w:r w:rsidRPr="004F7E05">
        <w:rPr>
          <w:rFonts w:eastAsiaTheme="minorEastAsia"/>
        </w:rPr>
        <w:t>10.</w:t>
      </w:r>
      <w:r w:rsidRPr="004F7E05">
        <w:rPr>
          <w:rFonts w:eastAsiaTheme="minorEastAsia"/>
        </w:rPr>
        <w:tab/>
        <w:t>More than one trailer (or semi-trailer) in transport unit (8.1.1)</w:t>
      </w:r>
      <w:r w:rsidRPr="004F7E05">
        <w:rPr>
          <w:rFonts w:eastAsiaTheme="minorEastAsia"/>
        </w:rPr>
        <w:tab/>
      </w:r>
      <w:r w:rsidRPr="004F7E05">
        <w:rPr>
          <w:rFonts w:eastAsiaTheme="minorEastAsia"/>
        </w:rPr>
        <w:tab/>
      </w:r>
      <w:r>
        <w:rPr>
          <w:rFonts w:eastAsiaTheme="minorEastAsia"/>
        </w:rPr>
        <w:t>52-53</w:t>
      </w:r>
      <w:r w:rsidRPr="004F7E05">
        <w:rPr>
          <w:rFonts w:eastAsiaTheme="minorEastAsia"/>
        </w:rPr>
        <w:tab/>
        <w:t>10</w:t>
      </w:r>
    </w:p>
    <w:p w14:paraId="716DE589" w14:textId="3E972DC8"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rPr>
          <w:rFonts w:eastAsiaTheme="minorEastAsia"/>
        </w:rPr>
      </w:pPr>
      <w:r w:rsidRPr="004F7E05">
        <w:tab/>
      </w:r>
      <w:r w:rsidRPr="004F7E05">
        <w:tab/>
      </w:r>
      <w:r w:rsidRPr="004F7E05">
        <w:tab/>
      </w:r>
      <w:r w:rsidRPr="004F7E05">
        <w:rPr>
          <w:rFonts w:eastAsiaTheme="minorEastAsia"/>
        </w:rPr>
        <w:t>11.</w:t>
      </w:r>
      <w:r w:rsidRPr="004F7E05">
        <w:rPr>
          <w:rFonts w:eastAsiaTheme="minorEastAsia"/>
        </w:rPr>
        <w:tab/>
        <w:t>ADR driver training certificates from Contracting Parties</w:t>
      </w:r>
      <w:r w:rsidRPr="004F7E05">
        <w:rPr>
          <w:rFonts w:eastAsiaTheme="minorEastAsia"/>
        </w:rPr>
        <w:tab/>
      </w:r>
      <w:r w:rsidRPr="004F7E05">
        <w:rPr>
          <w:rFonts w:eastAsiaTheme="minorEastAsia"/>
        </w:rPr>
        <w:tab/>
        <w:t>5</w:t>
      </w:r>
      <w:r>
        <w:rPr>
          <w:rFonts w:eastAsiaTheme="minorEastAsia"/>
        </w:rPr>
        <w:t>4</w:t>
      </w:r>
      <w:r w:rsidRPr="004F7E05">
        <w:rPr>
          <w:rFonts w:eastAsiaTheme="minorEastAsia"/>
        </w:rPr>
        <w:tab/>
        <w:t>1</w:t>
      </w:r>
      <w:r w:rsidR="00146ABA">
        <w:rPr>
          <w:rFonts w:eastAsiaTheme="minorEastAsia"/>
        </w:rPr>
        <w:t>1</w:t>
      </w:r>
      <w:bookmarkStart w:id="1" w:name="_GoBack"/>
      <w:bookmarkEnd w:id="1"/>
    </w:p>
    <w:p w14:paraId="200BB83A"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rPr>
          <w:rFonts w:eastAsiaTheme="minorEastAsia"/>
        </w:rPr>
      </w:pPr>
      <w:r w:rsidRPr="004F7E05">
        <w:tab/>
      </w:r>
      <w:r w:rsidRPr="004F7E05">
        <w:tab/>
      </w:r>
      <w:r w:rsidRPr="004F7E05">
        <w:tab/>
      </w:r>
      <w:r w:rsidRPr="004F7E05">
        <w:rPr>
          <w:rFonts w:eastAsiaTheme="minorEastAsia"/>
        </w:rPr>
        <w:t>12.</w:t>
      </w:r>
      <w:r w:rsidRPr="004F7E05">
        <w:rPr>
          <w:rFonts w:eastAsiaTheme="minorEastAsia"/>
        </w:rPr>
        <w:tab/>
        <w:t>Clarification of the tunnel restriction code for UN3363</w:t>
      </w:r>
      <w:r w:rsidRPr="004F7E05">
        <w:rPr>
          <w:rFonts w:eastAsiaTheme="minorEastAsia"/>
        </w:rPr>
        <w:tab/>
      </w:r>
      <w:r w:rsidRPr="004F7E05">
        <w:rPr>
          <w:rFonts w:eastAsiaTheme="minorEastAsia"/>
        </w:rPr>
        <w:tab/>
        <w:t>5</w:t>
      </w:r>
      <w:r>
        <w:rPr>
          <w:rFonts w:eastAsiaTheme="minorEastAsia"/>
        </w:rPr>
        <w:t>5</w:t>
      </w:r>
      <w:r w:rsidRPr="004F7E05">
        <w:rPr>
          <w:rFonts w:eastAsiaTheme="minorEastAsia"/>
        </w:rPr>
        <w:tab/>
        <w:t>11</w:t>
      </w:r>
    </w:p>
    <w:p w14:paraId="7CA73B7E"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t>VII.</w:t>
      </w:r>
      <w:r w:rsidRPr="004F7E05">
        <w:tab/>
        <w:t>Interpretation of ADR (agenda item 6)</w:t>
      </w:r>
      <w:r w:rsidRPr="004F7E05">
        <w:tab/>
      </w:r>
      <w:r w:rsidRPr="004F7E05">
        <w:tab/>
        <w:t>5</w:t>
      </w:r>
      <w:r>
        <w:t>6-62</w:t>
      </w:r>
      <w:r w:rsidRPr="004F7E05">
        <w:tab/>
        <w:t>11</w:t>
      </w:r>
    </w:p>
    <w:p w14:paraId="36A25A58"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r>
      <w:r w:rsidRPr="004F7E05">
        <w:tab/>
      </w:r>
      <w:r w:rsidRPr="004F7E05">
        <w:tab/>
        <w:t>1.</w:t>
      </w:r>
      <w:r w:rsidRPr="004F7E05">
        <w:tab/>
      </w:r>
      <w:r w:rsidRPr="004F7E05">
        <w:rPr>
          <w:rFonts w:eastAsiaTheme="minorEastAsia"/>
        </w:rPr>
        <w:t>Proposal for clarification of the terminology in 1.1.3.1 (c)</w:t>
      </w:r>
      <w:r w:rsidRPr="004F7E05">
        <w:tab/>
      </w:r>
      <w:r w:rsidRPr="004F7E05">
        <w:tab/>
      </w:r>
      <w:r>
        <w:t>56-58</w:t>
      </w:r>
      <w:r w:rsidRPr="004F7E05">
        <w:tab/>
        <w:t>11</w:t>
      </w:r>
    </w:p>
    <w:p w14:paraId="0D70A854"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r>
      <w:r w:rsidRPr="004F7E05">
        <w:tab/>
      </w:r>
      <w:r w:rsidRPr="004F7E05">
        <w:tab/>
        <w:t>2.</w:t>
      </w:r>
      <w:r w:rsidRPr="004F7E05">
        <w:tab/>
      </w:r>
      <w:r w:rsidRPr="004F7E05">
        <w:rPr>
          <w:rFonts w:eastAsiaTheme="minorEastAsia"/>
        </w:rPr>
        <w:t>Proposal for clarification of the terminology in 1.4.3.1.1 (e)</w:t>
      </w:r>
      <w:r w:rsidRPr="004F7E05">
        <w:tab/>
      </w:r>
      <w:r w:rsidRPr="004F7E05">
        <w:tab/>
      </w:r>
      <w:r>
        <w:t>59</w:t>
      </w:r>
      <w:r w:rsidRPr="004F7E05">
        <w:tab/>
        <w:t>11</w:t>
      </w:r>
    </w:p>
    <w:p w14:paraId="35F6677F"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r>
      <w:r w:rsidRPr="004F7E05">
        <w:tab/>
      </w:r>
      <w:r w:rsidRPr="004F7E05">
        <w:tab/>
        <w:t>3.</w:t>
      </w:r>
      <w:r w:rsidRPr="004F7E05">
        <w:tab/>
      </w:r>
      <w:r w:rsidRPr="004F7E05">
        <w:rPr>
          <w:rFonts w:eastAsiaTheme="minorEastAsia"/>
        </w:rPr>
        <w:t>Interpretation of 9.2.2.9 – electronic equipment in the driver’s cab</w:t>
      </w:r>
      <w:r w:rsidRPr="004F7E05">
        <w:rPr>
          <w:rFonts w:eastAsiaTheme="minorEastAsia"/>
        </w:rPr>
        <w:br/>
      </w:r>
      <w:r w:rsidRPr="004F7E05">
        <w:rPr>
          <w:rFonts w:eastAsiaTheme="minorEastAsia"/>
        </w:rPr>
        <w:tab/>
      </w:r>
      <w:r w:rsidRPr="004F7E05">
        <w:rPr>
          <w:rFonts w:eastAsiaTheme="minorEastAsia"/>
        </w:rPr>
        <w:tab/>
      </w:r>
      <w:r w:rsidRPr="004F7E05">
        <w:rPr>
          <w:rFonts w:eastAsiaTheme="minorEastAsia"/>
        </w:rPr>
        <w:tab/>
      </w:r>
      <w:r w:rsidRPr="004F7E05">
        <w:rPr>
          <w:rFonts w:eastAsiaTheme="minorEastAsia"/>
        </w:rPr>
        <w:tab/>
        <w:t xml:space="preserve"> of FL vehicles</w:t>
      </w:r>
      <w:r w:rsidRPr="004F7E05">
        <w:tab/>
      </w:r>
      <w:r w:rsidRPr="004F7E05">
        <w:tab/>
      </w:r>
      <w:r>
        <w:t>60</w:t>
      </w:r>
      <w:r w:rsidRPr="004F7E05">
        <w:tab/>
        <w:t>11</w:t>
      </w:r>
    </w:p>
    <w:p w14:paraId="48ED49D4"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r>
      <w:r w:rsidRPr="004F7E05">
        <w:tab/>
      </w:r>
      <w:r w:rsidRPr="004F7E05">
        <w:tab/>
        <w:t>4.</w:t>
      </w:r>
      <w:r w:rsidRPr="004F7E05">
        <w:tab/>
      </w:r>
      <w:r w:rsidRPr="004F7E05">
        <w:rPr>
          <w:rFonts w:eastAsiaTheme="minorEastAsia"/>
        </w:rPr>
        <w:t>Interpretation of paragraph 6.8.2.4.5 of ADR</w:t>
      </w:r>
      <w:r w:rsidRPr="004F7E05">
        <w:tab/>
      </w:r>
      <w:r w:rsidRPr="004F7E05">
        <w:tab/>
        <w:t>6</w:t>
      </w:r>
      <w:r>
        <w:t>1</w:t>
      </w:r>
      <w:r w:rsidRPr="004F7E05">
        <w:tab/>
        <w:t>12</w:t>
      </w:r>
    </w:p>
    <w:p w14:paraId="523629EC"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r>
      <w:r w:rsidRPr="004F7E05">
        <w:tab/>
      </w:r>
      <w:r w:rsidRPr="004F7E05">
        <w:tab/>
        <w:t>5.</w:t>
      </w:r>
      <w:r w:rsidRPr="004F7E05">
        <w:tab/>
      </w:r>
      <w:r w:rsidRPr="004F7E05">
        <w:rPr>
          <w:rFonts w:eastAsiaTheme="minorEastAsia"/>
        </w:rPr>
        <w:t>Other documents</w:t>
      </w:r>
      <w:r w:rsidRPr="004F7E05">
        <w:tab/>
      </w:r>
      <w:r w:rsidRPr="004F7E05">
        <w:tab/>
      </w:r>
      <w:r>
        <w:t>62</w:t>
      </w:r>
      <w:r w:rsidRPr="004F7E05">
        <w:tab/>
        <w:t>12</w:t>
      </w:r>
    </w:p>
    <w:p w14:paraId="02F32FC2"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t>VIII.</w:t>
      </w:r>
      <w:r w:rsidRPr="004F7E05">
        <w:tab/>
        <w:t>Programme of work (agenda item 7)</w:t>
      </w:r>
      <w:r w:rsidRPr="004F7E05">
        <w:tab/>
      </w:r>
      <w:r w:rsidRPr="004F7E05">
        <w:tab/>
      </w:r>
      <w:r>
        <w:t>63-64</w:t>
      </w:r>
      <w:r w:rsidRPr="004F7E05">
        <w:tab/>
        <w:t>12</w:t>
      </w:r>
    </w:p>
    <w:p w14:paraId="467BE3F7"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t>IX.</w:t>
      </w:r>
      <w:r w:rsidRPr="004F7E05">
        <w:tab/>
        <w:t>Any other business (agenda item 8)</w:t>
      </w:r>
      <w:r w:rsidRPr="004F7E05">
        <w:tab/>
      </w:r>
      <w:r w:rsidRPr="004F7E05">
        <w:tab/>
        <w:t>6</w:t>
      </w:r>
      <w:r>
        <w:t>5</w:t>
      </w:r>
      <w:r w:rsidRPr="004F7E05">
        <w:t>-</w:t>
      </w:r>
      <w:r>
        <w:t>80</w:t>
      </w:r>
      <w:r w:rsidRPr="004F7E05">
        <w:tab/>
        <w:t>12</w:t>
      </w:r>
    </w:p>
    <w:p w14:paraId="19E5674E"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r>
      <w:r w:rsidRPr="004F7E05">
        <w:tab/>
      </w:r>
      <w:r w:rsidRPr="004F7E05">
        <w:tab/>
        <w:t>1.</w:t>
      </w:r>
      <w:r w:rsidRPr="004F7E05">
        <w:tab/>
      </w:r>
      <w:r w:rsidRPr="004F7E05">
        <w:rPr>
          <w:rFonts w:eastAsiaTheme="minorEastAsia"/>
        </w:rPr>
        <w:t>Supervision of vehicles, chapter 8.5</w:t>
      </w:r>
      <w:r w:rsidRPr="004F7E05">
        <w:tab/>
      </w:r>
      <w:r w:rsidRPr="004F7E05">
        <w:tab/>
      </w:r>
      <w:r>
        <w:t>65-68</w:t>
      </w:r>
      <w:r w:rsidRPr="004F7E05">
        <w:tab/>
        <w:t>12</w:t>
      </w:r>
    </w:p>
    <w:p w14:paraId="10B8ED63"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r>
      <w:r w:rsidRPr="004F7E05">
        <w:tab/>
      </w:r>
      <w:r w:rsidRPr="004F7E05">
        <w:tab/>
        <w:t>2.</w:t>
      </w:r>
      <w:r w:rsidRPr="004F7E05">
        <w:tab/>
      </w:r>
      <w:r w:rsidRPr="004F7E05">
        <w:rPr>
          <w:rFonts w:eastAsiaTheme="minorEastAsia"/>
        </w:rPr>
        <w:t xml:space="preserve">Consolidated table of the applicable provisions of Part 9 of ADR </w:t>
      </w:r>
      <w:r w:rsidRPr="004F7E05">
        <w:rPr>
          <w:rFonts w:eastAsiaTheme="minorEastAsia"/>
        </w:rPr>
        <w:br/>
      </w:r>
      <w:r w:rsidRPr="004F7E05">
        <w:rPr>
          <w:rFonts w:eastAsiaTheme="minorEastAsia"/>
        </w:rPr>
        <w:tab/>
      </w:r>
      <w:r w:rsidRPr="004F7E05">
        <w:rPr>
          <w:rFonts w:eastAsiaTheme="minorEastAsia"/>
        </w:rPr>
        <w:tab/>
      </w:r>
      <w:r w:rsidRPr="004F7E05">
        <w:rPr>
          <w:rFonts w:eastAsiaTheme="minorEastAsia"/>
        </w:rPr>
        <w:tab/>
      </w:r>
      <w:r w:rsidRPr="004F7E05">
        <w:rPr>
          <w:rFonts w:eastAsiaTheme="minorEastAsia"/>
        </w:rPr>
        <w:tab/>
        <w:t xml:space="preserve">for the technical inspection of EX/II, EX/III, FL and </w:t>
      </w:r>
      <w:r w:rsidRPr="004F7E05">
        <w:rPr>
          <w:rFonts w:eastAsiaTheme="minorEastAsia"/>
        </w:rPr>
        <w:br/>
      </w:r>
      <w:r w:rsidRPr="004F7E05">
        <w:rPr>
          <w:rFonts w:eastAsiaTheme="minorEastAsia"/>
        </w:rPr>
        <w:tab/>
      </w:r>
      <w:r w:rsidRPr="004F7E05">
        <w:rPr>
          <w:rFonts w:eastAsiaTheme="minorEastAsia"/>
        </w:rPr>
        <w:tab/>
      </w:r>
      <w:r w:rsidRPr="004F7E05">
        <w:rPr>
          <w:rFonts w:eastAsiaTheme="minorEastAsia"/>
        </w:rPr>
        <w:tab/>
      </w:r>
      <w:r w:rsidRPr="004F7E05">
        <w:rPr>
          <w:rFonts w:eastAsiaTheme="minorEastAsia"/>
        </w:rPr>
        <w:tab/>
        <w:t>AT vehicles and MEMUs</w:t>
      </w:r>
      <w:r w:rsidRPr="004F7E05">
        <w:tab/>
      </w:r>
      <w:r w:rsidRPr="004F7E05">
        <w:tab/>
      </w:r>
      <w:r>
        <w:t>69-70</w:t>
      </w:r>
      <w:r w:rsidRPr="004F7E05">
        <w:tab/>
        <w:t>13</w:t>
      </w:r>
    </w:p>
    <w:p w14:paraId="21779E79"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r>
      <w:r w:rsidRPr="004F7E05">
        <w:tab/>
      </w:r>
      <w:r w:rsidRPr="004F7E05">
        <w:tab/>
        <w:t>3.</w:t>
      </w:r>
      <w:r w:rsidRPr="004F7E05">
        <w:tab/>
      </w:r>
      <w:r w:rsidRPr="004F7E05">
        <w:rPr>
          <w:rFonts w:eastAsiaTheme="minorEastAsia"/>
        </w:rPr>
        <w:t>Publication of questions of interpretation of ADR</w:t>
      </w:r>
      <w:r w:rsidRPr="004F7E05">
        <w:tab/>
      </w:r>
      <w:r w:rsidRPr="004F7E05">
        <w:tab/>
      </w:r>
      <w:r>
        <w:t>71-72</w:t>
      </w:r>
      <w:r w:rsidRPr="004F7E05">
        <w:tab/>
        <w:t>13</w:t>
      </w:r>
    </w:p>
    <w:p w14:paraId="05074195"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r>
      <w:r w:rsidRPr="004F7E05">
        <w:tab/>
      </w:r>
      <w:r w:rsidRPr="004F7E05">
        <w:tab/>
        <w:t>4.</w:t>
      </w:r>
      <w:r w:rsidRPr="004F7E05">
        <w:tab/>
      </w:r>
      <w:r w:rsidRPr="004F7E05">
        <w:rPr>
          <w:rFonts w:eastAsiaTheme="minorEastAsia"/>
        </w:rPr>
        <w:t xml:space="preserve">Editorial corrections to the printed versions of </w:t>
      </w:r>
      <w:r w:rsidRPr="004F7E05">
        <w:rPr>
          <w:rFonts w:eastAsiaTheme="minorEastAsia"/>
        </w:rPr>
        <w:br/>
      </w:r>
      <w:r w:rsidRPr="004F7E05">
        <w:rPr>
          <w:rFonts w:eastAsiaTheme="minorEastAsia"/>
        </w:rPr>
        <w:tab/>
      </w:r>
      <w:r w:rsidRPr="004F7E05">
        <w:rPr>
          <w:rFonts w:eastAsiaTheme="minorEastAsia"/>
        </w:rPr>
        <w:tab/>
      </w:r>
      <w:r w:rsidRPr="004F7E05">
        <w:rPr>
          <w:rFonts w:eastAsiaTheme="minorEastAsia"/>
        </w:rPr>
        <w:tab/>
      </w:r>
      <w:r w:rsidRPr="004F7E05">
        <w:rPr>
          <w:rFonts w:eastAsiaTheme="minorEastAsia"/>
        </w:rPr>
        <w:tab/>
        <w:t>ADR 2019 (ECE/TRANS/275)</w:t>
      </w:r>
      <w:r w:rsidRPr="004F7E05">
        <w:tab/>
      </w:r>
      <w:r w:rsidRPr="004F7E05">
        <w:tab/>
        <w:t>7</w:t>
      </w:r>
      <w:r>
        <w:t>3</w:t>
      </w:r>
      <w:r w:rsidRPr="004F7E05">
        <w:tab/>
        <w:t>13</w:t>
      </w:r>
    </w:p>
    <w:p w14:paraId="026B9865"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r>
      <w:r w:rsidRPr="004F7E05">
        <w:tab/>
      </w:r>
      <w:r w:rsidRPr="004F7E05">
        <w:tab/>
        <w:t>5.</w:t>
      </w:r>
      <w:r w:rsidRPr="004F7E05">
        <w:tab/>
      </w:r>
      <w:r w:rsidRPr="004F7E05">
        <w:rPr>
          <w:rFonts w:eastAsiaTheme="minorEastAsia"/>
        </w:rPr>
        <w:t xml:space="preserve">Information concerning an event occurred during carriage of </w:t>
      </w:r>
      <w:r w:rsidRPr="004F7E05">
        <w:rPr>
          <w:rFonts w:eastAsiaTheme="minorEastAsia"/>
        </w:rPr>
        <w:br/>
      </w:r>
      <w:r w:rsidRPr="004F7E05">
        <w:rPr>
          <w:rFonts w:eastAsiaTheme="minorEastAsia"/>
        </w:rPr>
        <w:tab/>
      </w:r>
      <w:r w:rsidRPr="004F7E05">
        <w:rPr>
          <w:rFonts w:eastAsiaTheme="minorEastAsia"/>
        </w:rPr>
        <w:tab/>
      </w:r>
      <w:r w:rsidRPr="004F7E05">
        <w:rPr>
          <w:rFonts w:eastAsiaTheme="minorEastAsia"/>
        </w:rPr>
        <w:tab/>
      </w:r>
      <w:r w:rsidRPr="004F7E05">
        <w:rPr>
          <w:rFonts w:eastAsiaTheme="minorEastAsia"/>
        </w:rPr>
        <w:tab/>
        <w:t>dangerous goods according to 1.8.5</w:t>
      </w:r>
      <w:r w:rsidRPr="004F7E05">
        <w:tab/>
      </w:r>
      <w:r w:rsidRPr="004F7E05">
        <w:tab/>
      </w:r>
      <w:r>
        <w:t>74-76</w:t>
      </w:r>
      <w:r w:rsidRPr="004F7E05">
        <w:tab/>
        <w:t>13</w:t>
      </w:r>
    </w:p>
    <w:p w14:paraId="74C2150F"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r>
      <w:r w:rsidRPr="004F7E05">
        <w:tab/>
      </w:r>
      <w:r w:rsidRPr="004F7E05">
        <w:tab/>
        <w:t>6.</w:t>
      </w:r>
      <w:r w:rsidRPr="004F7E05">
        <w:tab/>
      </w:r>
      <w:r w:rsidRPr="004F7E05">
        <w:rPr>
          <w:rFonts w:eastAsiaTheme="minorEastAsia"/>
        </w:rPr>
        <w:t>Tunnel code for UN No. 1043 in ADR 2019</w:t>
      </w:r>
      <w:r w:rsidRPr="004F7E05">
        <w:tab/>
      </w:r>
      <w:r w:rsidRPr="004F7E05">
        <w:tab/>
        <w:t>7</w:t>
      </w:r>
      <w:r>
        <w:t>7</w:t>
      </w:r>
      <w:r w:rsidRPr="004F7E05">
        <w:tab/>
        <w:t>14</w:t>
      </w:r>
    </w:p>
    <w:p w14:paraId="54AECD65"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lastRenderedPageBreak/>
        <w:tab/>
      </w:r>
      <w:r w:rsidRPr="004F7E05">
        <w:tab/>
      </w:r>
      <w:r w:rsidRPr="004F7E05">
        <w:tab/>
        <w:t>7.</w:t>
      </w:r>
      <w:r w:rsidRPr="004F7E05">
        <w:tab/>
      </w:r>
      <w:r w:rsidRPr="004F7E05">
        <w:rPr>
          <w:rFonts w:eastAsiaTheme="minorEastAsia"/>
        </w:rPr>
        <w:t>Outcome of the second informal working group on</w:t>
      </w:r>
      <w:r w:rsidRPr="004F7E05">
        <w:rPr>
          <w:rFonts w:eastAsiaTheme="minorEastAsia"/>
        </w:rPr>
        <w:br/>
      </w:r>
      <w:r w:rsidRPr="004F7E05">
        <w:rPr>
          <w:rFonts w:eastAsiaTheme="minorEastAsia"/>
        </w:rPr>
        <w:tab/>
      </w:r>
      <w:r w:rsidRPr="004F7E05">
        <w:rPr>
          <w:rFonts w:eastAsiaTheme="minorEastAsia"/>
        </w:rPr>
        <w:tab/>
      </w:r>
      <w:r w:rsidRPr="004F7E05">
        <w:rPr>
          <w:rFonts w:eastAsiaTheme="minorEastAsia"/>
        </w:rPr>
        <w:tab/>
      </w:r>
      <w:r w:rsidRPr="004F7E05">
        <w:rPr>
          <w:rFonts w:eastAsiaTheme="minorEastAsia"/>
        </w:rPr>
        <w:tab/>
        <w:t>“clarification of 9.3.4.2 of ADR”</w:t>
      </w:r>
      <w:r w:rsidRPr="004F7E05">
        <w:tab/>
      </w:r>
      <w:r w:rsidRPr="004F7E05">
        <w:tab/>
        <w:t>7</w:t>
      </w:r>
      <w:r>
        <w:t>8</w:t>
      </w:r>
      <w:r w:rsidRPr="004F7E05">
        <w:tab/>
        <w:t>14</w:t>
      </w:r>
    </w:p>
    <w:p w14:paraId="510A90A7"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r>
      <w:r w:rsidRPr="004F7E05">
        <w:tab/>
      </w:r>
      <w:r w:rsidRPr="004F7E05">
        <w:tab/>
        <w:t>8.</w:t>
      </w:r>
      <w:r w:rsidRPr="004F7E05">
        <w:tab/>
      </w:r>
      <w:r w:rsidRPr="004F7E05">
        <w:rPr>
          <w:rFonts w:eastAsiaTheme="minorEastAsia"/>
        </w:rPr>
        <w:t>Tribute to Mr. José Alberto Franco</w:t>
      </w:r>
      <w:r w:rsidRPr="004F7E05">
        <w:tab/>
      </w:r>
      <w:r w:rsidRPr="004F7E05">
        <w:tab/>
      </w:r>
      <w:r>
        <w:t>79-80</w:t>
      </w:r>
      <w:r w:rsidRPr="004F7E05">
        <w:tab/>
        <w:t>14</w:t>
      </w:r>
    </w:p>
    <w:p w14:paraId="1D5C4544"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t>X.</w:t>
      </w:r>
      <w:r w:rsidRPr="004F7E05">
        <w:tab/>
      </w:r>
      <w:r w:rsidRPr="004F7E05">
        <w:rPr>
          <w:lang w:val="fr-FR"/>
        </w:rPr>
        <w:t xml:space="preserve">Election of </w:t>
      </w:r>
      <w:proofErr w:type="spellStart"/>
      <w:r w:rsidRPr="004F7E05">
        <w:rPr>
          <w:lang w:val="fr-FR"/>
        </w:rPr>
        <w:t>officers</w:t>
      </w:r>
      <w:proofErr w:type="spellEnd"/>
      <w:r w:rsidRPr="004F7E05">
        <w:rPr>
          <w:lang w:val="fr-FR"/>
        </w:rPr>
        <w:t xml:space="preserve"> for 2019 (agenda item 9)</w:t>
      </w:r>
      <w:r w:rsidRPr="004F7E05">
        <w:tab/>
      </w:r>
      <w:r w:rsidRPr="004F7E05">
        <w:tab/>
      </w:r>
      <w:r>
        <w:t>81</w:t>
      </w:r>
      <w:r w:rsidRPr="004F7E05">
        <w:tab/>
        <w:t>14</w:t>
      </w:r>
    </w:p>
    <w:p w14:paraId="77D9F912" w14:textId="77777777" w:rsidR="00C33456" w:rsidRPr="004F7E05" w:rsidRDefault="00C33456" w:rsidP="003B6A8C">
      <w:pPr>
        <w:tabs>
          <w:tab w:val="right" w:pos="850"/>
          <w:tab w:val="left" w:pos="1134"/>
          <w:tab w:val="left" w:pos="1559"/>
          <w:tab w:val="left" w:pos="1984"/>
          <w:tab w:val="left" w:leader="dot" w:pos="7654"/>
          <w:tab w:val="right" w:pos="8929"/>
          <w:tab w:val="right" w:pos="9638"/>
        </w:tabs>
        <w:spacing w:after="120"/>
      </w:pPr>
      <w:r w:rsidRPr="004F7E05">
        <w:tab/>
        <w:t>XI.</w:t>
      </w:r>
      <w:r w:rsidRPr="004F7E05">
        <w:tab/>
        <w:t>Adoption of the report (agenda item 10)</w:t>
      </w:r>
      <w:r w:rsidRPr="004F7E05">
        <w:tab/>
      </w:r>
      <w:r w:rsidRPr="004F7E05">
        <w:tab/>
        <w:t>8</w:t>
      </w:r>
      <w:r>
        <w:t>2</w:t>
      </w:r>
      <w:r w:rsidRPr="004F7E05">
        <w:tab/>
        <w:t>14</w:t>
      </w:r>
    </w:p>
    <w:p w14:paraId="003530A9" w14:textId="77777777" w:rsidR="00C33456" w:rsidRPr="004F7E05" w:rsidRDefault="00C33456" w:rsidP="00C33456">
      <w:pPr>
        <w:tabs>
          <w:tab w:val="right" w:pos="850"/>
          <w:tab w:val="left" w:pos="1134"/>
          <w:tab w:val="left" w:pos="1559"/>
          <w:tab w:val="left" w:pos="1984"/>
          <w:tab w:val="left" w:leader="dot" w:pos="7654"/>
          <w:tab w:val="right" w:pos="8929"/>
          <w:tab w:val="right" w:pos="9638"/>
        </w:tabs>
        <w:spacing w:after="240"/>
      </w:pPr>
      <w:r w:rsidRPr="004F7E05">
        <w:tab/>
        <w:t>Annexes</w:t>
      </w:r>
    </w:p>
    <w:p w14:paraId="13988675" w14:textId="77777777" w:rsidR="00C33456" w:rsidRPr="004F7E05" w:rsidRDefault="00C33456" w:rsidP="00C33456">
      <w:pPr>
        <w:tabs>
          <w:tab w:val="right" w:pos="850"/>
          <w:tab w:val="left" w:pos="1134"/>
          <w:tab w:val="left" w:pos="1559"/>
          <w:tab w:val="left" w:pos="1984"/>
          <w:tab w:val="right" w:leader="dot" w:pos="8929"/>
          <w:tab w:val="right" w:pos="9638"/>
        </w:tabs>
        <w:spacing w:after="240"/>
      </w:pPr>
      <w:r w:rsidRPr="004F7E05">
        <w:tab/>
        <w:t>I.</w:t>
      </w:r>
      <w:r w:rsidRPr="004F7E05">
        <w:tab/>
        <w:t>Draft amendments to Annexes A and B of ADR for entry into force on 1 January 2021</w:t>
      </w:r>
      <w:r w:rsidRPr="004F7E05">
        <w:tab/>
      </w:r>
      <w:r w:rsidRPr="004F7E05">
        <w:tab/>
        <w:t>15</w:t>
      </w:r>
    </w:p>
    <w:p w14:paraId="5D6AFFC9" w14:textId="77777777" w:rsidR="00C33456" w:rsidRPr="00D725A0" w:rsidRDefault="00C33456" w:rsidP="00C33456">
      <w:pPr>
        <w:tabs>
          <w:tab w:val="right" w:pos="850"/>
          <w:tab w:val="left" w:pos="1134"/>
          <w:tab w:val="left" w:pos="1559"/>
          <w:tab w:val="left" w:pos="1984"/>
          <w:tab w:val="right" w:leader="dot" w:pos="8929"/>
          <w:tab w:val="right" w:pos="9638"/>
        </w:tabs>
        <w:spacing w:after="240"/>
      </w:pPr>
      <w:r w:rsidRPr="004F7E05">
        <w:tab/>
        <w:t>II.</w:t>
      </w:r>
      <w:r w:rsidRPr="004F7E05">
        <w:tab/>
        <w:t xml:space="preserve">Guideline for the application of EN 12972 (Tanks for transport of dangerous goods - </w:t>
      </w:r>
      <w:r w:rsidRPr="004F7E05">
        <w:br/>
      </w:r>
      <w:r w:rsidRPr="004F7E05">
        <w:tab/>
      </w:r>
      <w:r w:rsidRPr="004F7E05">
        <w:tab/>
        <w:t>Testing, inspection and marking of metallic tanks) for compliance with RID/ADR</w:t>
      </w:r>
      <w:r w:rsidRPr="004F7E05">
        <w:tab/>
      </w:r>
      <w:r w:rsidRPr="004F7E05">
        <w:tab/>
        <w:t>20</w:t>
      </w:r>
    </w:p>
    <w:p w14:paraId="4B08F334" w14:textId="6CE39C96" w:rsidR="00C33456" w:rsidRPr="00D725A0" w:rsidRDefault="00C33456" w:rsidP="00C33456">
      <w:pPr>
        <w:spacing w:after="240"/>
        <w:rPr>
          <w:sz w:val="28"/>
        </w:rPr>
      </w:pPr>
      <w:r w:rsidRPr="00D725A0">
        <w:tab/>
      </w:r>
    </w:p>
    <w:p w14:paraId="74E8A2E0" w14:textId="77777777" w:rsidR="00C33456" w:rsidRDefault="00C33456">
      <w:pPr>
        <w:suppressAutoHyphens w:val="0"/>
        <w:spacing w:after="200" w:line="276" w:lineRule="auto"/>
        <w:rPr>
          <w:rFonts w:eastAsia="SimSun"/>
          <w:lang w:eastAsia="zh-CN"/>
        </w:rPr>
      </w:pPr>
      <w:r>
        <w:br w:type="page"/>
      </w:r>
    </w:p>
    <w:p w14:paraId="52F3A0CC" w14:textId="42FA9228" w:rsidR="00432362" w:rsidRDefault="00432362" w:rsidP="00432362">
      <w:pPr>
        <w:pStyle w:val="HChG"/>
      </w:pPr>
      <w:bookmarkStart w:id="2" w:name="_Toc499903629"/>
      <w:r>
        <w:lastRenderedPageBreak/>
        <w:tab/>
      </w:r>
      <w:r w:rsidRPr="00D725A0">
        <w:t>I.</w:t>
      </w:r>
      <w:r w:rsidRPr="00D725A0">
        <w:tab/>
        <w:t>Attendance</w:t>
      </w:r>
      <w:bookmarkEnd w:id="2"/>
    </w:p>
    <w:p w14:paraId="09F4CCDF" w14:textId="46DA748A" w:rsidR="008E6817" w:rsidRPr="00FD6447" w:rsidRDefault="008E6817" w:rsidP="008E6817">
      <w:pPr>
        <w:pStyle w:val="SingleTxtG"/>
      </w:pPr>
      <w:r w:rsidRPr="00FD6447">
        <w:t>1.</w:t>
      </w:r>
      <w:r w:rsidRPr="00FD6447">
        <w:tab/>
        <w:t>The Working Party on the Transport of Dangerous Goods held its 10</w:t>
      </w:r>
      <w:r>
        <w:t>5</w:t>
      </w:r>
      <w:r w:rsidRPr="00FD6447">
        <w:t xml:space="preserve">th session from </w:t>
      </w:r>
      <w:r>
        <w:t xml:space="preserve">6 </w:t>
      </w:r>
      <w:r w:rsidRPr="00FD6447">
        <w:t xml:space="preserve">to </w:t>
      </w:r>
      <w:r>
        <w:t>9 November</w:t>
      </w:r>
      <w:r w:rsidRPr="00FD6447">
        <w:t xml:space="preserve"> 2018 with Mr. J.A. Franco (Portugal) as </w:t>
      </w:r>
      <w:r w:rsidR="00F11F90">
        <w:t>C</w:t>
      </w:r>
      <w:r w:rsidRPr="00FD6447">
        <w:t xml:space="preserve">hair and Ms. A. </w:t>
      </w:r>
      <w:proofErr w:type="spellStart"/>
      <w:r w:rsidRPr="00FD6447">
        <w:t>Roumier</w:t>
      </w:r>
      <w:proofErr w:type="spellEnd"/>
      <w:r w:rsidRPr="00FD6447">
        <w:t xml:space="preserve"> (France) as </w:t>
      </w:r>
      <w:r w:rsidR="00F11F90">
        <w:t>V</w:t>
      </w:r>
      <w:r w:rsidRPr="00FD6447">
        <w:t>ice-</w:t>
      </w:r>
      <w:r w:rsidR="00307682">
        <w:t>C</w:t>
      </w:r>
      <w:r w:rsidRPr="00FD6447">
        <w:t>hair.</w:t>
      </w:r>
    </w:p>
    <w:p w14:paraId="0F6438EB" w14:textId="00A9949A" w:rsidR="008E6817" w:rsidRDefault="008E6817" w:rsidP="008E6817">
      <w:pPr>
        <w:pStyle w:val="SingleTxtG"/>
      </w:pPr>
      <w:r w:rsidRPr="00FD6447">
        <w:t>2.</w:t>
      </w:r>
      <w:r w:rsidRPr="00FD6447">
        <w:tab/>
        <w:t xml:space="preserve">Representatives from the following countries took part in the session: </w:t>
      </w:r>
      <w:r w:rsidRPr="001A1870">
        <w:t xml:space="preserve">Austria, Belarus, Belgium, </w:t>
      </w:r>
      <w:r w:rsidR="00307682">
        <w:t>Czechia</w:t>
      </w:r>
      <w:r w:rsidRPr="001A1870">
        <w:t xml:space="preserve">, Denmark, Finland, France, Georgia, Germany, </w:t>
      </w:r>
      <w:r w:rsidR="00A97EE3">
        <w:t xml:space="preserve">Greece, </w:t>
      </w:r>
      <w:r>
        <w:t xml:space="preserve">Hungary, </w:t>
      </w:r>
      <w:r w:rsidRPr="001A1870">
        <w:t xml:space="preserve">Italy, Latvia, Luxembourg, Malta, the Netherlands, Poland, Portugal, Romania, Russian Federation, </w:t>
      </w:r>
      <w:r w:rsidR="00A97EE3">
        <w:t xml:space="preserve">Slovakia, </w:t>
      </w:r>
      <w:r w:rsidRPr="001A1870">
        <w:t>Spain, Sweden, Switzerland, Turkey and the United Kingdom.</w:t>
      </w:r>
    </w:p>
    <w:p w14:paraId="12E841CD" w14:textId="77777777" w:rsidR="008E6817" w:rsidRPr="00FD6447" w:rsidRDefault="008E6817" w:rsidP="008E6817">
      <w:pPr>
        <w:pStyle w:val="SingleTxtG"/>
      </w:pPr>
      <w:r>
        <w:t>3.</w:t>
      </w:r>
      <w:r>
        <w:tab/>
        <w:t xml:space="preserve">Representatives from Algeria, Egypt, Jordan, Lebanon, Morocco, the State of Palestine and Tunisia took part in the session in accordance with paragraph 11 of the terms of reference of the Economic Commission for Europe. </w:t>
      </w:r>
      <w:r w:rsidRPr="003C3E0D">
        <w:t>Tunisia</w:t>
      </w:r>
      <w:r>
        <w:t xml:space="preserve"> and Morocco</w:t>
      </w:r>
      <w:r w:rsidRPr="003C3E0D">
        <w:t xml:space="preserve"> took part in the session as full member</w:t>
      </w:r>
      <w:r>
        <w:t>s</w:t>
      </w:r>
      <w:r w:rsidRPr="003C3E0D">
        <w:t xml:space="preserve"> in respect of questions relating to the European Agreement concerning the International Carriage of Dangerous Goods by Road (ADR), in accordance with article 1 (b) of the rules of procedure of the Working Party.</w:t>
      </w:r>
    </w:p>
    <w:p w14:paraId="73311250" w14:textId="77777777" w:rsidR="008E6817" w:rsidRPr="00FD6447" w:rsidRDefault="008E6817" w:rsidP="008E6817">
      <w:pPr>
        <w:pStyle w:val="SingleTxtG"/>
      </w:pPr>
      <w:r>
        <w:t>4</w:t>
      </w:r>
      <w:r w:rsidRPr="00FD6447">
        <w:t>.</w:t>
      </w:r>
      <w:r w:rsidRPr="00FD6447">
        <w:tab/>
        <w:t>The European Union was represented.</w:t>
      </w:r>
    </w:p>
    <w:p w14:paraId="3C9873C9" w14:textId="77777777" w:rsidR="008E6817" w:rsidRPr="00FD6447" w:rsidRDefault="008E6817" w:rsidP="008E6817">
      <w:pPr>
        <w:pStyle w:val="SingleTxtG"/>
      </w:pPr>
      <w:r>
        <w:t>5</w:t>
      </w:r>
      <w:r w:rsidRPr="00FD6447">
        <w:t>.</w:t>
      </w:r>
      <w:r w:rsidRPr="00FD6447">
        <w:tab/>
        <w:t>The following intergovernmental organization was represented: Intergovernmental Organisation for International Carriage by Rail (OTIF).</w:t>
      </w:r>
    </w:p>
    <w:p w14:paraId="3F9EAF13" w14:textId="5C488C35" w:rsidR="008E6817" w:rsidRPr="00FD6447" w:rsidRDefault="008E6817" w:rsidP="008E6817">
      <w:pPr>
        <w:pStyle w:val="SingleTxtG"/>
      </w:pPr>
      <w:r>
        <w:t>6</w:t>
      </w:r>
      <w:r w:rsidRPr="00FD6447">
        <w:t>.</w:t>
      </w:r>
      <w:r w:rsidRPr="00FD6447">
        <w:tab/>
        <w:t>The following non-governmental organization</w:t>
      </w:r>
      <w:r>
        <w:t>s</w:t>
      </w:r>
      <w:r w:rsidRPr="00FD6447">
        <w:t xml:space="preserve"> w</w:t>
      </w:r>
      <w:r>
        <w:t xml:space="preserve">as </w:t>
      </w:r>
      <w:r w:rsidRPr="00FD6447">
        <w:t>represented: European Chemical Industry Council (CEFIC)</w:t>
      </w:r>
      <w:r w:rsidR="00B13583">
        <w:t xml:space="preserve">, </w:t>
      </w:r>
      <w:r>
        <w:t>European Conference of Fuel Distributors (ECFD)</w:t>
      </w:r>
      <w:r w:rsidR="00A97EE3">
        <w:t xml:space="preserve"> and International Road Transport Union (IRU)</w:t>
      </w:r>
      <w:r w:rsidRPr="00FD6447">
        <w:t>.</w:t>
      </w:r>
      <w:r w:rsidRPr="002D516C">
        <w:t xml:space="preserve"> </w:t>
      </w:r>
      <w:r w:rsidRPr="003C3E0D">
        <w:t xml:space="preserve">The </w:t>
      </w:r>
      <w:proofErr w:type="spellStart"/>
      <w:r w:rsidRPr="003C3E0D">
        <w:t>EuroMed</w:t>
      </w:r>
      <w:proofErr w:type="spellEnd"/>
      <w:r w:rsidRPr="003C3E0D">
        <w:t xml:space="preserve"> project was also represented.</w:t>
      </w:r>
      <w:r w:rsidRPr="007607CD">
        <w:t xml:space="preserve"> </w:t>
      </w:r>
    </w:p>
    <w:p w14:paraId="45AF4990" w14:textId="77777777" w:rsidR="00336208" w:rsidRDefault="00336208" w:rsidP="00BD0910">
      <w:pPr>
        <w:pStyle w:val="HChG"/>
      </w:pPr>
      <w:r w:rsidRPr="00D725A0">
        <w:tab/>
      </w:r>
      <w:bookmarkStart w:id="3" w:name="_Toc499903630"/>
      <w:r w:rsidRPr="00D725A0">
        <w:t>II.</w:t>
      </w:r>
      <w:r w:rsidRPr="00D725A0">
        <w:tab/>
        <w:t>Adoption of the agenda (agenda item 1)</w:t>
      </w:r>
      <w:bookmarkEnd w:id="3"/>
    </w:p>
    <w:p w14:paraId="70A5F519" w14:textId="77777777" w:rsidR="008E6817" w:rsidRPr="00FD6447" w:rsidRDefault="008E6817" w:rsidP="008E6817">
      <w:pPr>
        <w:pStyle w:val="SingleTxtG"/>
      </w:pPr>
      <w:r w:rsidRPr="00A27C39">
        <w:rPr>
          <w:i/>
          <w:iCs/>
        </w:rPr>
        <w:t>Documents</w:t>
      </w:r>
      <w:r w:rsidRPr="00FD6447">
        <w:t>:</w:t>
      </w:r>
      <w:r w:rsidRPr="00FD6447">
        <w:tab/>
      </w:r>
      <w:r>
        <w:tab/>
      </w:r>
      <w:r w:rsidRPr="00FD6447">
        <w:t>ECE/TRANS/WP.15/24</w:t>
      </w:r>
      <w:r>
        <w:t>3</w:t>
      </w:r>
      <w:r w:rsidRPr="00FD6447">
        <w:t xml:space="preserve"> and Add.1 (Secretariat)</w:t>
      </w:r>
    </w:p>
    <w:p w14:paraId="29B8AD7B" w14:textId="77777777" w:rsidR="008E6817" w:rsidRPr="00FD6447" w:rsidRDefault="008E6817" w:rsidP="008E6817">
      <w:pPr>
        <w:pStyle w:val="SingleTxtG"/>
      </w:pPr>
      <w:r w:rsidRPr="00A27C39">
        <w:rPr>
          <w:i/>
          <w:iCs/>
        </w:rPr>
        <w:t>Informal documents</w:t>
      </w:r>
      <w:r w:rsidRPr="00FD6447">
        <w:t>:</w:t>
      </w:r>
      <w:r w:rsidRPr="00FD6447">
        <w:tab/>
        <w:t>INF.1 and INF.2 (Secretariat)</w:t>
      </w:r>
    </w:p>
    <w:p w14:paraId="2CE402A7" w14:textId="10BF23AE" w:rsidR="008E6817" w:rsidRPr="00FD6447" w:rsidRDefault="008E6817" w:rsidP="008E6817">
      <w:pPr>
        <w:pStyle w:val="SingleTxtG"/>
      </w:pPr>
      <w:r>
        <w:t>7</w:t>
      </w:r>
      <w:r w:rsidRPr="00FD6447">
        <w:t>.</w:t>
      </w:r>
      <w:r w:rsidRPr="00FD6447">
        <w:tab/>
        <w:t>The Working Party adopted the provisional agenda prepared by the secretariat, as amended by informal document INF.2 to take account of</w:t>
      </w:r>
      <w:r>
        <w:t xml:space="preserve"> informal documents</w:t>
      </w:r>
      <w:r w:rsidRPr="00FD6447">
        <w:t xml:space="preserve"> INF.1 to INF</w:t>
      </w:r>
      <w:r w:rsidR="00A97EE3" w:rsidRPr="00FD6447">
        <w:t>.</w:t>
      </w:r>
      <w:r w:rsidR="00A97EE3">
        <w:t>33</w:t>
      </w:r>
      <w:r w:rsidR="00A97EE3" w:rsidRPr="00FD6447">
        <w:t>.</w:t>
      </w:r>
    </w:p>
    <w:p w14:paraId="424698A2" w14:textId="77777777" w:rsidR="00336208" w:rsidRDefault="00336208" w:rsidP="008B3C2E">
      <w:pPr>
        <w:pStyle w:val="HChG"/>
      </w:pPr>
      <w:r w:rsidRPr="00D725A0">
        <w:tab/>
      </w:r>
      <w:bookmarkStart w:id="4" w:name="_Toc499903631"/>
      <w:r w:rsidRPr="00D725A0">
        <w:t>III.</w:t>
      </w:r>
      <w:r w:rsidRPr="00D725A0">
        <w:tab/>
      </w:r>
      <w:r w:rsidR="008B4E22">
        <w:rPr>
          <w:szCs w:val="28"/>
        </w:rPr>
        <w:t>Eightieth</w:t>
      </w:r>
      <w:r w:rsidR="008B4E22" w:rsidRPr="00C07EC8">
        <w:rPr>
          <w:szCs w:val="28"/>
        </w:rPr>
        <w:t xml:space="preserve"> session of the Inland Transport Committee</w:t>
      </w:r>
      <w:r w:rsidR="008B4E22" w:rsidRPr="00D725A0">
        <w:t xml:space="preserve"> </w:t>
      </w:r>
      <w:r w:rsidRPr="00D725A0">
        <w:t>(agenda item 2)</w:t>
      </w:r>
      <w:bookmarkEnd w:id="4"/>
    </w:p>
    <w:p w14:paraId="295A6222" w14:textId="77777777" w:rsidR="008E6817" w:rsidRPr="00FD6447" w:rsidRDefault="008E6817" w:rsidP="008E6817">
      <w:pPr>
        <w:pStyle w:val="SingleTxtG"/>
        <w:keepNext/>
        <w:keepLines/>
      </w:pPr>
      <w:r w:rsidRPr="00B301DD">
        <w:rPr>
          <w:i/>
          <w:iCs/>
        </w:rPr>
        <w:t>Document</w:t>
      </w:r>
      <w:r w:rsidRPr="00FD6447">
        <w:t>:</w:t>
      </w:r>
      <w:r w:rsidRPr="00FD6447">
        <w:tab/>
      </w:r>
      <w:r>
        <w:tab/>
      </w:r>
      <w:r w:rsidRPr="00FD6447">
        <w:t>ECE/TRANS/274 (Secretariat)</w:t>
      </w:r>
    </w:p>
    <w:p w14:paraId="0B737FAE" w14:textId="77777777" w:rsidR="008E6817" w:rsidRPr="00167ED9" w:rsidRDefault="008E6817" w:rsidP="008E6817">
      <w:pPr>
        <w:pStyle w:val="SingleTxtG"/>
      </w:pPr>
      <w:r>
        <w:t>8</w:t>
      </w:r>
      <w:r w:rsidRPr="00FD6447">
        <w:t>.</w:t>
      </w:r>
      <w:r w:rsidRPr="00FD6447">
        <w:tab/>
      </w:r>
      <w:r>
        <w:t>The</w:t>
      </w:r>
      <w:r w:rsidRPr="00FD6447">
        <w:t xml:space="preserve"> Working Party </w:t>
      </w:r>
      <w:r>
        <w:t xml:space="preserve">noted that the Bureau of the Inland Transport Committee (ITC) will consider, </w:t>
      </w:r>
      <w:r w:rsidRPr="00167ED9">
        <w:t xml:space="preserve">during its next session on 29 and 30 November 2018, the comments received on the ITC draft strategy until 2030. Once cleared by the Bureau, the revised draft strategy will be submitted for decision to the </w:t>
      </w:r>
      <w:r>
        <w:t>ITC</w:t>
      </w:r>
      <w:r w:rsidRPr="00167ED9">
        <w:t xml:space="preserve"> restricted session, to be held on 19 February 2019. It was noted that the secretariat was expecting a high-level participation to that session in support of the ITC strategy.</w:t>
      </w:r>
    </w:p>
    <w:p w14:paraId="68F5FB11" w14:textId="77777777" w:rsidR="008E6817" w:rsidRDefault="008E6817" w:rsidP="008E6817">
      <w:pPr>
        <w:pStyle w:val="SingleTxtG"/>
      </w:pPr>
      <w:r>
        <w:t>9</w:t>
      </w:r>
      <w:r w:rsidRPr="00167ED9">
        <w:t xml:space="preserve">. </w:t>
      </w:r>
      <w:r w:rsidRPr="00167ED9">
        <w:tab/>
        <w:t>The Working Party also noted that</w:t>
      </w:r>
      <w:r>
        <w:t>,</w:t>
      </w:r>
      <w:r w:rsidRPr="00167ED9">
        <w:t xml:space="preserve"> </w:t>
      </w:r>
      <w:proofErr w:type="gramStart"/>
      <w:r w:rsidRPr="00167ED9">
        <w:t>as a result of</w:t>
      </w:r>
      <w:proofErr w:type="gramEnd"/>
      <w:r w:rsidRPr="00167ED9">
        <w:t xml:space="preserve"> the reform of the United Nations Planning and budget cycle, a number of changes are expected as from 2020, both on its structure and on its contents. For instance, the program plan and performance will be prepared on an annual basis (and not on a 2-year basis as it was the case until now), will include post and non-post resource requirements, and will be focused on deliverables (instead of “expected accomplishments and indicators”) as a better way to measure success. The secretariat will continue to keep the Working Party informed of these developments.</w:t>
      </w:r>
    </w:p>
    <w:p w14:paraId="3FADB89B" w14:textId="77777777" w:rsidR="008E6817" w:rsidRPr="00167ED9" w:rsidRDefault="008E6817" w:rsidP="008E6817">
      <w:pPr>
        <w:pStyle w:val="SingleTxtG"/>
      </w:pPr>
      <w:r>
        <w:lastRenderedPageBreak/>
        <w:t>10.</w:t>
      </w:r>
      <w:r>
        <w:tab/>
        <w:t xml:space="preserve">The Working Party was informed that the report of the Inland Transport Committee on its eightieth session was available on the UNECE website in English, French and Russian. </w:t>
      </w:r>
    </w:p>
    <w:p w14:paraId="068FEEB3" w14:textId="77777777" w:rsidR="00336208" w:rsidRDefault="00336208" w:rsidP="0094356B">
      <w:pPr>
        <w:pStyle w:val="HChG"/>
      </w:pPr>
      <w:r w:rsidRPr="00D725A0">
        <w:tab/>
      </w:r>
      <w:bookmarkStart w:id="5" w:name="_Toc499903632"/>
      <w:r w:rsidRPr="00D725A0">
        <w:t>IV.</w:t>
      </w:r>
      <w:r w:rsidRPr="00D725A0">
        <w:tab/>
        <w:t>Status of the European Agreement concerning the International Carriage of Dangerous Goods by Road (ADR) and related issues (agenda item 3)</w:t>
      </w:r>
      <w:bookmarkEnd w:id="5"/>
    </w:p>
    <w:p w14:paraId="5AC4FB14" w14:textId="77777777" w:rsidR="008E6817" w:rsidRPr="00FD6447" w:rsidRDefault="008E6817" w:rsidP="008E6817">
      <w:pPr>
        <w:pStyle w:val="H1G"/>
      </w:pPr>
      <w:r>
        <w:tab/>
      </w:r>
      <w:r w:rsidRPr="00FD6447">
        <w:t>A.</w:t>
      </w:r>
      <w:r w:rsidRPr="00FD6447">
        <w:tab/>
        <w:t xml:space="preserve">Status of the Agreement </w:t>
      </w:r>
      <w:r>
        <w:t>and Protocol of amendment of 1993</w:t>
      </w:r>
    </w:p>
    <w:p w14:paraId="51E114FE" w14:textId="77777777" w:rsidR="008E6817" w:rsidRDefault="008E6817" w:rsidP="008E6817">
      <w:pPr>
        <w:pStyle w:val="SingleTxtG"/>
        <w:keepNext/>
        <w:keepLines/>
        <w:spacing w:after="0"/>
      </w:pPr>
      <w:r>
        <w:rPr>
          <w:i/>
          <w:iCs/>
        </w:rPr>
        <w:t>Informal d</w:t>
      </w:r>
      <w:r w:rsidRPr="00B301DD">
        <w:rPr>
          <w:i/>
          <w:iCs/>
        </w:rPr>
        <w:t>ocument</w:t>
      </w:r>
      <w:r>
        <w:rPr>
          <w:i/>
          <w:iCs/>
        </w:rPr>
        <w:t>s</w:t>
      </w:r>
      <w:r w:rsidRPr="00FD6447">
        <w:t>:</w:t>
      </w:r>
      <w:r w:rsidRPr="00FD6447">
        <w:tab/>
      </w:r>
      <w:r>
        <w:t xml:space="preserve"> </w:t>
      </w:r>
      <w:r>
        <w:tab/>
        <w:t xml:space="preserve">INF.15 and INF.16 </w:t>
      </w:r>
      <w:r w:rsidRPr="00FD6447">
        <w:t>(Secretariat)</w:t>
      </w:r>
    </w:p>
    <w:p w14:paraId="42EF2F3D" w14:textId="77777777" w:rsidR="008E6817" w:rsidRPr="00FD6447" w:rsidRDefault="008E6817" w:rsidP="008E6817">
      <w:pPr>
        <w:pStyle w:val="SingleTxtG"/>
        <w:spacing w:before="120"/>
      </w:pPr>
      <w:r>
        <w:t>11</w:t>
      </w:r>
      <w:r w:rsidRPr="00FD6447">
        <w:t>.</w:t>
      </w:r>
      <w:r w:rsidRPr="00FD6447">
        <w:tab/>
        <w:t xml:space="preserve">The Working Party welcomed the accession of </w:t>
      </w:r>
      <w:r>
        <w:t>Nigeria</w:t>
      </w:r>
      <w:r w:rsidRPr="00FD6447">
        <w:t xml:space="preserve"> to ADR (depositary notification C.N.</w:t>
      </w:r>
      <w:proofErr w:type="gramStart"/>
      <w:r>
        <w:t>506</w:t>
      </w:r>
      <w:r w:rsidRPr="00FD6447">
        <w:t>.2018.TREATIES</w:t>
      </w:r>
      <w:proofErr w:type="gramEnd"/>
      <w:r w:rsidRPr="00FD6447">
        <w:t>-XI.B.14), which brought the number of contracting parties to 5</w:t>
      </w:r>
      <w:r>
        <w:t>1</w:t>
      </w:r>
      <w:r w:rsidRPr="00FD6447">
        <w:t>.</w:t>
      </w:r>
    </w:p>
    <w:p w14:paraId="6CF3FE44" w14:textId="77777777" w:rsidR="008E6817" w:rsidRDefault="008E6817" w:rsidP="008E6817">
      <w:pPr>
        <w:pStyle w:val="SingleTxtG"/>
      </w:pPr>
      <w:r>
        <w:t>12.</w:t>
      </w:r>
      <w:r w:rsidRPr="00FD6447">
        <w:tab/>
        <w:t xml:space="preserve">The </w:t>
      </w:r>
      <w:r>
        <w:t>Working Party noted that the amendments adopted in the preceding two years (ECE/TRANS/WP.15/240 and Corr.1 and ECE/TRANS/WP.15/240/Add.1) had been proposed to the Contracting Parties by the Government of Portugal and had been deemed to be accepted for entry into force on 1 January 2019 (depositary notification C.N.304.2018.TREATIES-XI.B.14 of 1 July 2018 and C.N.488.2018.TREATIES-XI-B.14 of 14 October 2018).</w:t>
      </w:r>
    </w:p>
    <w:p w14:paraId="676E5F00" w14:textId="4A2C527B" w:rsidR="008E6817" w:rsidRPr="00FD6447" w:rsidRDefault="008E6817" w:rsidP="008E6817">
      <w:pPr>
        <w:pStyle w:val="SingleTxtG"/>
      </w:pPr>
      <w:r>
        <w:t>13</w:t>
      </w:r>
      <w:r w:rsidRPr="00FD6447">
        <w:t>.</w:t>
      </w:r>
      <w:r w:rsidRPr="00FD6447">
        <w:tab/>
      </w:r>
      <w:r>
        <w:t xml:space="preserve">The Working Party </w:t>
      </w:r>
      <w:r w:rsidRPr="00FD6447">
        <w:t xml:space="preserve">encouraged the countries that had not yet deposited the required legal instruments for the Protocol to enter into force (Azerbaijan, </w:t>
      </w:r>
      <w:r w:rsidR="000661AB">
        <w:t xml:space="preserve">Belarus, </w:t>
      </w:r>
      <w:r w:rsidRPr="00FD6447">
        <w:t xml:space="preserve">Bosnia and Herzegovina, Croatia, Georgia, Iceland, Kazakhstan, Malta, Montenegro, Morocco, </w:t>
      </w:r>
      <w:r>
        <w:t xml:space="preserve">Nigeria, </w:t>
      </w:r>
      <w:r w:rsidR="000661AB">
        <w:t>San</w:t>
      </w:r>
      <w:r w:rsidR="009E5761">
        <w:t xml:space="preserve"> </w:t>
      </w:r>
      <w:r w:rsidR="000661AB">
        <w:t xml:space="preserve">Marino, </w:t>
      </w:r>
      <w:r w:rsidRPr="00FD6447">
        <w:t>Tajikistan</w:t>
      </w:r>
      <w:r w:rsidR="000661AB">
        <w:t xml:space="preserve">, </w:t>
      </w:r>
      <w:r w:rsidRPr="00FD6447">
        <w:t>the former Yugoslav Republic of Macedonia</w:t>
      </w:r>
      <w:r w:rsidR="009E7793">
        <w:t xml:space="preserve"> and Tunisia</w:t>
      </w:r>
      <w:r w:rsidRPr="00FD6447">
        <w:t>) to take the necessary measures to ratify or accede to it so that it could come into effect.</w:t>
      </w:r>
    </w:p>
    <w:p w14:paraId="103F7D36" w14:textId="77777777" w:rsidR="008E6817" w:rsidRDefault="008E6817" w:rsidP="008E6817">
      <w:pPr>
        <w:pStyle w:val="H1G"/>
      </w:pPr>
      <w:r>
        <w:tab/>
        <w:t>B</w:t>
      </w:r>
      <w:r w:rsidRPr="00FD6447">
        <w:t>.</w:t>
      </w:r>
      <w:r w:rsidRPr="00FD6447">
        <w:tab/>
      </w:r>
      <w:r>
        <w:t>Change of the current title of the ADR</w:t>
      </w:r>
    </w:p>
    <w:p w14:paraId="6EB33DE8" w14:textId="439AF917" w:rsidR="008E6817" w:rsidRDefault="008E6817" w:rsidP="008E6817">
      <w:pPr>
        <w:pStyle w:val="SingleTxtG"/>
        <w:keepNext/>
        <w:keepLines/>
        <w:spacing w:after="0"/>
      </w:pPr>
      <w:r>
        <w:tab/>
      </w:r>
      <w:r>
        <w:rPr>
          <w:i/>
          <w:iCs/>
        </w:rPr>
        <w:t>Informal d</w:t>
      </w:r>
      <w:r w:rsidRPr="00B301DD">
        <w:rPr>
          <w:i/>
          <w:iCs/>
        </w:rPr>
        <w:t>ocument</w:t>
      </w:r>
      <w:r>
        <w:rPr>
          <w:i/>
          <w:iCs/>
        </w:rPr>
        <w:t>s</w:t>
      </w:r>
      <w:r w:rsidRPr="00FD6447">
        <w:t>:</w:t>
      </w:r>
      <w:r w:rsidRPr="00FD6447">
        <w:tab/>
      </w:r>
      <w:r>
        <w:tab/>
        <w:t xml:space="preserve"> </w:t>
      </w:r>
      <w:r w:rsidR="00325EA6">
        <w:t xml:space="preserve">INF.19 (Austria) and </w:t>
      </w:r>
      <w:r>
        <w:t xml:space="preserve">INF.24 </w:t>
      </w:r>
      <w:r w:rsidRPr="00FD6447">
        <w:t>(Secretariat)</w:t>
      </w:r>
      <w:r>
        <w:t xml:space="preserve"> </w:t>
      </w:r>
    </w:p>
    <w:p w14:paraId="6D5ADD72" w14:textId="77777777" w:rsidR="008E6817" w:rsidRDefault="008E6817" w:rsidP="008E6817">
      <w:pPr>
        <w:pStyle w:val="SingleTxtG"/>
        <w:spacing w:before="120"/>
      </w:pPr>
      <w:r>
        <w:t>14.</w:t>
      </w:r>
      <w:r>
        <w:tab/>
        <w:t>The Working Party was informed that, following its discussions at the 104th session regarding the change of the current title of the ADR (see ECE/TRANS/WP.15/242, paragraphs 45 to 49), the Government of Portugal has requested the United Nations Secretary General, in accordance with paragraph 1 of article 13 of the ADR, to convene a Conference of the Contracting Parties to the ADR, to be held during the 106th session of the Working Party (13-17 May 2019).</w:t>
      </w:r>
    </w:p>
    <w:p w14:paraId="51EE5B78" w14:textId="198002AB" w:rsidR="008E6817" w:rsidRDefault="008E6817" w:rsidP="008E6817">
      <w:pPr>
        <w:pStyle w:val="SingleTxtG"/>
      </w:pPr>
      <w:r>
        <w:t>15.</w:t>
      </w:r>
      <w:r>
        <w:tab/>
        <w:t xml:space="preserve">It was noted that the secretariat had transmitted the request of Portugal to all the Contracting Parties and that convening this conference is subject to the expression of concurrence of at least one-fourth of the Contracting Parties (13 contracting parties) within a period of four months following the notification by the secretariat. For organisational reasons, and </w:t>
      </w:r>
      <w:proofErr w:type="gramStart"/>
      <w:r>
        <w:t>in order to</w:t>
      </w:r>
      <w:proofErr w:type="gramEnd"/>
      <w:r>
        <w:t xml:space="preserve"> be able to convene the conference during the 106</w:t>
      </w:r>
      <w:r w:rsidRPr="00E237C7">
        <w:rPr>
          <w:vertAlign w:val="superscript"/>
        </w:rPr>
        <w:t>th</w:t>
      </w:r>
      <w:r>
        <w:t xml:space="preserve"> session of the Working Party, the secretariat invited the countries that support the proposal to send their letters of concurrence as soon as possible and in any case, no</w:t>
      </w:r>
      <w:r w:rsidR="005C3745">
        <w:t>t</w:t>
      </w:r>
      <w:r>
        <w:t xml:space="preserve"> later than 13 February 2019.</w:t>
      </w:r>
    </w:p>
    <w:p w14:paraId="4037EA94" w14:textId="77777777" w:rsidR="008E6817" w:rsidRDefault="008E6817" w:rsidP="008E6817">
      <w:pPr>
        <w:pStyle w:val="SingleTxtG"/>
      </w:pPr>
      <w:r>
        <w:t>16.</w:t>
      </w:r>
      <w:r>
        <w:tab/>
        <w:t xml:space="preserve">The Working Party noted the concerns expressed by Austria in informal document INF.19 but did not support the proposal to delay the process to amend the title of the ADR. It was noted that the agreement was open for accession to non-ECE countries, that removing the word “European” from its title would be consistent with this fact and would facilitate accession of countries for which this mention represented an obstacle. It was also noted that the General Assembly, in its Resolution A/RES/72/271 of 12 April 2018 on improving road safety, reaffirmed the role and importance of ADR as one of the United Nations legal </w:t>
      </w:r>
      <w:r>
        <w:lastRenderedPageBreak/>
        <w:t>instruments contributing to road safety facilitation at the global, regional and national levels and encouraged Member States that have not yet done so to consider becoming Contracting Parties.</w:t>
      </w:r>
    </w:p>
    <w:p w14:paraId="3C2EFD64" w14:textId="2165106D" w:rsidR="008E6817" w:rsidRDefault="008E6817" w:rsidP="008E6817">
      <w:pPr>
        <w:pStyle w:val="SingleTxtG"/>
      </w:pPr>
      <w:r>
        <w:t>17.</w:t>
      </w:r>
      <w:r>
        <w:tab/>
        <w:t xml:space="preserve">On the concerns expressed by Austria </w:t>
      </w:r>
      <w:r w:rsidR="00EF6955">
        <w:t>regarding</w:t>
      </w:r>
      <w:r>
        <w:t xml:space="preserve"> decision making within WP.15, the Working Party considered that rule 35 of its rules of procedure could be revised at any time, if </w:t>
      </w:r>
      <w:r w:rsidR="000034E8">
        <w:t xml:space="preserve">deemed </w:t>
      </w:r>
      <w:r>
        <w:t xml:space="preserve">necessary.  </w:t>
      </w:r>
    </w:p>
    <w:p w14:paraId="71BBC60F" w14:textId="77777777" w:rsidR="008E6817" w:rsidRDefault="008E6817" w:rsidP="008E6817">
      <w:pPr>
        <w:pStyle w:val="H1G"/>
      </w:pPr>
      <w:r>
        <w:tab/>
        <w:t>C</w:t>
      </w:r>
      <w:r w:rsidRPr="00FD6447">
        <w:t>.</w:t>
      </w:r>
      <w:r w:rsidRPr="00FD6447">
        <w:tab/>
      </w:r>
      <w:proofErr w:type="spellStart"/>
      <w:r>
        <w:t>EuroMed</w:t>
      </w:r>
      <w:proofErr w:type="spellEnd"/>
      <w:r>
        <w:t xml:space="preserve"> Transport Project</w:t>
      </w:r>
    </w:p>
    <w:p w14:paraId="1709FD90" w14:textId="77777777" w:rsidR="00065C3F" w:rsidRDefault="00065C3F" w:rsidP="00065C3F">
      <w:pPr>
        <w:pStyle w:val="SingleTxtG"/>
      </w:pPr>
      <w:r w:rsidRPr="000C5300">
        <w:rPr>
          <w:i/>
          <w:iCs/>
        </w:rPr>
        <w:t>Informal document</w:t>
      </w:r>
      <w:r>
        <w:t>:</w:t>
      </w:r>
      <w:r>
        <w:tab/>
      </w:r>
      <w:r>
        <w:tab/>
        <w:t>INF.33 (</w:t>
      </w:r>
      <w:proofErr w:type="spellStart"/>
      <w:r>
        <w:t>EuroMed</w:t>
      </w:r>
      <w:proofErr w:type="spellEnd"/>
      <w:r>
        <w:t>)</w:t>
      </w:r>
    </w:p>
    <w:p w14:paraId="4BAA1A65" w14:textId="11D3CB95" w:rsidR="008E6817" w:rsidRDefault="008E6817" w:rsidP="008E6817">
      <w:pPr>
        <w:pStyle w:val="SingleTxtG"/>
      </w:pPr>
      <w:r>
        <w:t>18.</w:t>
      </w:r>
      <w:r>
        <w:tab/>
        <w:t xml:space="preserve">The representative of the </w:t>
      </w:r>
      <w:proofErr w:type="spellStart"/>
      <w:r>
        <w:t>EuroMed</w:t>
      </w:r>
      <w:proofErr w:type="spellEnd"/>
      <w:r>
        <w:t xml:space="preserve"> </w:t>
      </w:r>
      <w:r w:rsidR="005616C8">
        <w:t xml:space="preserve">project </w:t>
      </w:r>
      <w:r>
        <w:t>presented the various activities carried out to harmonize the national and international regulations of the partner countries following the model of the ADR.</w:t>
      </w:r>
    </w:p>
    <w:p w14:paraId="57C372BA" w14:textId="77777777" w:rsidR="008E6817" w:rsidRDefault="008E6817" w:rsidP="008E6817">
      <w:pPr>
        <w:pStyle w:val="SingleTxtG"/>
      </w:pPr>
      <w:r>
        <w:t>19.</w:t>
      </w:r>
      <w:r>
        <w:tab/>
        <w:t>The representatives of Algeria, Egypt, Jordan, Lebanon and the State of Palestine presented the activities currently under way in their respective countries in view to a future accession to ADR. The representatives of Tunisia and Morocco provided an update on the status of implementation of the Agreement in their countries.</w:t>
      </w:r>
    </w:p>
    <w:p w14:paraId="001521D7" w14:textId="3D33F3F9" w:rsidR="008E6817" w:rsidRPr="00FD6447" w:rsidRDefault="008E6817" w:rsidP="008E6817">
      <w:pPr>
        <w:pStyle w:val="SingleTxtG"/>
      </w:pPr>
      <w:r>
        <w:t>20.</w:t>
      </w:r>
      <w:r>
        <w:tab/>
        <w:t xml:space="preserve">The Working Party noted with satisfaction the efforts made by the countries participating to this project and welcomed the support of </w:t>
      </w:r>
      <w:proofErr w:type="spellStart"/>
      <w:r>
        <w:t>EuroMed</w:t>
      </w:r>
      <w:proofErr w:type="spellEnd"/>
      <w:r>
        <w:t xml:space="preserve"> in assisting them towards accession to and implementation of ADR. It was also noted that the unavailability of ADR in Arabic was a major challenge for accession in some countries. The Working Party took note of the ongoing discussions between </w:t>
      </w:r>
      <w:proofErr w:type="spellStart"/>
      <w:r>
        <w:t>EuroMed</w:t>
      </w:r>
      <w:proofErr w:type="spellEnd"/>
      <w:r>
        <w:t xml:space="preserve">, the Economic and Social Commission for Western Asia (ESCWA) and the Linguistic Services of the Office of the United Nations </w:t>
      </w:r>
      <w:r w:rsidR="00AB5559">
        <w:t xml:space="preserve">in </w:t>
      </w:r>
      <w:r>
        <w:t>Geneva, for an agreement to translate the ADR into Arabic and welcomed this initiative as it would facilitate accession of some countries.</w:t>
      </w:r>
    </w:p>
    <w:p w14:paraId="45BFE788" w14:textId="77777777" w:rsidR="00336208" w:rsidRDefault="00336208" w:rsidP="00846D0E">
      <w:pPr>
        <w:pStyle w:val="HChG"/>
      </w:pPr>
      <w:r w:rsidRPr="00D725A0">
        <w:tab/>
      </w:r>
      <w:bookmarkStart w:id="6" w:name="_Toc499903635"/>
      <w:r w:rsidRPr="00D725A0">
        <w:t>V.</w:t>
      </w:r>
      <w:r w:rsidRPr="00D725A0">
        <w:tab/>
        <w:t>Work of the RID/ADR/ADN Joint Meeting (agenda item 4)</w:t>
      </w:r>
      <w:bookmarkEnd w:id="6"/>
    </w:p>
    <w:p w14:paraId="6E222F9C" w14:textId="77777777" w:rsidR="008E6817" w:rsidRPr="00E13A6B" w:rsidRDefault="008E6817" w:rsidP="008E6817">
      <w:pPr>
        <w:pStyle w:val="H1G"/>
      </w:pPr>
      <w:r>
        <w:tab/>
      </w:r>
      <w:r w:rsidRPr="00E13A6B">
        <w:t>A.</w:t>
      </w:r>
      <w:r w:rsidRPr="00E13A6B">
        <w:tab/>
        <w:t xml:space="preserve">Amendments proposed by the </w:t>
      </w:r>
      <w:r>
        <w:t>Joint Meeting at its spring and autumn 2018</w:t>
      </w:r>
      <w:r w:rsidRPr="00E13A6B">
        <w:t xml:space="preserve"> session</w:t>
      </w:r>
      <w:r>
        <w:t>s</w:t>
      </w:r>
    </w:p>
    <w:p w14:paraId="30896E08" w14:textId="6A3EA113" w:rsidR="008E6817" w:rsidRDefault="008E6817" w:rsidP="008E6817">
      <w:pPr>
        <w:pStyle w:val="SingleTxtG"/>
        <w:spacing w:after="0"/>
        <w:rPr>
          <w:lang w:val="fr-CH"/>
        </w:rPr>
      </w:pPr>
      <w:proofErr w:type="gramStart"/>
      <w:r w:rsidRPr="009C5A0D">
        <w:rPr>
          <w:i/>
          <w:iCs/>
          <w:lang w:val="fr-CH"/>
        </w:rPr>
        <w:t>Document</w:t>
      </w:r>
      <w:r w:rsidR="000C5300">
        <w:rPr>
          <w:i/>
          <w:iCs/>
          <w:lang w:val="fr-CH"/>
        </w:rPr>
        <w:t>s</w:t>
      </w:r>
      <w:r>
        <w:rPr>
          <w:lang w:val="fr-CH"/>
        </w:rPr>
        <w:t>:</w:t>
      </w:r>
      <w:proofErr w:type="gramEnd"/>
      <w:r>
        <w:rPr>
          <w:lang w:val="fr-CH"/>
        </w:rPr>
        <w:tab/>
      </w:r>
      <w:r>
        <w:rPr>
          <w:lang w:val="fr-CH"/>
        </w:rPr>
        <w:tab/>
      </w:r>
      <w:r>
        <w:rPr>
          <w:lang w:val="fr-CH"/>
        </w:rPr>
        <w:tab/>
        <w:t>ECE/TRANS/WP.15/AC.1/150</w:t>
      </w:r>
      <w:r w:rsidRPr="000C4551">
        <w:rPr>
          <w:lang w:val="fr-CH"/>
        </w:rPr>
        <w:t xml:space="preserve">, </w:t>
      </w:r>
      <w:proofErr w:type="spellStart"/>
      <w:r w:rsidR="00D13EBF">
        <w:rPr>
          <w:lang w:val="fr-CH"/>
        </w:rPr>
        <w:t>annex</w:t>
      </w:r>
      <w:proofErr w:type="spellEnd"/>
      <w:r w:rsidR="00D13EBF">
        <w:rPr>
          <w:lang w:val="fr-CH"/>
        </w:rPr>
        <w:t xml:space="preserve"> IV (</w:t>
      </w:r>
      <w:proofErr w:type="spellStart"/>
      <w:r w:rsidR="00D13EBF">
        <w:rPr>
          <w:lang w:val="fr-CH"/>
        </w:rPr>
        <w:t>S</w:t>
      </w:r>
      <w:r>
        <w:rPr>
          <w:lang w:val="fr-CH"/>
        </w:rPr>
        <w:t>ecretariat</w:t>
      </w:r>
      <w:proofErr w:type="spellEnd"/>
      <w:r>
        <w:rPr>
          <w:lang w:val="fr-CH"/>
        </w:rPr>
        <w:t>)</w:t>
      </w:r>
    </w:p>
    <w:p w14:paraId="234EF436" w14:textId="7004C28A" w:rsidR="008E6817" w:rsidRDefault="008E6817" w:rsidP="008E6817">
      <w:pPr>
        <w:pStyle w:val="SingleTxtG"/>
        <w:spacing w:after="0"/>
        <w:rPr>
          <w:lang w:val="fr-CH"/>
        </w:rPr>
      </w:pPr>
      <w:r>
        <w:rPr>
          <w:i/>
          <w:iCs/>
          <w:lang w:val="fr-CH"/>
        </w:rPr>
        <w:tab/>
      </w:r>
      <w:r>
        <w:rPr>
          <w:i/>
          <w:iCs/>
          <w:lang w:val="fr-CH"/>
        </w:rPr>
        <w:tab/>
      </w:r>
      <w:r>
        <w:rPr>
          <w:i/>
          <w:iCs/>
          <w:lang w:val="fr-CH"/>
        </w:rPr>
        <w:tab/>
      </w:r>
      <w:r>
        <w:rPr>
          <w:i/>
          <w:iCs/>
          <w:lang w:val="fr-CH"/>
        </w:rPr>
        <w:tab/>
      </w:r>
      <w:r>
        <w:rPr>
          <w:i/>
          <w:iCs/>
          <w:lang w:val="fr-CH"/>
        </w:rPr>
        <w:tab/>
      </w:r>
      <w:r>
        <w:rPr>
          <w:lang w:val="fr-CH"/>
        </w:rPr>
        <w:t xml:space="preserve">ECE/TRANS/WP.15/AC.1/152 and </w:t>
      </w:r>
      <w:r w:rsidRPr="000C4551">
        <w:rPr>
          <w:lang w:val="fr-CH"/>
        </w:rPr>
        <w:t>Add.</w:t>
      </w:r>
      <w:r w:rsidR="00D13EBF">
        <w:rPr>
          <w:lang w:val="fr-CH"/>
        </w:rPr>
        <w:t>1 (</w:t>
      </w:r>
      <w:proofErr w:type="spellStart"/>
      <w:r w:rsidR="00D13EBF">
        <w:rPr>
          <w:lang w:val="fr-CH"/>
        </w:rPr>
        <w:t>S</w:t>
      </w:r>
      <w:r>
        <w:rPr>
          <w:lang w:val="fr-CH"/>
        </w:rPr>
        <w:t>ecretariat</w:t>
      </w:r>
      <w:proofErr w:type="spellEnd"/>
      <w:r>
        <w:rPr>
          <w:lang w:val="fr-CH"/>
        </w:rPr>
        <w:t>)</w:t>
      </w:r>
    </w:p>
    <w:p w14:paraId="26FB8426" w14:textId="09766188" w:rsidR="008E6817" w:rsidRDefault="008E6817" w:rsidP="008E6817">
      <w:pPr>
        <w:pStyle w:val="SingleTxtG"/>
        <w:spacing w:before="120"/>
        <w:rPr>
          <w:lang w:val="fr-CH"/>
        </w:rPr>
      </w:pPr>
      <w:r>
        <w:rPr>
          <w:i/>
          <w:iCs/>
          <w:lang w:val="fr-CH"/>
        </w:rPr>
        <w:t>Informal documents </w:t>
      </w:r>
      <w:r w:rsidRPr="003F72A4">
        <w:rPr>
          <w:lang w:val="fr-CH"/>
        </w:rPr>
        <w:t>:</w:t>
      </w:r>
      <w:r w:rsidR="00D13EBF">
        <w:rPr>
          <w:lang w:val="fr-CH"/>
        </w:rPr>
        <w:tab/>
        <w:t>INF.21 and Add.1 (</w:t>
      </w:r>
      <w:proofErr w:type="spellStart"/>
      <w:r w:rsidR="00D13EBF">
        <w:rPr>
          <w:lang w:val="fr-CH"/>
        </w:rPr>
        <w:t>S</w:t>
      </w:r>
      <w:r>
        <w:rPr>
          <w:lang w:val="fr-CH"/>
        </w:rPr>
        <w:t>ecretariat</w:t>
      </w:r>
      <w:proofErr w:type="spellEnd"/>
      <w:r>
        <w:rPr>
          <w:lang w:val="fr-CH"/>
        </w:rPr>
        <w:t>)</w:t>
      </w:r>
    </w:p>
    <w:p w14:paraId="1A09790D" w14:textId="336D31AE" w:rsidR="008E6817" w:rsidRDefault="008E6817" w:rsidP="008E6817">
      <w:pPr>
        <w:pStyle w:val="SingleTxtG"/>
        <w:spacing w:before="120"/>
      </w:pPr>
      <w:r>
        <w:t>21.</w:t>
      </w:r>
      <w:r>
        <w:tab/>
        <w:t>The amendment</w:t>
      </w:r>
      <w:r w:rsidRPr="00E13A6B">
        <w:t xml:space="preserve"> </w:t>
      </w:r>
      <w:r>
        <w:t xml:space="preserve">related to Chapter 6.8 in </w:t>
      </w:r>
      <w:r>
        <w:rPr>
          <w:lang w:val="fr-CH"/>
        </w:rPr>
        <w:t>ECE/TRANS/WP.15/AC.1/150</w:t>
      </w:r>
      <w:r w:rsidRPr="000C4551">
        <w:rPr>
          <w:lang w:val="fr-CH"/>
        </w:rPr>
        <w:t xml:space="preserve">, </w:t>
      </w:r>
      <w:proofErr w:type="spellStart"/>
      <w:r>
        <w:rPr>
          <w:lang w:val="fr-CH"/>
        </w:rPr>
        <w:t>annex</w:t>
      </w:r>
      <w:proofErr w:type="spellEnd"/>
      <w:r>
        <w:rPr>
          <w:lang w:val="fr-CH"/>
        </w:rPr>
        <w:t xml:space="preserve"> IV </w:t>
      </w:r>
      <w:r>
        <w:t xml:space="preserve">was adopted between brackets for entry into force on 1 January 2021, with a correction of the footnote reference to </w:t>
      </w:r>
      <w:proofErr w:type="gramStart"/>
      <w:r>
        <w:t>take into account</w:t>
      </w:r>
      <w:proofErr w:type="gramEnd"/>
      <w:r>
        <w:t xml:space="preserve"> the numbering in ADR 2019 (see annex</w:t>
      </w:r>
      <w:r w:rsidR="00D769A8">
        <w:t xml:space="preserve"> I). </w:t>
      </w:r>
      <w:r>
        <w:t xml:space="preserve">The Working Party noted that the </w:t>
      </w:r>
      <w:r w:rsidR="009B5B6E">
        <w:t xml:space="preserve">work on standards </w:t>
      </w:r>
      <w:r>
        <w:t xml:space="preserve">related to 6.8.2.1.18 </w:t>
      </w:r>
      <w:r w:rsidR="00FA2799">
        <w:t xml:space="preserve">was </w:t>
      </w:r>
      <w:r>
        <w:t xml:space="preserve">still ongoing and considered an adoption between brackets at this stage preferable. </w:t>
      </w:r>
    </w:p>
    <w:p w14:paraId="7875B9FE" w14:textId="7F17B327" w:rsidR="008E6817" w:rsidRDefault="008E6817" w:rsidP="008E6817">
      <w:pPr>
        <w:pStyle w:val="SingleTxtG"/>
      </w:pPr>
      <w:r>
        <w:t>22.</w:t>
      </w:r>
      <w:r>
        <w:tab/>
        <w:t>The Working Party adopted the draft amendments for standards proposed by the Joint Meeting for entry into force on 1 January 2021, as presented in annex I of informal document INF.21/Add.1 (see annex</w:t>
      </w:r>
      <w:r w:rsidR="0099696F">
        <w:t xml:space="preserve"> I).</w:t>
      </w:r>
    </w:p>
    <w:p w14:paraId="576D300C" w14:textId="204DF2F1" w:rsidR="008E6817" w:rsidRDefault="008E6817" w:rsidP="008E6817">
      <w:pPr>
        <w:pStyle w:val="SingleTxtG"/>
      </w:pPr>
      <w:r>
        <w:t>23.</w:t>
      </w:r>
      <w:r>
        <w:tab/>
        <w:t>The Guideline for the application of EN 12972 proposed by the Joint Meeting and reproduced in annex II of informal document INF.21/Add.1 was adopted</w:t>
      </w:r>
      <w:r w:rsidR="009E5761">
        <w:t xml:space="preserve"> (see annex II)</w:t>
      </w:r>
      <w:r>
        <w:t>. The Working Party requested the secretariat to publish this guideline on the UNECE website to encourage the application of the provisions of EN 12972: 2018 as soon as possible</w:t>
      </w:r>
      <w:r w:rsidR="003F579A">
        <w:t>.</w:t>
      </w:r>
      <w:r w:rsidR="003F579A" w:rsidRPr="00E13A6B">
        <w:t xml:space="preserve"> </w:t>
      </w:r>
    </w:p>
    <w:p w14:paraId="12D9100F" w14:textId="696DDC25" w:rsidR="008E6817" w:rsidRDefault="008E6817" w:rsidP="008E6817">
      <w:pPr>
        <w:pStyle w:val="SingleTxtG"/>
      </w:pPr>
      <w:r>
        <w:lastRenderedPageBreak/>
        <w:t>24.</w:t>
      </w:r>
      <w:r>
        <w:tab/>
        <w:t>The Working Party also adopted the draft amendments in annex III of informal document INF.21/Add.1, already adopted by the Joint Meeting for entry into force on 1 January 2021 (see annex</w:t>
      </w:r>
      <w:r w:rsidR="001E4D4D">
        <w:t xml:space="preserve"> I).</w:t>
      </w:r>
    </w:p>
    <w:p w14:paraId="2C49BECE" w14:textId="77777777" w:rsidR="008E6817" w:rsidRPr="005730A3" w:rsidRDefault="008E6817" w:rsidP="008E6817">
      <w:pPr>
        <w:pStyle w:val="H1G"/>
        <w:rPr>
          <w:rFonts w:eastAsia="SimSun"/>
        </w:rPr>
      </w:pPr>
      <w:r w:rsidRPr="00E13A6B">
        <w:tab/>
      </w:r>
      <w:r>
        <w:rPr>
          <w:rFonts w:eastAsia="SimSun"/>
        </w:rPr>
        <w:t>B.</w:t>
      </w:r>
      <w:r>
        <w:rPr>
          <w:rFonts w:eastAsia="SimSun"/>
        </w:rPr>
        <w:tab/>
        <w:t>Other issues</w:t>
      </w:r>
    </w:p>
    <w:p w14:paraId="2429B6E2" w14:textId="2723A2FE" w:rsidR="008E6817" w:rsidRPr="00D734AF" w:rsidRDefault="008E6817" w:rsidP="008E6817">
      <w:pPr>
        <w:pStyle w:val="SingleTxtG"/>
        <w:spacing w:before="120"/>
        <w:rPr>
          <w:i/>
          <w:iCs/>
          <w:lang w:val="fr-CH"/>
        </w:rPr>
      </w:pPr>
      <w:proofErr w:type="gramStart"/>
      <w:r w:rsidRPr="009C5A0D">
        <w:rPr>
          <w:i/>
          <w:iCs/>
          <w:lang w:val="fr-CH"/>
        </w:rPr>
        <w:t>Document</w:t>
      </w:r>
      <w:r w:rsidRPr="00D734AF">
        <w:rPr>
          <w:i/>
          <w:iCs/>
          <w:lang w:val="fr-CH"/>
        </w:rPr>
        <w:t>:</w:t>
      </w:r>
      <w:proofErr w:type="gramEnd"/>
      <w:r w:rsidRPr="00D734AF">
        <w:rPr>
          <w:i/>
          <w:iCs/>
          <w:lang w:val="fr-CH"/>
        </w:rPr>
        <w:tab/>
      </w:r>
      <w:r>
        <w:rPr>
          <w:i/>
          <w:iCs/>
          <w:lang w:val="fr-CH"/>
        </w:rPr>
        <w:tab/>
      </w:r>
      <w:r>
        <w:rPr>
          <w:i/>
          <w:iCs/>
          <w:lang w:val="fr-CH"/>
        </w:rPr>
        <w:tab/>
      </w:r>
      <w:r w:rsidRPr="0073456D">
        <w:rPr>
          <w:lang w:val="fr-CH"/>
        </w:rPr>
        <w:t>ECE/TRANS/WP.15/AC.1/152 (</w:t>
      </w:r>
      <w:proofErr w:type="spellStart"/>
      <w:r w:rsidR="00D13EBF">
        <w:rPr>
          <w:lang w:val="fr-CH"/>
        </w:rPr>
        <w:t>S</w:t>
      </w:r>
      <w:r w:rsidRPr="0073456D">
        <w:rPr>
          <w:lang w:val="fr-CH"/>
        </w:rPr>
        <w:t>ecretariat</w:t>
      </w:r>
      <w:proofErr w:type="spellEnd"/>
      <w:r w:rsidRPr="0073456D">
        <w:rPr>
          <w:lang w:val="fr-CH"/>
        </w:rPr>
        <w:t>)</w:t>
      </w:r>
    </w:p>
    <w:p w14:paraId="6F59D1F8" w14:textId="0CFD913D" w:rsidR="008E6817" w:rsidRDefault="008E6817" w:rsidP="008E6817">
      <w:pPr>
        <w:pStyle w:val="SingleTxtG"/>
        <w:spacing w:before="120"/>
        <w:rPr>
          <w:i/>
          <w:iCs/>
          <w:lang w:val="fr-CH"/>
        </w:rPr>
      </w:pPr>
      <w:r w:rsidRPr="00D734AF">
        <w:rPr>
          <w:i/>
          <w:iCs/>
          <w:lang w:val="fr-CH"/>
        </w:rPr>
        <w:t xml:space="preserve">Informal </w:t>
      </w:r>
      <w:proofErr w:type="gramStart"/>
      <w:r w:rsidRPr="00D734AF">
        <w:rPr>
          <w:i/>
          <w:iCs/>
          <w:lang w:val="fr-CH"/>
        </w:rPr>
        <w:t>documents:</w:t>
      </w:r>
      <w:proofErr w:type="gramEnd"/>
      <w:r w:rsidRPr="00D734AF">
        <w:rPr>
          <w:i/>
          <w:iCs/>
          <w:lang w:val="fr-CH"/>
        </w:rPr>
        <w:tab/>
      </w:r>
      <w:r w:rsidRPr="00D734AF">
        <w:rPr>
          <w:i/>
          <w:iCs/>
          <w:lang w:val="fr-CH"/>
        </w:rPr>
        <w:tab/>
      </w:r>
      <w:r w:rsidR="00D13EBF">
        <w:rPr>
          <w:lang w:val="fr-CH"/>
        </w:rPr>
        <w:t>INF.21  and INF.27 (</w:t>
      </w:r>
      <w:proofErr w:type="spellStart"/>
      <w:r w:rsidR="00D13EBF">
        <w:rPr>
          <w:lang w:val="fr-CH"/>
        </w:rPr>
        <w:t>S</w:t>
      </w:r>
      <w:r w:rsidRPr="0073456D">
        <w:rPr>
          <w:lang w:val="fr-CH"/>
        </w:rPr>
        <w:t>ecretariat</w:t>
      </w:r>
      <w:proofErr w:type="spellEnd"/>
      <w:r w:rsidRPr="0073456D">
        <w:rPr>
          <w:lang w:val="fr-CH"/>
        </w:rPr>
        <w:t>)</w:t>
      </w:r>
      <w:r w:rsidRPr="00D734AF">
        <w:rPr>
          <w:i/>
          <w:iCs/>
          <w:lang w:val="fr-CH"/>
        </w:rPr>
        <w:t xml:space="preserve"> </w:t>
      </w:r>
    </w:p>
    <w:p w14:paraId="63D8F713" w14:textId="2BC28D5F" w:rsidR="008E6817" w:rsidRDefault="008E6817" w:rsidP="008E6817">
      <w:pPr>
        <w:pStyle w:val="SingleTxtG"/>
        <w:spacing w:before="120"/>
      </w:pPr>
      <w:r>
        <w:t>25</w:t>
      </w:r>
      <w:r w:rsidRPr="005730A3">
        <w:t>.</w:t>
      </w:r>
      <w:r w:rsidRPr="005730A3">
        <w:tab/>
        <w:t xml:space="preserve">The Working Party </w:t>
      </w:r>
      <w:r>
        <w:t xml:space="preserve">took note of the </w:t>
      </w:r>
      <w:r w:rsidR="00D13EBF">
        <w:t xml:space="preserve">outcome of the </w:t>
      </w:r>
      <w:r>
        <w:t xml:space="preserve">discussions of the Joint Meeting reproduced in informal document INF.21 </w:t>
      </w:r>
      <w:proofErr w:type="gramStart"/>
      <w:r>
        <w:t>in particular those</w:t>
      </w:r>
      <w:proofErr w:type="gramEnd"/>
      <w:r>
        <w:t xml:space="preserve"> related to references to “competent authority” which were entrusted to an informal working group. </w:t>
      </w:r>
    </w:p>
    <w:p w14:paraId="158B87F8" w14:textId="36A3540E" w:rsidR="008E6817" w:rsidRDefault="008E6817" w:rsidP="008E6817">
      <w:pPr>
        <w:pStyle w:val="SingleTxtG"/>
      </w:pPr>
      <w:r>
        <w:t>26.</w:t>
      </w:r>
      <w:r>
        <w:tab/>
        <w:t xml:space="preserve">Noting that parts 8 and 9 were specific to ADR, the Working Party considered that the work on the references for these parts should continue within the Working Party, </w:t>
      </w:r>
      <w:proofErr w:type="gramStart"/>
      <w:r>
        <w:t>taking into account</w:t>
      </w:r>
      <w:proofErr w:type="gramEnd"/>
      <w:r>
        <w:t xml:space="preserve"> the outcome of the Joint Meeting informal working group. </w:t>
      </w:r>
    </w:p>
    <w:p w14:paraId="0D927748" w14:textId="0C59CDB3" w:rsidR="00336208" w:rsidRDefault="008E6817" w:rsidP="00B91498">
      <w:pPr>
        <w:pStyle w:val="SingleTxtG"/>
      </w:pPr>
      <w:r>
        <w:t>27.</w:t>
      </w:r>
      <w:r>
        <w:tab/>
        <w:t xml:space="preserve">The Working Party requested the secretariat to submit informal document INF.27 as </w:t>
      </w:r>
      <w:r w:rsidR="00C45594">
        <w:t>an official</w:t>
      </w:r>
      <w:r>
        <w:t xml:space="preserve"> document for the next session. </w:t>
      </w:r>
      <w:r w:rsidR="00336208" w:rsidRPr="00D725A0">
        <w:tab/>
      </w:r>
    </w:p>
    <w:p w14:paraId="246599EB" w14:textId="02277A6A" w:rsidR="007A4C92" w:rsidRPr="00D725A0" w:rsidRDefault="007A4C92" w:rsidP="007A4C92">
      <w:pPr>
        <w:pStyle w:val="HChG"/>
      </w:pPr>
      <w:r>
        <w:tab/>
      </w:r>
      <w:r w:rsidRPr="004F7E05">
        <w:t>VI.</w:t>
      </w:r>
      <w:r w:rsidRPr="004F7E05">
        <w:tab/>
      </w:r>
      <w:r>
        <w:tab/>
      </w:r>
      <w:r w:rsidRPr="004F7E05">
        <w:t>Proposals for amendments to Annexes A and B of ADR (agenda item 5)</w:t>
      </w:r>
    </w:p>
    <w:p w14:paraId="46F6CBF7" w14:textId="13AEB79E" w:rsidR="00336208" w:rsidRDefault="00336208" w:rsidP="002570CA">
      <w:pPr>
        <w:pStyle w:val="H1G"/>
      </w:pPr>
      <w:r w:rsidRPr="00D725A0">
        <w:tab/>
      </w:r>
      <w:bookmarkStart w:id="7" w:name="_Toc499903649"/>
      <w:r w:rsidRPr="00D725A0">
        <w:t>A.</w:t>
      </w:r>
      <w:r w:rsidRPr="00D725A0">
        <w:tab/>
        <w:t>Construction and approval of vehicles</w:t>
      </w:r>
      <w:bookmarkEnd w:id="7"/>
    </w:p>
    <w:p w14:paraId="56A920A9" w14:textId="573DA982" w:rsidR="00D76B73" w:rsidRPr="00DB7B64" w:rsidRDefault="00D76B73" w:rsidP="00D76B73">
      <w:pPr>
        <w:pStyle w:val="H23G"/>
        <w:rPr>
          <w:rFonts w:eastAsiaTheme="minorEastAsia"/>
        </w:rPr>
      </w:pPr>
      <w:r>
        <w:rPr>
          <w:rFonts w:eastAsiaTheme="minorEastAsia"/>
        </w:rPr>
        <w:tab/>
        <w:t>1</w:t>
      </w:r>
      <w:r w:rsidRPr="00DB7B64">
        <w:rPr>
          <w:rFonts w:eastAsiaTheme="minorEastAsia"/>
        </w:rPr>
        <w:t>.</w:t>
      </w:r>
      <w:r w:rsidRPr="00DB7B64">
        <w:rPr>
          <w:rFonts w:eastAsiaTheme="minorEastAsia"/>
        </w:rPr>
        <w:tab/>
        <w:t>First inspection waiver for EX/II, EX/III, FL and AT vehicles and MEMU type-approved in accordance with 9.1.2.2 and for which a declaration of confo</w:t>
      </w:r>
      <w:r w:rsidR="00D13EBF">
        <w:rPr>
          <w:rFonts w:eastAsiaTheme="minorEastAsia"/>
        </w:rPr>
        <w:t>rmity with the requirements of c</w:t>
      </w:r>
      <w:r w:rsidRPr="00DB7B64">
        <w:rPr>
          <w:rFonts w:eastAsiaTheme="minorEastAsia"/>
        </w:rPr>
        <w:t>hapter</w:t>
      </w:r>
      <w:r w:rsidR="00E240F5">
        <w:rPr>
          <w:rFonts w:eastAsiaTheme="minorEastAsia"/>
        </w:rPr>
        <w:t>s</w:t>
      </w:r>
      <w:r w:rsidRPr="00DB7B64">
        <w:rPr>
          <w:rFonts w:eastAsiaTheme="minorEastAsia"/>
        </w:rPr>
        <w:t xml:space="preserve"> 9.2 </w:t>
      </w:r>
      <w:r w:rsidR="00B66FB8">
        <w:rPr>
          <w:rFonts w:eastAsiaTheme="minorEastAsia"/>
        </w:rPr>
        <w:t xml:space="preserve">to 9.8 </w:t>
      </w:r>
      <w:r w:rsidRPr="00DB7B64">
        <w:rPr>
          <w:rFonts w:eastAsiaTheme="minorEastAsia"/>
        </w:rPr>
        <w:t>has been issued</w:t>
      </w:r>
    </w:p>
    <w:p w14:paraId="3156D21B" w14:textId="77777777" w:rsidR="00D76B73" w:rsidRPr="00DB7B64" w:rsidRDefault="00D76B73" w:rsidP="00D76B73">
      <w:pPr>
        <w:pStyle w:val="SingleTxtG"/>
        <w:tabs>
          <w:tab w:val="left" w:pos="3119"/>
        </w:tabs>
      </w:pPr>
      <w:r w:rsidRPr="00DB7B64">
        <w:rPr>
          <w:i/>
          <w:iCs/>
        </w:rPr>
        <w:t>Document</w:t>
      </w:r>
      <w:r w:rsidRPr="00DB7B64">
        <w:t>:</w:t>
      </w:r>
      <w:r w:rsidRPr="00777281">
        <w:t xml:space="preserve"> </w:t>
      </w:r>
      <w:r>
        <w:tab/>
      </w:r>
      <w:r w:rsidRPr="00DB7B64">
        <w:t>ECE/TRANS/</w:t>
      </w:r>
      <w:r>
        <w:t>WP.15/2018/7</w:t>
      </w:r>
      <w:r w:rsidRPr="00DB7B64">
        <w:t xml:space="preserve"> (</w:t>
      </w:r>
      <w:r>
        <w:t>United Kingdom</w:t>
      </w:r>
      <w:r w:rsidRPr="00DB7B64">
        <w:t>)</w:t>
      </w:r>
    </w:p>
    <w:p w14:paraId="6AC7200F" w14:textId="77777777" w:rsidR="00D76B73" w:rsidRDefault="00D76B73" w:rsidP="00D76B73">
      <w:pPr>
        <w:pStyle w:val="SingleTxtG"/>
        <w:tabs>
          <w:tab w:val="left" w:pos="3150"/>
        </w:tabs>
      </w:pPr>
      <w:r w:rsidRPr="00DB7B64">
        <w:rPr>
          <w:i/>
          <w:iCs/>
        </w:rPr>
        <w:t>Informal document</w:t>
      </w:r>
      <w:r>
        <w:t>:</w:t>
      </w:r>
      <w:r>
        <w:tab/>
        <w:t>INF.25 (United Kingdom)</w:t>
      </w:r>
      <w:r w:rsidRPr="00DB7B64">
        <w:t xml:space="preserve">   </w:t>
      </w:r>
    </w:p>
    <w:p w14:paraId="7425DFE0" w14:textId="3793ADF7" w:rsidR="00D76B73" w:rsidRDefault="00A15BD1" w:rsidP="00D76B73">
      <w:pPr>
        <w:pStyle w:val="SingleTxtG"/>
      </w:pPr>
      <w:r>
        <w:t>28</w:t>
      </w:r>
      <w:r w:rsidR="00D76B73" w:rsidRPr="00DB7B64">
        <w:t>.</w:t>
      </w:r>
      <w:r w:rsidR="00D76B73" w:rsidRPr="00DB7B64">
        <w:tab/>
      </w:r>
      <w:r w:rsidR="00D76B73">
        <w:t xml:space="preserve">Although the results of the test conducted in the United Kingdom were positive, the delegations that took the floor were not in favour of allowing the competent authorities to waive the first inspection of EX, FL and AT vehicles and MEMUs until the first anniversary </w:t>
      </w:r>
      <w:r w:rsidR="00B66FB8">
        <w:t xml:space="preserve">inspection </w:t>
      </w:r>
      <w:r w:rsidR="00D76B73">
        <w:t>as is the case for tractors o</w:t>
      </w:r>
      <w:r w:rsidR="00B66FB8">
        <w:t>f</w:t>
      </w:r>
      <w:r w:rsidR="00D76B73">
        <w:t xml:space="preserve"> semi-trailer</w:t>
      </w:r>
      <w:r w:rsidR="00B66FB8">
        <w:t>s</w:t>
      </w:r>
      <w:r w:rsidR="00D76B73">
        <w:t xml:space="preserve"> type-approved for which a declaration of conformity was </w:t>
      </w:r>
      <w:r w:rsidR="00FC246B">
        <w:t>issued</w:t>
      </w:r>
      <w:r w:rsidR="00D76B73">
        <w:t>. Most considered that th</w:t>
      </w:r>
      <w:r w:rsidR="00FC246B">
        <w:t>e</w:t>
      </w:r>
      <w:r w:rsidR="00D76B73">
        <w:t xml:space="preserve"> first </w:t>
      </w:r>
      <w:r w:rsidR="00B66FB8">
        <w:t xml:space="preserve">inspection </w:t>
      </w:r>
      <w:r w:rsidR="00D76B73">
        <w:t xml:space="preserve">often allows to </w:t>
      </w:r>
      <w:proofErr w:type="gramStart"/>
      <w:r w:rsidR="00D76B73">
        <w:t>detect</w:t>
      </w:r>
      <w:proofErr w:type="gramEnd"/>
      <w:r w:rsidR="00D76B73">
        <w:t xml:space="preserve"> and correct non-conformity as regards the equipment of these vehicles. </w:t>
      </w:r>
    </w:p>
    <w:p w14:paraId="6C0A7B19" w14:textId="4FC71D7C" w:rsidR="00D76B73" w:rsidRDefault="00A15BD1" w:rsidP="00D76B73">
      <w:pPr>
        <w:pStyle w:val="SingleTxtG"/>
      </w:pPr>
      <w:r>
        <w:t>29</w:t>
      </w:r>
      <w:r w:rsidR="00D76B73">
        <w:t>.</w:t>
      </w:r>
      <w:r w:rsidR="00D76B73">
        <w:tab/>
        <w:t>In view of the comments made, the representative of United Kingdom withdrew his proposal.</w:t>
      </w:r>
    </w:p>
    <w:p w14:paraId="30921DBD" w14:textId="435E253A" w:rsidR="00FD79B9" w:rsidRPr="000A1272" w:rsidRDefault="00FD79B9" w:rsidP="00FD79B9">
      <w:pPr>
        <w:pStyle w:val="H23G"/>
        <w:rPr>
          <w:rFonts w:eastAsiaTheme="minorEastAsia"/>
        </w:rPr>
      </w:pPr>
      <w:r w:rsidRPr="000A1272">
        <w:rPr>
          <w:rFonts w:eastAsiaTheme="minorEastAsia"/>
        </w:rPr>
        <w:tab/>
      </w:r>
      <w:r>
        <w:rPr>
          <w:rFonts w:eastAsiaTheme="minorEastAsia"/>
        </w:rPr>
        <w:t>2</w:t>
      </w:r>
      <w:r w:rsidRPr="000A1272">
        <w:rPr>
          <w:rFonts w:eastAsiaTheme="minorEastAsia"/>
        </w:rPr>
        <w:t>.</w:t>
      </w:r>
      <w:r w:rsidRPr="000A1272">
        <w:rPr>
          <w:rFonts w:eastAsiaTheme="minorEastAsia"/>
        </w:rPr>
        <w:tab/>
        <w:t>Implementation of the requirements of 9.2.2.2.1 of ADR on cables</w:t>
      </w:r>
    </w:p>
    <w:p w14:paraId="708BBA24" w14:textId="77777777" w:rsidR="00FD79B9" w:rsidRPr="000A1272" w:rsidRDefault="00FD79B9" w:rsidP="00FD79B9">
      <w:pPr>
        <w:pStyle w:val="SingleTxtG"/>
        <w:tabs>
          <w:tab w:val="left" w:pos="3119"/>
        </w:tabs>
      </w:pPr>
      <w:r w:rsidRPr="000A1272">
        <w:rPr>
          <w:i/>
          <w:iCs/>
        </w:rPr>
        <w:t>Document</w:t>
      </w:r>
      <w:r w:rsidRPr="000A1272">
        <w:t xml:space="preserve">: </w:t>
      </w:r>
      <w:r w:rsidRPr="000A1272">
        <w:tab/>
        <w:t>ECE/TRANS/WP.15/2018/8 (France)</w:t>
      </w:r>
    </w:p>
    <w:p w14:paraId="3B70F927" w14:textId="3785AE68" w:rsidR="00FD79B9" w:rsidRPr="000A1272" w:rsidRDefault="00A15BD1" w:rsidP="00FD79B9">
      <w:pPr>
        <w:pStyle w:val="SingleTxtG"/>
      </w:pPr>
      <w:r>
        <w:t>30</w:t>
      </w:r>
      <w:r w:rsidR="00FD79B9" w:rsidRPr="000A1272">
        <w:t>.</w:t>
      </w:r>
      <w:r w:rsidR="00FD79B9" w:rsidRPr="000A1272">
        <w:tab/>
        <w:t xml:space="preserve"> It was recognised that the ISO standards for the conformity of cables used in the different electric circuits introduced in ADR 2017 improved the safety of vehicles.  Some delegations agreed however that these ISO standards posed problems of implementation since it could be difficult to get cables conforming to these standards in certain countries and because it was difficult to verify the compliance of the installed cables as certified cables without marking </w:t>
      </w:r>
      <w:r w:rsidR="00B75D71">
        <w:t xml:space="preserve">were </w:t>
      </w:r>
      <w:r w:rsidR="00FD79B9" w:rsidRPr="000A1272">
        <w:t>difficult to identif</w:t>
      </w:r>
      <w:r w:rsidR="00FD79B9">
        <w:t>y</w:t>
      </w:r>
      <w:r w:rsidR="00FD79B9" w:rsidRPr="000A1272">
        <w:t xml:space="preserve">. Another problem is that these cables were not used in all standard vehicles converted later for ADR purposes. Other delegates considered that the transitional period had been sufficient to implement these provisions. The Working Party </w:t>
      </w:r>
      <w:r w:rsidR="00FD79B9" w:rsidRPr="000A1272">
        <w:lastRenderedPageBreak/>
        <w:t>regretted that representatives of the manufacturers were not present for this discussion. The representative of France will coordinate with other countries where problems of implementation were raised and might submit a proposal in the future.</w:t>
      </w:r>
    </w:p>
    <w:p w14:paraId="69216F7B" w14:textId="1E8095D0" w:rsidR="00D76B73" w:rsidRDefault="00D76B73" w:rsidP="00D76B73">
      <w:pPr>
        <w:pStyle w:val="H23G"/>
        <w:rPr>
          <w:rFonts w:eastAsiaTheme="minorEastAsia"/>
        </w:rPr>
      </w:pPr>
      <w:r>
        <w:rPr>
          <w:rFonts w:eastAsiaTheme="minorEastAsia"/>
        </w:rPr>
        <w:tab/>
      </w:r>
      <w:r w:rsidR="00FD79B9">
        <w:rPr>
          <w:rFonts w:eastAsiaTheme="minorEastAsia"/>
        </w:rPr>
        <w:t>3</w:t>
      </w:r>
      <w:r w:rsidRPr="00DB7B64">
        <w:rPr>
          <w:rFonts w:eastAsiaTheme="minorEastAsia"/>
        </w:rPr>
        <w:t>.</w:t>
      </w:r>
      <w:r w:rsidRPr="00DB7B64">
        <w:rPr>
          <w:rFonts w:eastAsiaTheme="minorEastAsia"/>
        </w:rPr>
        <w:tab/>
      </w:r>
      <w:r>
        <w:rPr>
          <w:rFonts w:eastAsiaTheme="minorEastAsia"/>
        </w:rPr>
        <w:t>Use of electric and hybrid electric vehicles for the carriage of dangerous goods</w:t>
      </w:r>
    </w:p>
    <w:p w14:paraId="42BEB632" w14:textId="77777777" w:rsidR="00D76B73" w:rsidRPr="00DB7B64" w:rsidRDefault="00D76B73" w:rsidP="00D76B73">
      <w:pPr>
        <w:pStyle w:val="SingleTxtG"/>
        <w:tabs>
          <w:tab w:val="left" w:pos="3119"/>
        </w:tabs>
      </w:pPr>
      <w:r w:rsidRPr="00DB7B64">
        <w:rPr>
          <w:i/>
          <w:iCs/>
        </w:rPr>
        <w:t>Informal document</w:t>
      </w:r>
      <w:r>
        <w:t>:</w:t>
      </w:r>
      <w:r>
        <w:tab/>
      </w:r>
      <w:r w:rsidRPr="00DB7B64">
        <w:t>INF.</w:t>
      </w:r>
      <w:r>
        <w:t>13</w:t>
      </w:r>
      <w:r w:rsidRPr="00DB7B64">
        <w:t xml:space="preserve"> (</w:t>
      </w:r>
      <w:r>
        <w:t>Netherlands</w:t>
      </w:r>
      <w:r w:rsidRPr="00DB7B64">
        <w:t>)</w:t>
      </w:r>
    </w:p>
    <w:p w14:paraId="29608750" w14:textId="5EFF8A21" w:rsidR="00D76B73" w:rsidRPr="00DB7B64" w:rsidRDefault="00D76B73" w:rsidP="00D76B73">
      <w:pPr>
        <w:pStyle w:val="SingleTxtG"/>
      </w:pPr>
      <w:r>
        <w:t>3</w:t>
      </w:r>
      <w:r w:rsidR="00A15BD1">
        <w:t>1</w:t>
      </w:r>
      <w:r w:rsidRPr="00DB7B64">
        <w:t>.</w:t>
      </w:r>
      <w:r w:rsidRPr="00DB7B64">
        <w:tab/>
      </w:r>
      <w:r>
        <w:t xml:space="preserve">The Working Party strongly supported the analysis made by Netherlands in informal document INF.13 and concurred with him on the need to start addressing the issues related to the increased development and use of electric vehicles. </w:t>
      </w:r>
    </w:p>
    <w:p w14:paraId="7733D828" w14:textId="0BB4B2CA" w:rsidR="00D76B73" w:rsidRDefault="00D76B73" w:rsidP="00D76B73">
      <w:pPr>
        <w:pStyle w:val="SingleTxtG"/>
      </w:pPr>
      <w:r>
        <w:t>3</w:t>
      </w:r>
      <w:r w:rsidR="00A15BD1">
        <w:t>2</w:t>
      </w:r>
      <w:r w:rsidRPr="005730A3">
        <w:t>.</w:t>
      </w:r>
      <w:r>
        <w:tab/>
        <w:t xml:space="preserve">Some delegations considered that some of </w:t>
      </w:r>
      <w:r w:rsidR="00795DB2">
        <w:t xml:space="preserve">the issues </w:t>
      </w:r>
      <w:r>
        <w:t xml:space="preserve">raised in the document went beyond the scope of the Working Party and should be addressed by the World Forum for Harmonization of Vehicle Regulations (WP.29). Based on the outcome of the work at WP.29 level, the Working Party could consider whether there </w:t>
      </w:r>
      <w:r w:rsidR="0000320B">
        <w:t xml:space="preserve">would be </w:t>
      </w:r>
      <w:r>
        <w:t xml:space="preserve">specific additional aspects applicable to vehicles destined for carriage of dangerous goods that would need to be addressed separately. </w:t>
      </w:r>
    </w:p>
    <w:p w14:paraId="1AF87D68" w14:textId="7CFF1B30" w:rsidR="00D76B73" w:rsidRDefault="00D76B73" w:rsidP="00D76B73">
      <w:pPr>
        <w:pStyle w:val="SingleTxtG"/>
      </w:pPr>
      <w:r>
        <w:t>3</w:t>
      </w:r>
      <w:r w:rsidR="00A15BD1">
        <w:t>3</w:t>
      </w:r>
      <w:r>
        <w:t>.</w:t>
      </w:r>
      <w:r>
        <w:tab/>
        <w:t xml:space="preserve">The representative of the Netherlands invited all delegations to provide feedback on the information and issues raised in informal document INF.13 and said that he would continue to improve and update the annexes based on the comments made. </w:t>
      </w:r>
    </w:p>
    <w:p w14:paraId="226AE735" w14:textId="5080F7C6" w:rsidR="00656F15" w:rsidRPr="00DB7B64" w:rsidRDefault="00A15BD1" w:rsidP="00CE2705">
      <w:pPr>
        <w:pStyle w:val="H1G"/>
      </w:pPr>
      <w:bookmarkStart w:id="8" w:name="_Toc499903656"/>
      <w:r>
        <w:tab/>
      </w:r>
      <w:r w:rsidRPr="00D725A0">
        <w:t>B.</w:t>
      </w:r>
      <w:r w:rsidRPr="00D725A0">
        <w:tab/>
        <w:t>Miscellaneous proposals</w:t>
      </w:r>
      <w:bookmarkEnd w:id="8"/>
    </w:p>
    <w:p w14:paraId="7A34B08C" w14:textId="1AFC1385" w:rsidR="00656F15" w:rsidRPr="00DB7B64" w:rsidRDefault="00656F15" w:rsidP="00656F15">
      <w:pPr>
        <w:pStyle w:val="H23G"/>
        <w:ind w:left="0" w:firstLine="0"/>
        <w:rPr>
          <w:rFonts w:eastAsiaTheme="minorEastAsia"/>
        </w:rPr>
      </w:pPr>
      <w:r>
        <w:rPr>
          <w:rFonts w:eastAsiaTheme="minorEastAsia"/>
        </w:rPr>
        <w:tab/>
      </w:r>
      <w:r w:rsidR="00CE2705">
        <w:rPr>
          <w:rFonts w:eastAsiaTheme="minorEastAsia"/>
        </w:rPr>
        <w:t>1</w:t>
      </w:r>
      <w:r w:rsidRPr="00DB7B64">
        <w:rPr>
          <w:rFonts w:eastAsiaTheme="minorEastAsia"/>
        </w:rPr>
        <w:t>.</w:t>
      </w:r>
      <w:r w:rsidRPr="00DB7B64">
        <w:rPr>
          <w:rFonts w:eastAsiaTheme="minorEastAsia"/>
        </w:rPr>
        <w:tab/>
      </w:r>
      <w:r>
        <w:rPr>
          <w:rFonts w:eastAsiaTheme="minorEastAsia"/>
        </w:rPr>
        <w:t xml:space="preserve">Correction </w:t>
      </w:r>
      <w:r w:rsidR="00B27C2B">
        <w:rPr>
          <w:rFonts w:eastAsiaTheme="minorEastAsia"/>
        </w:rPr>
        <w:t>to</w:t>
      </w:r>
      <w:r w:rsidR="00805428">
        <w:rPr>
          <w:rFonts w:eastAsiaTheme="minorEastAsia"/>
        </w:rPr>
        <w:t xml:space="preserve"> </w:t>
      </w:r>
      <w:r>
        <w:rPr>
          <w:rFonts w:eastAsiaTheme="minorEastAsia"/>
        </w:rPr>
        <w:t xml:space="preserve">footnote b </w:t>
      </w:r>
      <w:r w:rsidR="00B27C2B">
        <w:rPr>
          <w:rFonts w:eastAsiaTheme="minorEastAsia"/>
        </w:rPr>
        <w:t>of</w:t>
      </w:r>
      <w:r>
        <w:rPr>
          <w:rFonts w:eastAsiaTheme="minorEastAsia"/>
        </w:rPr>
        <w:t xml:space="preserve"> the instructions in writing (5.4.3.4)</w:t>
      </w:r>
    </w:p>
    <w:p w14:paraId="5265D1F6" w14:textId="77777777" w:rsidR="00656F15" w:rsidRPr="00DB7B64" w:rsidRDefault="00656F15" w:rsidP="00656F15">
      <w:pPr>
        <w:pStyle w:val="SingleTxtG"/>
        <w:tabs>
          <w:tab w:val="left" w:pos="3119"/>
        </w:tabs>
      </w:pPr>
      <w:r>
        <w:rPr>
          <w:i/>
          <w:iCs/>
        </w:rPr>
        <w:t>D</w:t>
      </w:r>
      <w:r w:rsidRPr="00DB7B64">
        <w:rPr>
          <w:i/>
          <w:iCs/>
        </w:rPr>
        <w:t>ocument</w:t>
      </w:r>
      <w:r w:rsidRPr="00DB7B64">
        <w:t>:</w:t>
      </w:r>
      <w:r w:rsidRPr="00DB7B64">
        <w:tab/>
      </w:r>
      <w:r>
        <w:t>ECE/TRANS/WP.15/2018/5</w:t>
      </w:r>
      <w:r w:rsidRPr="00DB7B64">
        <w:t xml:space="preserve"> (</w:t>
      </w:r>
      <w:r>
        <w:t>Germany</w:t>
      </w:r>
      <w:r w:rsidRPr="00DB7B64">
        <w:t>)</w:t>
      </w:r>
    </w:p>
    <w:p w14:paraId="2734A1CF" w14:textId="63BB7257" w:rsidR="00656F15" w:rsidRDefault="003E32B0" w:rsidP="00656F15">
      <w:pPr>
        <w:pStyle w:val="SingleTxtG"/>
      </w:pPr>
      <w:r>
        <w:t>34</w:t>
      </w:r>
      <w:r w:rsidR="00656F15" w:rsidRPr="00DB7B64">
        <w:t>.</w:t>
      </w:r>
      <w:r w:rsidR="00656F15" w:rsidRPr="00DB7B64">
        <w:tab/>
      </w:r>
      <w:r w:rsidR="00656F15">
        <w:t>Some</w:t>
      </w:r>
      <w:r w:rsidR="00656F15" w:rsidRPr="00DB7B64">
        <w:t xml:space="preserve"> delegations supported </w:t>
      </w:r>
      <w:r w:rsidR="00656F15">
        <w:t>the</w:t>
      </w:r>
      <w:r w:rsidR="00656F15" w:rsidRPr="00DB7B64">
        <w:t xml:space="preserve"> proposal. </w:t>
      </w:r>
      <w:r w:rsidR="00656F15">
        <w:t xml:space="preserve">Others considered that the equipment </w:t>
      </w:r>
      <w:r w:rsidR="00795DB2">
        <w:t xml:space="preserve">referred to </w:t>
      </w:r>
      <w:r w:rsidR="00656F15">
        <w:t xml:space="preserve">in footnote b might not be needed in the case of lithium batteries. Some others recalled, in addition, that when </w:t>
      </w:r>
      <w:r w:rsidR="008A2D8B">
        <w:t>the</w:t>
      </w:r>
      <w:r w:rsidR="00A9350C">
        <w:t xml:space="preserve"> new instructions in writing were</w:t>
      </w:r>
      <w:r w:rsidR="00656F15">
        <w:t xml:space="preserve"> introduced in the ADR, there was an understanding that</w:t>
      </w:r>
      <w:r w:rsidR="00656F15" w:rsidRPr="00DB7B64">
        <w:t xml:space="preserve"> it </w:t>
      </w:r>
      <w:r w:rsidR="00656F15">
        <w:t xml:space="preserve">would not be </w:t>
      </w:r>
      <w:r w:rsidR="00656F15" w:rsidRPr="00DB7B64">
        <w:t xml:space="preserve">desirable to amend </w:t>
      </w:r>
      <w:r w:rsidR="008A2D8B">
        <w:t>them</w:t>
      </w:r>
      <w:r w:rsidR="00656F15" w:rsidRPr="00DB7B64">
        <w:t xml:space="preserve"> too frequently</w:t>
      </w:r>
      <w:r w:rsidR="00656F15">
        <w:t>.</w:t>
      </w:r>
    </w:p>
    <w:p w14:paraId="29305B11" w14:textId="59C27B91" w:rsidR="00656F15" w:rsidRDefault="003E32B0" w:rsidP="00656F15">
      <w:pPr>
        <w:pStyle w:val="SingleTxtG"/>
      </w:pPr>
      <w:r>
        <w:t>35</w:t>
      </w:r>
      <w:r w:rsidR="00656F15">
        <w:t>.</w:t>
      </w:r>
      <w:r w:rsidR="00656F15">
        <w:tab/>
      </w:r>
      <w:r w:rsidR="00656F15" w:rsidRPr="00DB7B64">
        <w:t xml:space="preserve">The representative of </w:t>
      </w:r>
      <w:r w:rsidR="00656F15">
        <w:t>Romania informed the Working Party that the informal working group established within the Joint Meeting on the definition of “risk” and “hazard/danger” will submit an official document to the spring 2019 session of the Joint Meeting and that the work of this group will include proposal</w:t>
      </w:r>
      <w:r w:rsidR="0095144D">
        <w:t>s</w:t>
      </w:r>
      <w:r w:rsidR="00656F15">
        <w:t xml:space="preserve"> of amendments to the instructions in writing</w:t>
      </w:r>
      <w:r w:rsidR="0095144D">
        <w:t xml:space="preserve"> for RID/ADR/ADN</w:t>
      </w:r>
      <w:r w:rsidR="00656F15">
        <w:t xml:space="preserve">. </w:t>
      </w:r>
    </w:p>
    <w:p w14:paraId="3F225EFC" w14:textId="291E6C2B" w:rsidR="00656F15" w:rsidRDefault="003E32B0" w:rsidP="00656F15">
      <w:pPr>
        <w:pStyle w:val="SingleTxtG"/>
      </w:pPr>
      <w:r>
        <w:t>36</w:t>
      </w:r>
      <w:r w:rsidR="00656F15">
        <w:t>.</w:t>
      </w:r>
      <w:r w:rsidR="00656F15">
        <w:tab/>
        <w:t xml:space="preserve">The representative of Germany took note of the comments made and informed the </w:t>
      </w:r>
      <w:r w:rsidR="00656F15" w:rsidRPr="00DB7B64">
        <w:t xml:space="preserve">Working Party that she </w:t>
      </w:r>
      <w:r w:rsidR="00656F15">
        <w:t xml:space="preserve">would </w:t>
      </w:r>
      <w:r w:rsidR="0095144D">
        <w:t xml:space="preserve">keep in touch </w:t>
      </w:r>
      <w:r w:rsidR="00656F15">
        <w:t xml:space="preserve">with Romania and would consider submitting a revised proposal. </w:t>
      </w:r>
    </w:p>
    <w:p w14:paraId="578437E8" w14:textId="270F47CC" w:rsidR="003539FD" w:rsidRPr="000A1272" w:rsidRDefault="003539FD" w:rsidP="00523B45">
      <w:pPr>
        <w:pStyle w:val="H23G"/>
        <w:rPr>
          <w:rFonts w:eastAsiaTheme="minorEastAsia"/>
        </w:rPr>
      </w:pPr>
      <w:r w:rsidRPr="000A1272">
        <w:rPr>
          <w:rFonts w:eastAsiaTheme="minorEastAsia"/>
        </w:rPr>
        <w:tab/>
        <w:t>2.</w:t>
      </w:r>
      <w:r w:rsidRPr="000A1272">
        <w:rPr>
          <w:rFonts w:eastAsiaTheme="minorEastAsia"/>
        </w:rPr>
        <w:tab/>
        <w:t xml:space="preserve">Layout of the ADR training certificate in accordance with </w:t>
      </w:r>
      <w:r w:rsidR="00523B45">
        <w:rPr>
          <w:rFonts w:eastAsiaTheme="minorEastAsia"/>
        </w:rPr>
        <w:t xml:space="preserve">8.2.2.8.3 in </w:t>
      </w:r>
      <w:r w:rsidRPr="000A1272">
        <w:rPr>
          <w:rFonts w:eastAsiaTheme="minorEastAsia"/>
        </w:rPr>
        <w:t>conjunction with 8.2.2.8.5 of ADR – admissibility of additional information on the back</w:t>
      </w:r>
    </w:p>
    <w:p w14:paraId="0661A2CA" w14:textId="77777777" w:rsidR="003539FD" w:rsidRPr="000A1272" w:rsidRDefault="003539FD" w:rsidP="003539FD">
      <w:pPr>
        <w:pStyle w:val="SingleTxtG"/>
        <w:tabs>
          <w:tab w:val="left" w:pos="3119"/>
        </w:tabs>
      </w:pPr>
      <w:r w:rsidRPr="000A1272">
        <w:rPr>
          <w:i/>
          <w:iCs/>
        </w:rPr>
        <w:t>Document</w:t>
      </w:r>
      <w:r w:rsidRPr="000A1272">
        <w:t>:</w:t>
      </w:r>
      <w:r w:rsidRPr="000A1272">
        <w:tab/>
        <w:t>ECE/TRANS/WP.15/2018/6 (Germany)</w:t>
      </w:r>
    </w:p>
    <w:p w14:paraId="4065570B" w14:textId="336C6114" w:rsidR="008A2D8B" w:rsidRDefault="003E32B0" w:rsidP="003539FD">
      <w:pPr>
        <w:pStyle w:val="SingleTxtG"/>
        <w:rPr>
          <w:rFonts w:ascii="TimesNewRomanPSMT" w:hAnsi="TimesNewRomanPSMT" w:cs="TimesNewRomanPSMT"/>
        </w:rPr>
      </w:pPr>
      <w:r>
        <w:t>37</w:t>
      </w:r>
      <w:r w:rsidR="003539FD" w:rsidRPr="000A1272">
        <w:t>.</w:t>
      </w:r>
      <w:r w:rsidR="003539FD" w:rsidRPr="000A1272">
        <w:tab/>
      </w:r>
      <w:r w:rsidR="008A2D8B">
        <w:t>There was</w:t>
      </w:r>
      <w:r w:rsidR="003539FD" w:rsidRPr="000A1272">
        <w:t xml:space="preserve"> support </w:t>
      </w:r>
      <w:r w:rsidR="008A2D8B">
        <w:t>for the two options proposed by</w:t>
      </w:r>
      <w:r w:rsidR="003539FD" w:rsidRPr="000A1272">
        <w:t xml:space="preserve"> Germany</w:t>
      </w:r>
      <w:r w:rsidR="008A2D8B">
        <w:t xml:space="preserve"> with a preference for option 2</w:t>
      </w:r>
      <w:r w:rsidR="00B24A59">
        <w:t>.</w:t>
      </w:r>
      <w:r w:rsidR="003539FD" w:rsidRPr="000A1272">
        <w:t xml:space="preserve"> Some delegations preferred to allow only the repetition of the certificate number and to forbid the possibility of adding other additional information. </w:t>
      </w:r>
      <w:r w:rsidR="00FC6824">
        <w:t>In addition, some</w:t>
      </w:r>
      <w:r w:rsidR="003539FD" w:rsidRPr="000A1272">
        <w:t xml:space="preserve"> stressed the importance of allowing a sufficient transitional period for the implementation of this new provision </w:t>
      </w:r>
      <w:r w:rsidR="009E6923">
        <w:t>to allow existing</w:t>
      </w:r>
      <w:r w:rsidR="003539FD" w:rsidRPr="000A1272">
        <w:t xml:space="preserve"> certificates to be used until </w:t>
      </w:r>
      <w:r w:rsidR="003539FD" w:rsidRPr="000A1272">
        <w:rPr>
          <w:rFonts w:ascii="TimesNewRomanPSMT" w:hAnsi="TimesNewRomanPSMT" w:cs="TimesNewRomanPSMT"/>
        </w:rPr>
        <w:t xml:space="preserve">the end of their </w:t>
      </w:r>
      <w:r w:rsidR="00DE47E0" w:rsidRPr="000A1272">
        <w:rPr>
          <w:rFonts w:ascii="TimesNewRomanPSMT" w:hAnsi="TimesNewRomanPSMT" w:cs="TimesNewRomanPSMT"/>
        </w:rPr>
        <w:t>five-year</w:t>
      </w:r>
      <w:r w:rsidR="003539FD" w:rsidRPr="000A1272">
        <w:rPr>
          <w:rFonts w:ascii="TimesNewRomanPSMT" w:hAnsi="TimesNewRomanPSMT" w:cs="TimesNewRomanPSMT"/>
        </w:rPr>
        <w:t xml:space="preserve"> validity. </w:t>
      </w:r>
    </w:p>
    <w:p w14:paraId="6AAEDB40" w14:textId="44C7726A" w:rsidR="003539FD" w:rsidRPr="000A1272" w:rsidRDefault="008A2D8B" w:rsidP="003539FD">
      <w:pPr>
        <w:pStyle w:val="SingleTxtG"/>
      </w:pPr>
      <w:r>
        <w:rPr>
          <w:rFonts w:ascii="TimesNewRomanPSMT" w:hAnsi="TimesNewRomanPSMT" w:cs="TimesNewRomanPSMT"/>
        </w:rPr>
        <w:t>38.</w:t>
      </w:r>
      <w:r>
        <w:rPr>
          <w:rFonts w:ascii="TimesNewRomanPSMT" w:hAnsi="TimesNewRomanPSMT" w:cs="TimesNewRomanPSMT"/>
        </w:rPr>
        <w:tab/>
      </w:r>
      <w:r w:rsidR="00DE47E0">
        <w:rPr>
          <w:rFonts w:ascii="TimesNewRomanPSMT" w:hAnsi="TimesNewRomanPSMT" w:cs="TimesNewRomanPSMT"/>
        </w:rPr>
        <w:t xml:space="preserve">The representative of Austria </w:t>
      </w:r>
      <w:r w:rsidR="00FB4FD1">
        <w:rPr>
          <w:rFonts w:ascii="TimesNewRomanPSMT" w:hAnsi="TimesNewRomanPSMT" w:cs="TimesNewRomanPSMT"/>
        </w:rPr>
        <w:t xml:space="preserve">mentioned that he would support </w:t>
      </w:r>
      <w:r w:rsidR="00B24A59">
        <w:rPr>
          <w:rFonts w:ascii="TimesNewRomanPSMT" w:hAnsi="TimesNewRomanPSMT" w:cs="TimesNewRomanPSMT"/>
        </w:rPr>
        <w:t>the possibility of adding item No 11</w:t>
      </w:r>
      <w:r w:rsidR="00FB4FD1">
        <w:rPr>
          <w:rFonts w:ascii="TimesNewRomanPSMT" w:hAnsi="TimesNewRomanPSMT" w:cs="TimesNewRomanPSMT"/>
        </w:rPr>
        <w:t xml:space="preserve"> on the back of the certificate only if it remain</w:t>
      </w:r>
      <w:r w:rsidR="003C4D07">
        <w:rPr>
          <w:rFonts w:ascii="TimesNewRomanPSMT" w:hAnsi="TimesNewRomanPSMT" w:cs="TimesNewRomanPSMT"/>
        </w:rPr>
        <w:t>ed</w:t>
      </w:r>
      <w:r w:rsidR="00FB4FD1">
        <w:rPr>
          <w:rFonts w:ascii="TimesNewRomanPSMT" w:hAnsi="TimesNewRomanPSMT" w:cs="TimesNewRomanPSMT"/>
        </w:rPr>
        <w:t xml:space="preserve"> optional</w:t>
      </w:r>
      <w:r w:rsidR="00A75773">
        <w:rPr>
          <w:rFonts w:ascii="TimesNewRomanPSMT" w:hAnsi="TimesNewRomanPSMT" w:cs="TimesNewRomanPSMT"/>
        </w:rPr>
        <w:t>,</w:t>
      </w:r>
      <w:r w:rsidR="00FB4FD1">
        <w:rPr>
          <w:rFonts w:ascii="TimesNewRomanPSMT" w:hAnsi="TimesNewRomanPSMT" w:cs="TimesNewRomanPSMT"/>
        </w:rPr>
        <w:t xml:space="preserve"> </w:t>
      </w:r>
      <w:r w:rsidR="00A75773">
        <w:rPr>
          <w:rFonts w:ascii="TimesNewRomanPSMT" w:hAnsi="TimesNewRomanPSMT" w:cs="TimesNewRomanPSMT"/>
        </w:rPr>
        <w:t>in which case</w:t>
      </w:r>
      <w:r w:rsidR="00FB4FD1">
        <w:rPr>
          <w:rFonts w:ascii="TimesNewRomanPSMT" w:hAnsi="TimesNewRomanPSMT" w:cs="TimesNewRomanPSMT"/>
        </w:rPr>
        <w:t xml:space="preserve"> the transitional period would not be necessary.</w:t>
      </w:r>
    </w:p>
    <w:p w14:paraId="511E051C" w14:textId="7DA70885" w:rsidR="003539FD" w:rsidRPr="000A1272" w:rsidRDefault="003E32B0" w:rsidP="003539FD">
      <w:pPr>
        <w:pStyle w:val="SingleTxtG"/>
      </w:pPr>
      <w:r>
        <w:lastRenderedPageBreak/>
        <w:t>3</w:t>
      </w:r>
      <w:r w:rsidR="00FC6824">
        <w:t>9</w:t>
      </w:r>
      <w:r w:rsidR="003539FD">
        <w:t>.</w:t>
      </w:r>
      <w:r w:rsidR="003539FD" w:rsidRPr="000A1272">
        <w:tab/>
        <w:t xml:space="preserve">The representative of Germany welcomed the support to </w:t>
      </w:r>
      <w:r w:rsidR="009A3B6F" w:rsidRPr="000A1272">
        <w:t>th</w:t>
      </w:r>
      <w:r w:rsidR="009A3B6F">
        <w:t>e</w:t>
      </w:r>
      <w:r w:rsidR="009A3B6F" w:rsidRPr="000A1272">
        <w:t xml:space="preserve"> </w:t>
      </w:r>
      <w:r w:rsidR="003539FD" w:rsidRPr="000A1272">
        <w:t xml:space="preserve">proposal and </w:t>
      </w:r>
      <w:r w:rsidR="009A3B6F">
        <w:t xml:space="preserve">said </w:t>
      </w:r>
      <w:r w:rsidR="003539FD" w:rsidRPr="000A1272">
        <w:t xml:space="preserve">that she </w:t>
      </w:r>
      <w:r w:rsidR="009A3B6F">
        <w:t xml:space="preserve">would revise it </w:t>
      </w:r>
      <w:proofErr w:type="gramStart"/>
      <w:r w:rsidR="009A3B6F">
        <w:t>in light of</w:t>
      </w:r>
      <w:proofErr w:type="gramEnd"/>
      <w:r w:rsidR="003539FD" w:rsidRPr="000A1272">
        <w:t xml:space="preserve"> the comments </w:t>
      </w:r>
      <w:r w:rsidR="009A3B6F">
        <w:t>made</w:t>
      </w:r>
      <w:r w:rsidR="003539FD" w:rsidRPr="000A1272">
        <w:t xml:space="preserve"> and </w:t>
      </w:r>
      <w:r w:rsidR="009A3B6F">
        <w:t>submit</w:t>
      </w:r>
      <w:r w:rsidR="009A3B6F" w:rsidRPr="000A1272">
        <w:t xml:space="preserve"> </w:t>
      </w:r>
      <w:r w:rsidR="003539FD" w:rsidRPr="000A1272">
        <w:t>a</w:t>
      </w:r>
      <w:r w:rsidR="009A3B6F">
        <w:t>n official document</w:t>
      </w:r>
      <w:r w:rsidR="003539FD" w:rsidRPr="000A1272">
        <w:t xml:space="preserve"> for the 106</w:t>
      </w:r>
      <w:r w:rsidR="003539FD" w:rsidRPr="000A1272">
        <w:rPr>
          <w:vertAlign w:val="superscript"/>
        </w:rPr>
        <w:t>th</w:t>
      </w:r>
      <w:r w:rsidR="003539FD" w:rsidRPr="000A1272">
        <w:t xml:space="preserve"> session.</w:t>
      </w:r>
    </w:p>
    <w:p w14:paraId="07B6DB5E" w14:textId="30130235" w:rsidR="003539FD" w:rsidRPr="000A1272" w:rsidRDefault="003539FD" w:rsidP="003539FD">
      <w:pPr>
        <w:pStyle w:val="H23G"/>
        <w:ind w:left="0" w:firstLine="0"/>
        <w:rPr>
          <w:rFonts w:eastAsiaTheme="minorEastAsia"/>
        </w:rPr>
      </w:pPr>
      <w:r w:rsidRPr="000A1272">
        <w:rPr>
          <w:rFonts w:eastAsiaTheme="minorEastAsia"/>
        </w:rPr>
        <w:tab/>
        <w:t>3.</w:t>
      </w:r>
      <w:r w:rsidRPr="000A1272">
        <w:rPr>
          <w:rFonts w:eastAsiaTheme="minorEastAsia"/>
        </w:rPr>
        <w:tab/>
        <w:t>Amendment to the text of 9.1.3.</w:t>
      </w:r>
      <w:r w:rsidR="00663872">
        <w:rPr>
          <w:rFonts w:eastAsiaTheme="minorEastAsia"/>
        </w:rPr>
        <w:t>2</w:t>
      </w:r>
    </w:p>
    <w:p w14:paraId="0D0A509C" w14:textId="77777777" w:rsidR="003539FD" w:rsidRPr="000A1272" w:rsidRDefault="003539FD" w:rsidP="003539FD">
      <w:pPr>
        <w:pStyle w:val="SingleTxtG"/>
        <w:tabs>
          <w:tab w:val="left" w:pos="3119"/>
        </w:tabs>
      </w:pPr>
      <w:r w:rsidRPr="000A1272">
        <w:rPr>
          <w:i/>
          <w:iCs/>
        </w:rPr>
        <w:t>Document</w:t>
      </w:r>
      <w:r w:rsidRPr="000A1272">
        <w:t>:</w:t>
      </w:r>
      <w:r w:rsidRPr="000A1272">
        <w:tab/>
        <w:t>ECE/TRANS/WP.15/2018/10 (Belarus)</w:t>
      </w:r>
    </w:p>
    <w:p w14:paraId="5FC331A2" w14:textId="4FC1E41F" w:rsidR="003539FD" w:rsidRPr="000A1272" w:rsidRDefault="00FC6824" w:rsidP="003539FD">
      <w:pPr>
        <w:pStyle w:val="SingleTxtG"/>
      </w:pPr>
      <w:r>
        <w:t>40</w:t>
      </w:r>
      <w:r w:rsidR="003539FD" w:rsidRPr="000A1272">
        <w:t>.</w:t>
      </w:r>
      <w:r w:rsidR="003539FD" w:rsidRPr="000A1272">
        <w:tab/>
        <w:t>The Working Party adopted the corrections to the Russian text of the ADR proposed by Belarus</w:t>
      </w:r>
      <w:r w:rsidR="00FC2D73">
        <w:rPr>
          <w:rStyle w:val="FootnoteReference"/>
        </w:rPr>
        <w:footnoteReference w:id="1"/>
      </w:r>
      <w:r w:rsidR="003539FD" w:rsidRPr="000A1272">
        <w:t xml:space="preserve">. </w:t>
      </w:r>
    </w:p>
    <w:p w14:paraId="5E540032" w14:textId="77777777" w:rsidR="003539FD" w:rsidRPr="000A1272" w:rsidRDefault="003539FD" w:rsidP="003539FD">
      <w:pPr>
        <w:pStyle w:val="H23G"/>
        <w:ind w:left="0" w:firstLine="0"/>
        <w:rPr>
          <w:rFonts w:eastAsiaTheme="minorEastAsia"/>
        </w:rPr>
      </w:pPr>
      <w:r w:rsidRPr="000A1272">
        <w:rPr>
          <w:rFonts w:eastAsiaTheme="minorEastAsia"/>
        </w:rPr>
        <w:tab/>
        <w:t>4.</w:t>
      </w:r>
      <w:r w:rsidRPr="000A1272">
        <w:rPr>
          <w:rFonts w:eastAsiaTheme="minorEastAsia"/>
        </w:rPr>
        <w:tab/>
        <w:t>Amendment to the text of 6.8.2.5.1</w:t>
      </w:r>
    </w:p>
    <w:p w14:paraId="57987107" w14:textId="77777777" w:rsidR="003539FD" w:rsidRPr="000A1272" w:rsidRDefault="003539FD" w:rsidP="003539FD">
      <w:pPr>
        <w:pStyle w:val="SingleTxtG"/>
        <w:tabs>
          <w:tab w:val="left" w:pos="3119"/>
        </w:tabs>
      </w:pPr>
      <w:r w:rsidRPr="000A1272">
        <w:rPr>
          <w:i/>
          <w:iCs/>
        </w:rPr>
        <w:t>Document</w:t>
      </w:r>
      <w:r w:rsidRPr="000A1272">
        <w:t>:</w:t>
      </w:r>
      <w:r w:rsidRPr="000A1272">
        <w:tab/>
        <w:t>ECE/TRANS/WP.15/2018/11 (Belarus)</w:t>
      </w:r>
    </w:p>
    <w:p w14:paraId="0E3504D8" w14:textId="3797D32D" w:rsidR="003539FD" w:rsidRPr="000A1272" w:rsidRDefault="00FC6824" w:rsidP="003539FD">
      <w:pPr>
        <w:pStyle w:val="SingleTxtG"/>
      </w:pPr>
      <w:r>
        <w:t>41</w:t>
      </w:r>
      <w:r w:rsidR="003539FD" w:rsidRPr="000A1272">
        <w:t>.</w:t>
      </w:r>
      <w:r w:rsidR="003539FD" w:rsidRPr="000A1272">
        <w:tab/>
        <w:t>Several delegations expressed the wish to keep this discussion on hold at the level of the Working Party and to entrust the work to the Woking Group</w:t>
      </w:r>
      <w:r w:rsidR="00F76F66">
        <w:t xml:space="preserve"> on Tanks</w:t>
      </w:r>
      <w:r w:rsidR="003539FD" w:rsidRPr="000A1272">
        <w:t xml:space="preserve"> of the Joint Meeting since this amendment would apply to all modes of transport. The representative of Belarus </w:t>
      </w:r>
      <w:r w:rsidR="000446E0">
        <w:t>said he would</w:t>
      </w:r>
      <w:r w:rsidR="000446E0" w:rsidRPr="000A1272">
        <w:t xml:space="preserve"> </w:t>
      </w:r>
      <w:r w:rsidR="003539FD" w:rsidRPr="000A1272">
        <w:t>submit a proposal to the spring 2019 session of the Joint Meeting.</w:t>
      </w:r>
    </w:p>
    <w:p w14:paraId="23078A24" w14:textId="568D299B" w:rsidR="003539FD" w:rsidRPr="000A1272" w:rsidRDefault="003539FD" w:rsidP="003539FD">
      <w:pPr>
        <w:pStyle w:val="H23G"/>
        <w:ind w:left="0" w:firstLine="0"/>
        <w:rPr>
          <w:rFonts w:eastAsiaTheme="minorEastAsia"/>
        </w:rPr>
      </w:pPr>
      <w:r w:rsidRPr="000A1272">
        <w:tab/>
      </w:r>
      <w:r w:rsidRPr="000A1272">
        <w:rPr>
          <w:rFonts w:eastAsiaTheme="minorEastAsia"/>
        </w:rPr>
        <w:t>5.</w:t>
      </w:r>
      <w:r w:rsidRPr="000A1272">
        <w:rPr>
          <w:rFonts w:eastAsiaTheme="minorEastAsia"/>
        </w:rPr>
        <w:tab/>
      </w:r>
      <w:r w:rsidR="000446E0">
        <w:rPr>
          <w:rFonts w:eastAsiaTheme="minorEastAsia"/>
        </w:rPr>
        <w:t>C</w:t>
      </w:r>
      <w:r w:rsidRPr="000A1272">
        <w:rPr>
          <w:rFonts w:eastAsiaTheme="minorEastAsia"/>
        </w:rPr>
        <w:t>larification of the scope of 9.1.3.4</w:t>
      </w:r>
    </w:p>
    <w:p w14:paraId="734B5F57" w14:textId="77777777" w:rsidR="003539FD" w:rsidRPr="000A1272" w:rsidRDefault="003539FD" w:rsidP="003539FD">
      <w:pPr>
        <w:pStyle w:val="SingleTxtG"/>
        <w:spacing w:before="120"/>
      </w:pPr>
      <w:r w:rsidRPr="000A1272">
        <w:rPr>
          <w:i/>
          <w:iCs/>
        </w:rPr>
        <w:t>Informal document</w:t>
      </w:r>
      <w:r w:rsidRPr="000A1272">
        <w:t>:</w:t>
      </w:r>
      <w:r w:rsidRPr="000A1272">
        <w:tab/>
      </w:r>
      <w:r w:rsidRPr="000A1272">
        <w:tab/>
        <w:t>INF.3 (Switzerland)</w:t>
      </w:r>
    </w:p>
    <w:p w14:paraId="2D958BC3" w14:textId="00820B5C" w:rsidR="003539FD" w:rsidRPr="000A1272" w:rsidRDefault="003E32B0" w:rsidP="003539FD">
      <w:pPr>
        <w:pStyle w:val="SingleTxtG"/>
      </w:pPr>
      <w:r>
        <w:t>4</w:t>
      </w:r>
      <w:r w:rsidR="00FC6824">
        <w:t>2</w:t>
      </w:r>
      <w:r w:rsidR="003539FD" w:rsidRPr="000A1272">
        <w:t>.</w:t>
      </w:r>
      <w:r w:rsidR="003539FD" w:rsidRPr="000A1272">
        <w:tab/>
        <w:t xml:space="preserve">The Working Party considered the amendment proposed by Switzerland to clarify the meaning of the second sentence of 9.1.3.4. Some delegations were in favour of the proposal and suggested to amend the last sentence to allow two months, instead of one month currently, for the technical inspection </w:t>
      </w:r>
      <w:r w:rsidR="0012723F">
        <w:t xml:space="preserve">before the </w:t>
      </w:r>
      <w:r w:rsidR="003539FD" w:rsidRPr="000A1272">
        <w:t xml:space="preserve">last nominal expiry date.  </w:t>
      </w:r>
      <w:r w:rsidR="00AD1BA0">
        <w:t xml:space="preserve">The </w:t>
      </w:r>
      <w:r w:rsidR="005E54D5">
        <w:t xml:space="preserve">representative of the </w:t>
      </w:r>
      <w:r w:rsidR="00AD1BA0">
        <w:t xml:space="preserve">United Kingdom opposed to the proposal. </w:t>
      </w:r>
      <w:r w:rsidR="003539FD" w:rsidRPr="000A1272">
        <w:t>Other</w:t>
      </w:r>
      <w:r w:rsidR="00484C2D">
        <w:t>s</w:t>
      </w:r>
      <w:r w:rsidR="003539FD" w:rsidRPr="000A1272">
        <w:t xml:space="preserve"> thought it might be necessary to bring this discussion at the level of the Joint Meeting.</w:t>
      </w:r>
      <w:r w:rsidR="00675F84">
        <w:t xml:space="preserve"> </w:t>
      </w:r>
    </w:p>
    <w:p w14:paraId="5D1F74C1" w14:textId="7F02BD23" w:rsidR="003539FD" w:rsidRDefault="003539FD" w:rsidP="003539FD">
      <w:pPr>
        <w:pStyle w:val="SingleTxtG"/>
      </w:pPr>
      <w:r w:rsidRPr="000A1272">
        <w:t>4</w:t>
      </w:r>
      <w:r w:rsidR="00FC6824">
        <w:t>3</w:t>
      </w:r>
      <w:r w:rsidRPr="000A1272">
        <w:t>.</w:t>
      </w:r>
      <w:r w:rsidRPr="000A1272">
        <w:tab/>
        <w:t xml:space="preserve">The representative of Switzerland took note of the comments </w:t>
      </w:r>
      <w:r w:rsidR="00810992">
        <w:t>made and said that he would submit</w:t>
      </w:r>
      <w:r w:rsidRPr="000A1272">
        <w:t xml:space="preserve"> a revised proposal in the future.</w:t>
      </w:r>
    </w:p>
    <w:p w14:paraId="63478AC6" w14:textId="19646C11" w:rsidR="00CE2705" w:rsidRPr="00DB7B64" w:rsidRDefault="00CE2705" w:rsidP="00CE2705">
      <w:pPr>
        <w:pStyle w:val="H23G"/>
        <w:rPr>
          <w:rFonts w:eastAsiaTheme="minorEastAsia"/>
        </w:rPr>
      </w:pPr>
      <w:r>
        <w:rPr>
          <w:rFonts w:eastAsiaTheme="minorEastAsia"/>
        </w:rPr>
        <w:tab/>
        <w:t>6</w:t>
      </w:r>
      <w:r w:rsidRPr="00DB7B64">
        <w:rPr>
          <w:rFonts w:eastAsiaTheme="minorEastAsia"/>
        </w:rPr>
        <w:t>.</w:t>
      </w:r>
      <w:r w:rsidRPr="00DB7B64">
        <w:rPr>
          <w:rFonts w:eastAsiaTheme="minorEastAsia"/>
        </w:rPr>
        <w:tab/>
      </w:r>
      <w:r w:rsidR="00810992">
        <w:rPr>
          <w:rFonts w:eastAsiaTheme="minorEastAsia"/>
        </w:rPr>
        <w:t>Ex</w:t>
      </w:r>
      <w:r w:rsidR="00484C2D">
        <w:rPr>
          <w:rFonts w:eastAsiaTheme="minorEastAsia"/>
        </w:rPr>
        <w:t>emption</w:t>
      </w:r>
      <w:r w:rsidR="00810992">
        <w:rPr>
          <w:rFonts w:eastAsiaTheme="minorEastAsia"/>
        </w:rPr>
        <w:t xml:space="preserve"> of </w:t>
      </w:r>
      <w:r>
        <w:rPr>
          <w:rFonts w:eastAsiaTheme="minorEastAsia"/>
        </w:rPr>
        <w:t>fire-fighting equipment</w:t>
      </w:r>
      <w:r w:rsidR="00484C2D">
        <w:rPr>
          <w:rFonts w:eastAsiaTheme="minorEastAsia"/>
        </w:rPr>
        <w:t xml:space="preserve"> </w:t>
      </w:r>
      <w:r w:rsidR="00810992">
        <w:rPr>
          <w:rFonts w:eastAsiaTheme="minorEastAsia"/>
        </w:rPr>
        <w:t>for the carriage of Class 7 excepted packages with limited activity</w:t>
      </w:r>
      <w:r w:rsidR="00EC0F2D">
        <w:rPr>
          <w:rFonts w:eastAsiaTheme="minorEastAsia"/>
        </w:rPr>
        <w:t xml:space="preserve"> levels by </w:t>
      </w:r>
      <w:r>
        <w:rPr>
          <w:rFonts w:eastAsiaTheme="minorEastAsia"/>
        </w:rPr>
        <w:t>post services</w:t>
      </w:r>
    </w:p>
    <w:p w14:paraId="4AA3ADD6" w14:textId="77777777" w:rsidR="00CE2705" w:rsidRPr="00DB7B64" w:rsidRDefault="00CE2705" w:rsidP="00CE2705">
      <w:pPr>
        <w:pStyle w:val="SingleTxtG"/>
        <w:tabs>
          <w:tab w:val="left" w:pos="3119"/>
        </w:tabs>
      </w:pPr>
      <w:r w:rsidRPr="00DB7B64">
        <w:rPr>
          <w:i/>
          <w:iCs/>
        </w:rPr>
        <w:t>Informal document</w:t>
      </w:r>
      <w:r w:rsidRPr="00DB7B64">
        <w:t>:</w:t>
      </w:r>
      <w:r w:rsidRPr="00DB7B64">
        <w:tab/>
        <w:t>INF.</w:t>
      </w:r>
      <w:r>
        <w:t>4</w:t>
      </w:r>
      <w:r w:rsidRPr="00DB7B64">
        <w:t xml:space="preserve"> (</w:t>
      </w:r>
      <w:r>
        <w:t>Switzerland</w:t>
      </w:r>
      <w:r w:rsidRPr="00DB7B64">
        <w:t>)</w:t>
      </w:r>
    </w:p>
    <w:p w14:paraId="0450D7C4" w14:textId="1EC9D579" w:rsidR="00CE2705" w:rsidRDefault="003E32B0" w:rsidP="00CE2705">
      <w:pPr>
        <w:pStyle w:val="SingleTxtG"/>
      </w:pPr>
      <w:r>
        <w:t>4</w:t>
      </w:r>
      <w:r w:rsidR="00FC6824">
        <w:t>4</w:t>
      </w:r>
      <w:r w:rsidR="00CE2705" w:rsidRPr="00DB7B64">
        <w:t>.</w:t>
      </w:r>
      <w:r w:rsidR="00CE2705" w:rsidRPr="00DB7B64">
        <w:tab/>
        <w:t xml:space="preserve"> </w:t>
      </w:r>
      <w:r w:rsidR="00CE2705">
        <w:t xml:space="preserve">Most delegations that took the floor were not in favour of the proposal. They considered that a fire inside a vehicle cannot be excluded and that carrying a fire-extinguisher of 2 kg inside the vehicle was not a problem. </w:t>
      </w:r>
    </w:p>
    <w:p w14:paraId="2C7238B2" w14:textId="400F5873" w:rsidR="00CE2705" w:rsidRDefault="003E32B0" w:rsidP="00CE2705">
      <w:pPr>
        <w:pStyle w:val="SingleTxtG"/>
      </w:pPr>
      <w:r>
        <w:t>4</w:t>
      </w:r>
      <w:r w:rsidR="00FC6824">
        <w:t>5</w:t>
      </w:r>
      <w:r w:rsidR="00CE2705">
        <w:t>.</w:t>
      </w:r>
      <w:r w:rsidR="00CE2705">
        <w:tab/>
      </w:r>
      <w:r w:rsidR="00CE2705" w:rsidRPr="003F3B42">
        <w:t xml:space="preserve">It was recalled that the requirement for fire-fighting equipment was applicable to all vehicles carrying dangerous goods, irrespective of the nature of the dangerous goods transported. </w:t>
      </w:r>
      <w:r w:rsidR="00CE2705">
        <w:t>Several delegations noted</w:t>
      </w:r>
      <w:r w:rsidR="00CE2705" w:rsidRPr="003F3B42">
        <w:t xml:space="preserve"> that special provision S5 applied to all types of transports of excepted packages and not only to transport by post and </w:t>
      </w:r>
      <w:r w:rsidR="00CE2705">
        <w:t xml:space="preserve">they </w:t>
      </w:r>
      <w:r w:rsidR="00CE2705" w:rsidRPr="003F3B42">
        <w:t xml:space="preserve">were not in favour of extending the exemption to all cases. </w:t>
      </w:r>
    </w:p>
    <w:p w14:paraId="518480A1" w14:textId="553E7874" w:rsidR="00CE2705" w:rsidRDefault="003E32B0" w:rsidP="00CE2705">
      <w:pPr>
        <w:pStyle w:val="SingleTxtG"/>
      </w:pPr>
      <w:r>
        <w:t>4</w:t>
      </w:r>
      <w:r w:rsidR="00FC6824">
        <w:t>6</w:t>
      </w:r>
      <w:r w:rsidR="00CE2705">
        <w:t>.</w:t>
      </w:r>
      <w:r w:rsidR="00CE2705">
        <w:tab/>
        <w:t>Others considered that the exemption could be addressed</w:t>
      </w:r>
      <w:r w:rsidR="00CE2705" w:rsidDel="00A873EE">
        <w:t xml:space="preserve"> </w:t>
      </w:r>
      <w:r w:rsidR="00CE2705">
        <w:t xml:space="preserve">at national level. The representative of Switzerland indicated however that this would not solve the problem currently encountered during multimodal carriage of these packages and therefore considered that it would be preferable to find a solution addressing carriage by all modes. He informed the Working Party that he </w:t>
      </w:r>
      <w:r w:rsidR="000934A4">
        <w:t xml:space="preserve">would </w:t>
      </w:r>
      <w:r w:rsidR="00CE2705">
        <w:t>consider submitting a formal proposal in the future.</w:t>
      </w:r>
    </w:p>
    <w:p w14:paraId="1ACF03CE" w14:textId="3B2E5C86" w:rsidR="003539FD" w:rsidRPr="000A1272" w:rsidRDefault="00CE2705" w:rsidP="003539FD">
      <w:pPr>
        <w:pStyle w:val="H23G"/>
        <w:ind w:left="0" w:firstLine="0"/>
        <w:rPr>
          <w:rFonts w:eastAsiaTheme="minorEastAsia"/>
        </w:rPr>
      </w:pPr>
      <w:r>
        <w:rPr>
          <w:rFonts w:eastAsiaTheme="minorEastAsia"/>
        </w:rPr>
        <w:lastRenderedPageBreak/>
        <w:tab/>
        <w:t>7</w:t>
      </w:r>
      <w:r w:rsidR="003539FD" w:rsidRPr="000A1272">
        <w:rPr>
          <w:rFonts w:eastAsiaTheme="minorEastAsia"/>
        </w:rPr>
        <w:t>.</w:t>
      </w:r>
      <w:r w:rsidR="003539FD" w:rsidRPr="000A1272">
        <w:rPr>
          <w:rFonts w:eastAsiaTheme="minorEastAsia"/>
        </w:rPr>
        <w:tab/>
        <w:t>Online refresher training for drivers of dangerous goods</w:t>
      </w:r>
    </w:p>
    <w:p w14:paraId="12D1BAB3" w14:textId="77777777" w:rsidR="003539FD" w:rsidRPr="000A1272" w:rsidRDefault="003539FD" w:rsidP="003539FD">
      <w:pPr>
        <w:pStyle w:val="SingleTxtG"/>
        <w:spacing w:before="120"/>
      </w:pPr>
      <w:r w:rsidRPr="000A1272">
        <w:rPr>
          <w:i/>
          <w:iCs/>
        </w:rPr>
        <w:t>Informal document</w:t>
      </w:r>
      <w:r w:rsidRPr="000A1272">
        <w:t>:</w:t>
      </w:r>
      <w:r w:rsidRPr="000A1272">
        <w:tab/>
      </w:r>
      <w:r w:rsidRPr="000A1272">
        <w:tab/>
        <w:t>INF.7 (IRU)</w:t>
      </w:r>
    </w:p>
    <w:p w14:paraId="12F415BC" w14:textId="694890AC" w:rsidR="003539FD" w:rsidRPr="000A1272" w:rsidRDefault="003E32B0" w:rsidP="003539FD">
      <w:pPr>
        <w:pStyle w:val="SingleTxtG"/>
      </w:pPr>
      <w:r>
        <w:t>4</w:t>
      </w:r>
      <w:r w:rsidR="00FC6824">
        <w:t>7</w:t>
      </w:r>
      <w:r w:rsidR="003539FD" w:rsidRPr="000A1272">
        <w:t>.</w:t>
      </w:r>
      <w:r w:rsidR="003539FD" w:rsidRPr="000A1272">
        <w:tab/>
        <w:t xml:space="preserve">The delegations that took the floor shared their experience with </w:t>
      </w:r>
      <w:r w:rsidR="001961F8">
        <w:t xml:space="preserve">online training and </w:t>
      </w:r>
      <w:r w:rsidR="003539FD" w:rsidRPr="000A1272">
        <w:t>e-learning and the feedback received from their competent authorities. There was a common understanding that the use of new</w:t>
      </w:r>
      <w:r w:rsidR="008B1504">
        <w:t xml:space="preserve"> training</w:t>
      </w:r>
      <w:r w:rsidR="003539FD" w:rsidRPr="000A1272">
        <w:t xml:space="preserve"> technologies could be beneficial for the </w:t>
      </w:r>
      <w:r w:rsidR="00C372F3">
        <w:t>dr</w:t>
      </w:r>
      <w:r w:rsidR="009F1B6C">
        <w:t>ivers</w:t>
      </w:r>
      <w:r w:rsidR="003539FD" w:rsidRPr="000A1272">
        <w:t>, especially in allowing more flexibility when learning</w:t>
      </w:r>
      <w:r w:rsidR="005B0D62">
        <w:t xml:space="preserve"> but that it should be combined with the presence of a teacher</w:t>
      </w:r>
      <w:r w:rsidR="003539FD" w:rsidRPr="000A1272">
        <w:t xml:space="preserve">. The representatives of Tunisia and </w:t>
      </w:r>
      <w:proofErr w:type="spellStart"/>
      <w:r w:rsidR="003539FD" w:rsidRPr="000A1272">
        <w:t>EuroMed</w:t>
      </w:r>
      <w:proofErr w:type="spellEnd"/>
      <w:r w:rsidR="003539FD" w:rsidRPr="000A1272">
        <w:t xml:space="preserve"> raised the </w:t>
      </w:r>
      <w:r w:rsidR="001857D8">
        <w:t>attention of the Working Party to</w:t>
      </w:r>
      <w:r w:rsidR="003539FD" w:rsidRPr="000A1272">
        <w:t xml:space="preserve"> the difficulties</w:t>
      </w:r>
      <w:r w:rsidR="001857D8">
        <w:t xml:space="preserve"> to provide online</w:t>
      </w:r>
      <w:r w:rsidR="003539FD" w:rsidRPr="000A1272">
        <w:t xml:space="preserve"> e-learning training for drivers </w:t>
      </w:r>
      <w:r w:rsidR="001857D8">
        <w:t xml:space="preserve">in some countries </w:t>
      </w:r>
      <w:r w:rsidR="003539FD" w:rsidRPr="000A1272">
        <w:t xml:space="preserve">and </w:t>
      </w:r>
      <w:r w:rsidR="001857D8">
        <w:t xml:space="preserve">to </w:t>
      </w:r>
      <w:r w:rsidR="003539FD" w:rsidRPr="000A1272">
        <w:t xml:space="preserve">the challenges that might be encountered if mandatory provisions on </w:t>
      </w:r>
      <w:r w:rsidR="001961F8">
        <w:t xml:space="preserve">online and </w:t>
      </w:r>
      <w:r w:rsidR="003539FD" w:rsidRPr="000A1272">
        <w:t xml:space="preserve">e-learning were integrated </w:t>
      </w:r>
      <w:r w:rsidR="00F42FBF">
        <w:t>in</w:t>
      </w:r>
      <w:r w:rsidR="003539FD" w:rsidRPr="000A1272">
        <w:t>to ADR.</w:t>
      </w:r>
    </w:p>
    <w:p w14:paraId="38F28352" w14:textId="38ECFEE5" w:rsidR="003539FD" w:rsidRPr="000A1272" w:rsidRDefault="003E32B0" w:rsidP="003539FD">
      <w:pPr>
        <w:pStyle w:val="SingleTxtG"/>
      </w:pPr>
      <w:r>
        <w:t>4</w:t>
      </w:r>
      <w:r w:rsidR="00FC6824">
        <w:t>8</w:t>
      </w:r>
      <w:r w:rsidR="003539FD">
        <w:t>.</w:t>
      </w:r>
      <w:r w:rsidR="003539FD" w:rsidRPr="000A1272">
        <w:tab/>
        <w:t>Some delegations pointed out that this topic ha</w:t>
      </w:r>
      <w:r w:rsidR="00B14DA4">
        <w:t>d</w:t>
      </w:r>
      <w:r w:rsidR="003539FD" w:rsidRPr="000A1272">
        <w:t xml:space="preserve"> been discussed at several occasions both at the Working Party and the Joint Meeting levels and </w:t>
      </w:r>
      <w:r w:rsidR="00F01E0B">
        <w:t>invited</w:t>
      </w:r>
      <w:r w:rsidR="003539FD" w:rsidRPr="000A1272">
        <w:t xml:space="preserve"> IRU </w:t>
      </w:r>
      <w:r w:rsidR="00B14DA4">
        <w:t>to</w:t>
      </w:r>
      <w:r w:rsidR="00B14DA4" w:rsidRPr="000A1272">
        <w:t xml:space="preserve"> </w:t>
      </w:r>
      <w:r w:rsidR="003539FD" w:rsidRPr="000A1272">
        <w:t xml:space="preserve">submit a formal proposal to the </w:t>
      </w:r>
      <w:r w:rsidR="002503C6">
        <w:t>spring 2019</w:t>
      </w:r>
      <w:r w:rsidR="002503C6" w:rsidRPr="000A1272">
        <w:t xml:space="preserve"> </w:t>
      </w:r>
      <w:r w:rsidR="003539FD" w:rsidRPr="000A1272">
        <w:t>session of the Joint Meeting including clear definitions of e-learning</w:t>
      </w:r>
      <w:r w:rsidR="00B1053A">
        <w:t xml:space="preserve"> and authentication</w:t>
      </w:r>
      <w:r w:rsidR="003539FD" w:rsidRPr="000A1272">
        <w:t>.</w:t>
      </w:r>
      <w:r w:rsidR="003539FD" w:rsidRPr="000A1272">
        <w:tab/>
      </w:r>
    </w:p>
    <w:p w14:paraId="4AA4B934" w14:textId="76FB724D" w:rsidR="003539FD" w:rsidRPr="000A1272" w:rsidRDefault="00CE2705" w:rsidP="003539FD">
      <w:pPr>
        <w:pStyle w:val="H23G"/>
        <w:ind w:left="0" w:firstLine="0"/>
        <w:rPr>
          <w:rFonts w:eastAsiaTheme="minorEastAsia"/>
        </w:rPr>
      </w:pPr>
      <w:r>
        <w:rPr>
          <w:rFonts w:eastAsiaTheme="minorEastAsia"/>
        </w:rPr>
        <w:tab/>
        <w:t>8</w:t>
      </w:r>
      <w:r w:rsidR="003539FD" w:rsidRPr="000A1272">
        <w:rPr>
          <w:rFonts w:eastAsiaTheme="minorEastAsia"/>
        </w:rPr>
        <w:t>.</w:t>
      </w:r>
      <w:r w:rsidR="003539FD" w:rsidRPr="000A1272">
        <w:rPr>
          <w:rFonts w:eastAsiaTheme="minorEastAsia"/>
        </w:rPr>
        <w:tab/>
        <w:t>Proposal to add a footnote to the table in 1.1.3.2 to define Nm</w:t>
      </w:r>
      <w:r w:rsidR="00A42899">
        <w:rPr>
          <w:rFonts w:eastAsiaTheme="minorEastAsia"/>
          <w:vertAlign w:val="superscript"/>
        </w:rPr>
        <w:t>3</w:t>
      </w:r>
    </w:p>
    <w:p w14:paraId="2C61E69E" w14:textId="77777777" w:rsidR="003539FD" w:rsidRPr="000A1272" w:rsidRDefault="003539FD" w:rsidP="003539FD">
      <w:pPr>
        <w:pStyle w:val="SingleTxtG"/>
        <w:spacing w:before="120"/>
      </w:pPr>
      <w:r w:rsidRPr="000A1272">
        <w:rPr>
          <w:i/>
          <w:iCs/>
        </w:rPr>
        <w:t>Informal document</w:t>
      </w:r>
      <w:r w:rsidRPr="000A1272">
        <w:t>:</w:t>
      </w:r>
      <w:r w:rsidRPr="000A1272">
        <w:tab/>
      </w:r>
      <w:r w:rsidRPr="000A1272">
        <w:tab/>
        <w:t>INF.8 (United Kingdom)</w:t>
      </w:r>
    </w:p>
    <w:p w14:paraId="42D9165D" w14:textId="0BE33E64" w:rsidR="003539FD" w:rsidRDefault="003E32B0" w:rsidP="003539FD">
      <w:pPr>
        <w:pStyle w:val="SingleTxtG"/>
      </w:pPr>
      <w:r>
        <w:t>4</w:t>
      </w:r>
      <w:r w:rsidR="00FC6824">
        <w:t>9</w:t>
      </w:r>
      <w:r w:rsidR="003539FD" w:rsidRPr="000A1272">
        <w:t>.</w:t>
      </w:r>
      <w:r w:rsidR="003539FD" w:rsidRPr="000A1272">
        <w:tab/>
        <w:t xml:space="preserve">Several delegations considered the proposal of </w:t>
      </w:r>
      <w:r w:rsidR="009624F0">
        <w:t xml:space="preserve">the </w:t>
      </w:r>
      <w:r w:rsidR="003539FD" w:rsidRPr="000A1272">
        <w:t xml:space="preserve">United Kingdom justified but </w:t>
      </w:r>
      <w:r w:rsidR="006C0D1D">
        <w:t xml:space="preserve">the representative of France suggested </w:t>
      </w:r>
      <w:r w:rsidR="003539FD" w:rsidRPr="000A1272">
        <w:t xml:space="preserve">that the definition should be added in 1.2.2 where the units used are defined. </w:t>
      </w:r>
      <w:r w:rsidR="009624F0">
        <w:t xml:space="preserve">The Working Party invited the </w:t>
      </w:r>
      <w:r w:rsidR="00B14DA4">
        <w:t>representative</w:t>
      </w:r>
      <w:r w:rsidR="009624F0">
        <w:t xml:space="preserve"> of the United Kingdom to submit </w:t>
      </w:r>
      <w:r w:rsidR="00C017F2">
        <w:t>an official</w:t>
      </w:r>
      <w:r w:rsidR="009624F0">
        <w:t xml:space="preserve"> document for the </w:t>
      </w:r>
      <w:r w:rsidR="00EA4C2A">
        <w:t>106</w:t>
      </w:r>
      <w:r w:rsidR="00EA4C2A" w:rsidRPr="001016D8">
        <w:t>th</w:t>
      </w:r>
      <w:r w:rsidR="00EA4C2A">
        <w:t xml:space="preserve"> </w:t>
      </w:r>
      <w:r w:rsidR="009624F0">
        <w:t>session.</w:t>
      </w:r>
    </w:p>
    <w:p w14:paraId="70085472" w14:textId="6AF6FEFC" w:rsidR="00180139" w:rsidRDefault="00180139" w:rsidP="00861053">
      <w:pPr>
        <w:pStyle w:val="H23G"/>
        <w:ind w:left="0" w:firstLine="0"/>
        <w:rPr>
          <w:rFonts w:eastAsiaTheme="minorEastAsia"/>
        </w:rPr>
      </w:pPr>
      <w:r>
        <w:rPr>
          <w:rFonts w:eastAsiaTheme="minorEastAsia"/>
        </w:rPr>
        <w:tab/>
      </w:r>
      <w:r w:rsidRPr="00861053">
        <w:rPr>
          <w:rFonts w:eastAsiaTheme="minorEastAsia"/>
        </w:rPr>
        <w:t xml:space="preserve">9. </w:t>
      </w:r>
      <w:r w:rsidR="00CE2705">
        <w:rPr>
          <w:rFonts w:eastAsiaTheme="minorEastAsia"/>
        </w:rPr>
        <w:tab/>
      </w:r>
      <w:r w:rsidRPr="00861053">
        <w:rPr>
          <w:rFonts w:eastAsiaTheme="minorEastAsia"/>
        </w:rPr>
        <w:t>UN 3316 Chemical and first aid kits transport category</w:t>
      </w:r>
    </w:p>
    <w:p w14:paraId="6434D542" w14:textId="7106FBBA" w:rsidR="00180139" w:rsidRPr="000A1272" w:rsidRDefault="00180139" w:rsidP="00180139">
      <w:pPr>
        <w:pStyle w:val="SingleTxtG"/>
        <w:spacing w:before="120"/>
      </w:pPr>
      <w:r>
        <w:rPr>
          <w:rFonts w:eastAsiaTheme="minorEastAsia"/>
        </w:rPr>
        <w:tab/>
      </w:r>
      <w:r w:rsidRPr="000A1272">
        <w:rPr>
          <w:i/>
          <w:iCs/>
        </w:rPr>
        <w:t>Informal document</w:t>
      </w:r>
      <w:r>
        <w:t>:</w:t>
      </w:r>
      <w:r>
        <w:tab/>
      </w:r>
      <w:r>
        <w:tab/>
        <w:t>INF.9</w:t>
      </w:r>
      <w:r w:rsidRPr="000A1272">
        <w:t xml:space="preserve"> (United Kingdom)</w:t>
      </w:r>
    </w:p>
    <w:p w14:paraId="327D4585" w14:textId="041C19EB" w:rsidR="00180139" w:rsidRDefault="00FC6824" w:rsidP="001016D8">
      <w:pPr>
        <w:pStyle w:val="SingleTxtG"/>
        <w:rPr>
          <w:rFonts w:eastAsiaTheme="minorEastAsia"/>
        </w:rPr>
      </w:pPr>
      <w:r>
        <w:rPr>
          <w:rFonts w:eastAsiaTheme="minorEastAsia"/>
        </w:rPr>
        <w:t>50</w:t>
      </w:r>
      <w:r w:rsidR="00180139">
        <w:rPr>
          <w:rFonts w:eastAsiaTheme="minorEastAsia"/>
        </w:rPr>
        <w:t>.</w:t>
      </w:r>
      <w:r w:rsidR="00180139">
        <w:rPr>
          <w:rFonts w:eastAsiaTheme="minorEastAsia"/>
        </w:rPr>
        <w:tab/>
        <w:t xml:space="preserve">Several delegations took the floor to express their support for this proposal. However, it was noted </w:t>
      </w:r>
      <w:r w:rsidR="0038606F">
        <w:rPr>
          <w:rFonts w:eastAsiaTheme="minorEastAsia"/>
        </w:rPr>
        <w:t xml:space="preserve">by the representative of Austria </w:t>
      </w:r>
      <w:r w:rsidR="00180139">
        <w:rPr>
          <w:rFonts w:eastAsiaTheme="minorEastAsia"/>
        </w:rPr>
        <w:t xml:space="preserve">that the solution proposed by the United Kingdom would result in having kits with dangerous goods to which no packing group is </w:t>
      </w:r>
      <w:r w:rsidR="003C4832">
        <w:rPr>
          <w:rFonts w:eastAsiaTheme="minorEastAsia"/>
        </w:rPr>
        <w:t>allocated</w:t>
      </w:r>
      <w:r w:rsidR="00180139">
        <w:rPr>
          <w:rFonts w:eastAsiaTheme="minorEastAsia"/>
        </w:rPr>
        <w:t xml:space="preserve"> to transport category 2, when the same kits with an article would be </w:t>
      </w:r>
      <w:r w:rsidR="0038606F">
        <w:rPr>
          <w:rFonts w:eastAsiaTheme="minorEastAsia"/>
        </w:rPr>
        <w:t>allocated to</w:t>
      </w:r>
      <w:r w:rsidR="00180139">
        <w:rPr>
          <w:rFonts w:eastAsiaTheme="minorEastAsia"/>
        </w:rPr>
        <w:t xml:space="preserve"> transport category 3.</w:t>
      </w:r>
    </w:p>
    <w:p w14:paraId="5B4AB159" w14:textId="5B82905A" w:rsidR="00180139" w:rsidRDefault="00180139" w:rsidP="00861053">
      <w:pPr>
        <w:ind w:left="567" w:firstLine="567"/>
        <w:rPr>
          <w:rFonts w:eastAsiaTheme="minorEastAsia"/>
        </w:rPr>
      </w:pPr>
    </w:p>
    <w:p w14:paraId="3AE8B18D" w14:textId="26C110AD" w:rsidR="00180139" w:rsidRPr="00861053" w:rsidRDefault="003E32B0" w:rsidP="001016D8">
      <w:pPr>
        <w:pStyle w:val="SingleTxtG"/>
        <w:rPr>
          <w:rFonts w:eastAsiaTheme="minorEastAsia"/>
        </w:rPr>
      </w:pPr>
      <w:r>
        <w:rPr>
          <w:rFonts w:eastAsiaTheme="minorEastAsia"/>
        </w:rPr>
        <w:t>5</w:t>
      </w:r>
      <w:r w:rsidR="00FC6824">
        <w:rPr>
          <w:rFonts w:eastAsiaTheme="minorEastAsia"/>
        </w:rPr>
        <w:t>1</w:t>
      </w:r>
      <w:r w:rsidR="00180139">
        <w:rPr>
          <w:rFonts w:eastAsiaTheme="minorEastAsia"/>
        </w:rPr>
        <w:t xml:space="preserve">. </w:t>
      </w:r>
      <w:r w:rsidR="00180139">
        <w:rPr>
          <w:rFonts w:eastAsiaTheme="minorEastAsia"/>
        </w:rPr>
        <w:tab/>
        <w:t>The Working Party confirmed that th</w:t>
      </w:r>
      <w:r w:rsidR="00BE121C">
        <w:rPr>
          <w:rFonts w:eastAsiaTheme="minorEastAsia"/>
        </w:rPr>
        <w:t>e</w:t>
      </w:r>
      <w:r w:rsidR="00180139">
        <w:rPr>
          <w:rFonts w:eastAsiaTheme="minorEastAsia"/>
        </w:rPr>
        <w:t xml:space="preserve"> proposal could not be considered as a correction to the 2019 edition of ADR and invited </w:t>
      </w:r>
      <w:r w:rsidR="00BE121C">
        <w:rPr>
          <w:rFonts w:eastAsiaTheme="minorEastAsia"/>
        </w:rPr>
        <w:t>the representative of the United Kingdom</w:t>
      </w:r>
      <w:r w:rsidR="00180139">
        <w:rPr>
          <w:rFonts w:eastAsiaTheme="minorEastAsia"/>
        </w:rPr>
        <w:t xml:space="preserve"> to submit a </w:t>
      </w:r>
      <w:r w:rsidR="00B14DA4">
        <w:rPr>
          <w:rFonts w:eastAsiaTheme="minorEastAsia"/>
        </w:rPr>
        <w:t>document</w:t>
      </w:r>
      <w:r w:rsidR="00180139">
        <w:rPr>
          <w:rFonts w:eastAsiaTheme="minorEastAsia"/>
        </w:rPr>
        <w:t xml:space="preserve"> to the spring 2019 session of the Joint Meeting.</w:t>
      </w:r>
    </w:p>
    <w:p w14:paraId="1D3BB4E5" w14:textId="75671225" w:rsidR="003539FD" w:rsidRPr="000A1272" w:rsidRDefault="00CE2705" w:rsidP="003539FD">
      <w:pPr>
        <w:pStyle w:val="H23G"/>
        <w:ind w:left="0" w:firstLine="0"/>
        <w:rPr>
          <w:rFonts w:eastAsiaTheme="minorEastAsia"/>
        </w:rPr>
      </w:pPr>
      <w:r>
        <w:rPr>
          <w:rFonts w:eastAsiaTheme="minorEastAsia"/>
        </w:rPr>
        <w:tab/>
        <w:t>10</w:t>
      </w:r>
      <w:r w:rsidR="003539FD" w:rsidRPr="000A1272">
        <w:rPr>
          <w:rFonts w:eastAsiaTheme="minorEastAsia"/>
        </w:rPr>
        <w:t>.</w:t>
      </w:r>
      <w:r w:rsidR="003539FD" w:rsidRPr="000A1272">
        <w:rPr>
          <w:rFonts w:eastAsiaTheme="minorEastAsia"/>
        </w:rPr>
        <w:tab/>
        <w:t>More than one trailer (or semi-trailer) in transport unit (8.1.1)</w:t>
      </w:r>
    </w:p>
    <w:p w14:paraId="16977722" w14:textId="77777777" w:rsidR="003539FD" w:rsidRPr="000A1272" w:rsidRDefault="003539FD" w:rsidP="003539FD">
      <w:pPr>
        <w:pStyle w:val="SingleTxtG"/>
        <w:spacing w:before="120"/>
      </w:pPr>
      <w:bookmarkStart w:id="10" w:name="_Hlk529448585"/>
      <w:r w:rsidRPr="000A1272">
        <w:rPr>
          <w:i/>
          <w:iCs/>
        </w:rPr>
        <w:t>Informal document</w:t>
      </w:r>
      <w:r w:rsidRPr="000A1272">
        <w:t>:</w:t>
      </w:r>
      <w:r w:rsidRPr="000A1272">
        <w:tab/>
      </w:r>
      <w:r w:rsidRPr="000A1272">
        <w:tab/>
        <w:t>INF.12 (Finland and Sweden)</w:t>
      </w:r>
    </w:p>
    <w:p w14:paraId="4BC200D5" w14:textId="1C211AD2" w:rsidR="003539FD" w:rsidRPr="000A1272" w:rsidRDefault="003539FD" w:rsidP="003539FD">
      <w:pPr>
        <w:pStyle w:val="SingleTxtG"/>
      </w:pPr>
      <w:r w:rsidRPr="000A1272">
        <w:t>5</w:t>
      </w:r>
      <w:r w:rsidR="00FC6824">
        <w:t>2</w:t>
      </w:r>
      <w:r w:rsidRPr="000A1272">
        <w:t>.</w:t>
      </w:r>
      <w:r w:rsidRPr="000A1272">
        <w:tab/>
      </w:r>
      <w:r w:rsidR="009A71EA">
        <w:t xml:space="preserve">Some delegations </w:t>
      </w:r>
      <w:r w:rsidR="00BC1FAD">
        <w:t>were not in favour of the proposal</w:t>
      </w:r>
      <w:r w:rsidR="009A71EA">
        <w:t xml:space="preserve"> </w:t>
      </w:r>
      <w:r w:rsidRPr="000A1272">
        <w:t xml:space="preserve">to introduce provisions in ADR to allow more than one trailer (or semi-trailer) in a transport unit for the transport of dangerous goods.  </w:t>
      </w:r>
      <w:r w:rsidR="00D47F15">
        <w:t xml:space="preserve">Others were in favour. </w:t>
      </w:r>
      <w:r w:rsidRPr="000A1272">
        <w:t>Some considered however that this should not be allowed</w:t>
      </w:r>
      <w:r w:rsidR="007A5304">
        <w:t xml:space="preserve"> </w:t>
      </w:r>
      <w:proofErr w:type="gramStart"/>
      <w:r w:rsidR="007A5304">
        <w:t xml:space="preserve">in particular </w:t>
      </w:r>
      <w:r w:rsidRPr="000A1272">
        <w:t>for</w:t>
      </w:r>
      <w:proofErr w:type="gramEnd"/>
      <w:r w:rsidRPr="000A1272">
        <w:t xml:space="preserve"> tank trailers. Some also were of the view that these </w:t>
      </w:r>
      <w:r w:rsidR="00B14DA4">
        <w:t>vehicle combinations</w:t>
      </w:r>
      <w:r w:rsidR="00B14DA4" w:rsidRPr="000A1272">
        <w:t xml:space="preserve"> </w:t>
      </w:r>
      <w:r w:rsidRPr="000A1272">
        <w:t>should remain exceptional and limited to national traffic.</w:t>
      </w:r>
    </w:p>
    <w:p w14:paraId="53EF08F9" w14:textId="0868272C" w:rsidR="003539FD" w:rsidRDefault="003539FD" w:rsidP="001016D8">
      <w:pPr>
        <w:pStyle w:val="SingleTxtG"/>
      </w:pPr>
      <w:r w:rsidRPr="000A1272">
        <w:t>5</w:t>
      </w:r>
      <w:r w:rsidR="00FC6824">
        <w:t>3</w:t>
      </w:r>
      <w:r w:rsidRPr="000A1272">
        <w:t>.</w:t>
      </w:r>
      <w:r w:rsidRPr="000A1272">
        <w:tab/>
        <w:t xml:space="preserve">The </w:t>
      </w:r>
      <w:r w:rsidR="00B14DA4">
        <w:t>r</w:t>
      </w:r>
      <w:r w:rsidRPr="000A1272">
        <w:t xml:space="preserve">epresentatives of Finland and Sweden took note of the </w:t>
      </w:r>
      <w:r w:rsidR="001E66A9">
        <w:t>comme</w:t>
      </w:r>
      <w:r w:rsidR="00B14DA4">
        <w:t>nts made and said that they would</w:t>
      </w:r>
      <w:r w:rsidR="001E66A9">
        <w:t xml:space="preserve"> consider</w:t>
      </w:r>
      <w:r w:rsidRPr="000A1272">
        <w:t xml:space="preserve"> the best way to further pursue this work.</w:t>
      </w:r>
      <w:bookmarkEnd w:id="10"/>
    </w:p>
    <w:p w14:paraId="1EB38659" w14:textId="6835C31F" w:rsidR="002B2081" w:rsidRDefault="002B2081" w:rsidP="001016D8">
      <w:pPr>
        <w:pStyle w:val="SingleTxtG"/>
      </w:pPr>
    </w:p>
    <w:p w14:paraId="718B5E57" w14:textId="77777777" w:rsidR="002B2081" w:rsidRDefault="002B2081" w:rsidP="001016D8">
      <w:pPr>
        <w:pStyle w:val="SingleTxtG"/>
      </w:pPr>
    </w:p>
    <w:p w14:paraId="71E0AA33" w14:textId="78376326" w:rsidR="003539FD" w:rsidRPr="000A1272" w:rsidRDefault="003539FD" w:rsidP="003539FD">
      <w:pPr>
        <w:pStyle w:val="H23G"/>
        <w:rPr>
          <w:rFonts w:eastAsiaTheme="minorEastAsia"/>
        </w:rPr>
      </w:pPr>
      <w:r w:rsidRPr="000A1272">
        <w:rPr>
          <w:rFonts w:eastAsiaTheme="minorEastAsia"/>
        </w:rPr>
        <w:lastRenderedPageBreak/>
        <w:tab/>
      </w:r>
      <w:r w:rsidR="00CE2705">
        <w:rPr>
          <w:rFonts w:eastAsiaTheme="minorEastAsia"/>
        </w:rPr>
        <w:t>11</w:t>
      </w:r>
      <w:r w:rsidRPr="000A1272">
        <w:rPr>
          <w:rFonts w:eastAsiaTheme="minorEastAsia"/>
        </w:rPr>
        <w:t>.</w:t>
      </w:r>
      <w:r w:rsidRPr="000A1272">
        <w:rPr>
          <w:rFonts w:eastAsiaTheme="minorEastAsia"/>
        </w:rPr>
        <w:tab/>
      </w:r>
      <w:r>
        <w:rPr>
          <w:rFonts w:eastAsiaTheme="minorEastAsia"/>
        </w:rPr>
        <w:t>ADR driver training certificates from Contracting Parties</w:t>
      </w:r>
    </w:p>
    <w:p w14:paraId="52EE49E2" w14:textId="77777777" w:rsidR="003539FD" w:rsidRPr="000A1272" w:rsidRDefault="003539FD" w:rsidP="003539FD">
      <w:pPr>
        <w:pStyle w:val="SingleTxtG"/>
        <w:tabs>
          <w:tab w:val="left" w:pos="3119"/>
        </w:tabs>
      </w:pPr>
      <w:r>
        <w:rPr>
          <w:i/>
          <w:iCs/>
        </w:rPr>
        <w:t>Informal d</w:t>
      </w:r>
      <w:r w:rsidRPr="000A1272">
        <w:rPr>
          <w:i/>
          <w:iCs/>
        </w:rPr>
        <w:t>ocument</w:t>
      </w:r>
      <w:r w:rsidRPr="000A1272">
        <w:t>:</w:t>
      </w:r>
      <w:r w:rsidRPr="000A1272">
        <w:tab/>
      </w:r>
      <w:r>
        <w:t>INF.18</w:t>
      </w:r>
      <w:r w:rsidRPr="000A1272">
        <w:t xml:space="preserve"> (</w:t>
      </w:r>
      <w:r>
        <w:t>Austria</w:t>
      </w:r>
      <w:r w:rsidRPr="000A1272">
        <w:t>)</w:t>
      </w:r>
    </w:p>
    <w:p w14:paraId="1A95378C" w14:textId="0740A0B0" w:rsidR="003539FD" w:rsidRPr="000A1272" w:rsidRDefault="003539FD" w:rsidP="003539FD">
      <w:pPr>
        <w:pStyle w:val="SingleTxtG"/>
      </w:pPr>
      <w:r>
        <w:t>5</w:t>
      </w:r>
      <w:r w:rsidR="00FC6824">
        <w:t>4</w:t>
      </w:r>
      <w:r w:rsidRPr="000A1272">
        <w:t>.</w:t>
      </w:r>
      <w:r w:rsidRPr="000A1272">
        <w:tab/>
      </w:r>
      <w:r>
        <w:t xml:space="preserve">The Working Party reminded the </w:t>
      </w:r>
      <w:r w:rsidR="00456F9E">
        <w:t>c</w:t>
      </w:r>
      <w:r>
        <w:t xml:space="preserve">ontracting Parties of </w:t>
      </w:r>
      <w:r w:rsidR="0023701C">
        <w:t>their obligations to provide</w:t>
      </w:r>
      <w:r>
        <w:t xml:space="preserve"> the minimum information on the competent authorities </w:t>
      </w:r>
      <w:r w:rsidR="00C33CE8">
        <w:t xml:space="preserve">and their models of driver certificates for publication </w:t>
      </w:r>
      <w:r>
        <w:t>on the UNECE website to ensure mutual administrative support between contracting Parties. It was noted that it was the responsibilit</w:t>
      </w:r>
      <w:r w:rsidR="0023701C">
        <w:t>y</w:t>
      </w:r>
      <w:r>
        <w:t xml:space="preserve"> of Contracting Parties to ensure that the driver’s certificates submitted to the secretariat for publication on the UNECE website</w:t>
      </w:r>
      <w:r w:rsidR="00F417CA">
        <w:t xml:space="preserve"> </w:t>
      </w:r>
      <w:r w:rsidR="00C33CE8">
        <w:t>were</w:t>
      </w:r>
      <w:r w:rsidR="00F417CA">
        <w:t xml:space="preserve"> in</w:t>
      </w:r>
      <w:r>
        <w:t xml:space="preserve"> conform</w:t>
      </w:r>
      <w:r w:rsidR="00F417CA">
        <w:t xml:space="preserve">ity with </w:t>
      </w:r>
      <w:r>
        <w:t>the provisions in 8.2.2.8.</w:t>
      </w:r>
    </w:p>
    <w:p w14:paraId="6980C488" w14:textId="585C6B90" w:rsidR="003539FD" w:rsidRPr="000A1272" w:rsidRDefault="003539FD" w:rsidP="003539FD">
      <w:pPr>
        <w:pStyle w:val="H23G"/>
        <w:ind w:left="0" w:firstLine="0"/>
        <w:rPr>
          <w:rFonts w:eastAsiaTheme="minorEastAsia"/>
        </w:rPr>
      </w:pPr>
      <w:bookmarkStart w:id="11" w:name="_Hlk529946378"/>
      <w:r w:rsidRPr="000A1272">
        <w:rPr>
          <w:rFonts w:eastAsiaTheme="minorEastAsia"/>
        </w:rPr>
        <w:tab/>
      </w:r>
      <w:r>
        <w:rPr>
          <w:rFonts w:eastAsiaTheme="minorEastAsia"/>
        </w:rPr>
        <w:t>1</w:t>
      </w:r>
      <w:r w:rsidR="00CE2705">
        <w:rPr>
          <w:rFonts w:eastAsiaTheme="minorEastAsia"/>
        </w:rPr>
        <w:t>2</w:t>
      </w:r>
      <w:r w:rsidRPr="000A1272">
        <w:rPr>
          <w:rFonts w:eastAsiaTheme="minorEastAsia"/>
        </w:rPr>
        <w:t>.</w:t>
      </w:r>
      <w:r w:rsidRPr="000A1272">
        <w:rPr>
          <w:rFonts w:eastAsiaTheme="minorEastAsia"/>
        </w:rPr>
        <w:tab/>
      </w:r>
      <w:r>
        <w:rPr>
          <w:rFonts w:eastAsiaTheme="minorEastAsia"/>
        </w:rPr>
        <w:t>Clarification of the tunnel restriction code for UN3363</w:t>
      </w:r>
    </w:p>
    <w:p w14:paraId="0C008AF9" w14:textId="77777777" w:rsidR="003539FD" w:rsidRPr="000A1272" w:rsidRDefault="003539FD" w:rsidP="003539FD">
      <w:pPr>
        <w:pStyle w:val="SingleTxtG"/>
        <w:tabs>
          <w:tab w:val="left" w:pos="3119"/>
        </w:tabs>
      </w:pPr>
      <w:r>
        <w:rPr>
          <w:i/>
          <w:iCs/>
        </w:rPr>
        <w:t>Informal d</w:t>
      </w:r>
      <w:r w:rsidRPr="000A1272">
        <w:rPr>
          <w:i/>
          <w:iCs/>
        </w:rPr>
        <w:t>ocument</w:t>
      </w:r>
      <w:r w:rsidRPr="000A1272">
        <w:t>:</w:t>
      </w:r>
      <w:r w:rsidRPr="000A1272">
        <w:tab/>
      </w:r>
      <w:r>
        <w:t>INF.29</w:t>
      </w:r>
      <w:r w:rsidRPr="000A1272">
        <w:t xml:space="preserve"> (</w:t>
      </w:r>
      <w:r>
        <w:t>Germany</w:t>
      </w:r>
      <w:r w:rsidRPr="000A1272">
        <w:t>)</w:t>
      </w:r>
    </w:p>
    <w:p w14:paraId="531BF05B" w14:textId="55613A9B" w:rsidR="003539FD" w:rsidRPr="003539FD" w:rsidRDefault="003539FD" w:rsidP="003E32B0">
      <w:pPr>
        <w:pStyle w:val="SingleTxtG"/>
      </w:pPr>
      <w:r>
        <w:t>5</w:t>
      </w:r>
      <w:r w:rsidR="00FC6824">
        <w:t>5</w:t>
      </w:r>
      <w:r w:rsidRPr="000A1272">
        <w:t>.</w:t>
      </w:r>
      <w:r>
        <w:tab/>
        <w:t xml:space="preserve">Due to the late submission of this informal document, several delegations were not </w:t>
      </w:r>
      <w:proofErr w:type="gramStart"/>
      <w:r>
        <w:t>in a position</w:t>
      </w:r>
      <w:proofErr w:type="gramEnd"/>
      <w:r>
        <w:t xml:space="preserve"> to make any decision on the proposed amendment. It was noted that more time for consideration of this proposal was needed. The representative of Germany informed the Working Party that she will submit a formal proposal to the 106</w:t>
      </w:r>
      <w:r w:rsidRPr="00B76B05">
        <w:t>th</w:t>
      </w:r>
      <w:r>
        <w:t xml:space="preserve"> session.</w:t>
      </w:r>
      <w:bookmarkEnd w:id="11"/>
    </w:p>
    <w:p w14:paraId="41AFD5DC" w14:textId="5D03EBF1" w:rsidR="00336208" w:rsidRDefault="00336208" w:rsidP="00675F19">
      <w:pPr>
        <w:pStyle w:val="HChG"/>
      </w:pPr>
      <w:r w:rsidRPr="00D725A0">
        <w:tab/>
      </w:r>
      <w:bookmarkStart w:id="12" w:name="_Toc499903663"/>
      <w:r w:rsidRPr="00D725A0">
        <w:t>VII.</w:t>
      </w:r>
      <w:r w:rsidRPr="00D725A0">
        <w:tab/>
        <w:t>Interpretation of ADR (agenda item 6)</w:t>
      </w:r>
      <w:bookmarkEnd w:id="12"/>
    </w:p>
    <w:p w14:paraId="0657FB82" w14:textId="77777777" w:rsidR="003539FD" w:rsidRDefault="003539FD" w:rsidP="003539FD">
      <w:pPr>
        <w:pStyle w:val="H23G"/>
        <w:numPr>
          <w:ilvl w:val="0"/>
          <w:numId w:val="8"/>
        </w:numPr>
        <w:rPr>
          <w:rFonts w:eastAsiaTheme="minorEastAsia"/>
        </w:rPr>
      </w:pPr>
      <w:r>
        <w:rPr>
          <w:rFonts w:eastAsiaTheme="minorEastAsia"/>
        </w:rPr>
        <w:t>Proposal for clarification of the terminology in 1.1.3.1 (c)</w:t>
      </w:r>
    </w:p>
    <w:p w14:paraId="78585276" w14:textId="77777777" w:rsidR="003539FD" w:rsidRPr="000A1272" w:rsidRDefault="003539FD" w:rsidP="003539FD">
      <w:pPr>
        <w:pStyle w:val="SingleTxtG"/>
        <w:tabs>
          <w:tab w:val="left" w:pos="3119"/>
        </w:tabs>
        <w:ind w:left="1140"/>
      </w:pPr>
      <w:r>
        <w:rPr>
          <w:i/>
          <w:iCs/>
        </w:rPr>
        <w:t>Informal d</w:t>
      </w:r>
      <w:r w:rsidRPr="000A1272">
        <w:rPr>
          <w:i/>
          <w:iCs/>
        </w:rPr>
        <w:t>ocument</w:t>
      </w:r>
      <w:r w:rsidRPr="000A1272">
        <w:t>:</w:t>
      </w:r>
      <w:r w:rsidRPr="000A1272">
        <w:tab/>
      </w:r>
      <w:r>
        <w:t>INF.5</w:t>
      </w:r>
      <w:r w:rsidRPr="000A1272">
        <w:t xml:space="preserve"> (</w:t>
      </w:r>
      <w:r>
        <w:t>Georgia</w:t>
      </w:r>
      <w:r w:rsidRPr="000A1272">
        <w:t>)</w:t>
      </w:r>
    </w:p>
    <w:p w14:paraId="6F606775" w14:textId="58CA8A76" w:rsidR="003539FD" w:rsidRDefault="003539FD" w:rsidP="003539FD">
      <w:pPr>
        <w:pStyle w:val="SingleTxtG"/>
      </w:pPr>
      <w:r>
        <w:t>5</w:t>
      </w:r>
      <w:r w:rsidR="00FC6824">
        <w:t>6</w:t>
      </w:r>
      <w:r w:rsidRPr="000A1272">
        <w:t>.</w:t>
      </w:r>
      <w:r>
        <w:tab/>
        <w:t>The delegations that took the floor considered that t</w:t>
      </w:r>
      <w:r w:rsidRPr="00973789">
        <w:t xml:space="preserve">ransport </w:t>
      </w:r>
      <w:r>
        <w:t xml:space="preserve">of dangerous goods </w:t>
      </w:r>
      <w:r w:rsidRPr="00973789">
        <w:t xml:space="preserve">to or returns from working sites (for example building or civil engineering sites) by the workers who use </w:t>
      </w:r>
      <w:r>
        <w:t>them</w:t>
      </w:r>
      <w:r w:rsidRPr="00973789">
        <w:t xml:space="preserve"> </w:t>
      </w:r>
      <w:r w:rsidR="003B094C">
        <w:t>is</w:t>
      </w:r>
      <w:r w:rsidR="003B094C" w:rsidRPr="00973789">
        <w:t xml:space="preserve"> </w:t>
      </w:r>
      <w:r w:rsidRPr="00973789">
        <w:t xml:space="preserve">exempted. Carriage undertaken by enterprises for their own supply or external or internal distribution, e.g. with dedicated drivers and vehicles, does not fall within the scope of this exemption. </w:t>
      </w:r>
    </w:p>
    <w:p w14:paraId="606DF79A" w14:textId="6D2EAD7A" w:rsidR="003539FD" w:rsidRDefault="003539FD" w:rsidP="003539FD">
      <w:pPr>
        <w:pStyle w:val="SingleTxtG"/>
      </w:pPr>
      <w:r>
        <w:t>5</w:t>
      </w:r>
      <w:r w:rsidR="00FC6824">
        <w:t>7</w:t>
      </w:r>
      <w:r>
        <w:t>.</w:t>
      </w:r>
      <w:r>
        <w:tab/>
        <w:t xml:space="preserve">The representative of Switzerland informed the Working Party that he will share the interpretation used at national level in his country. The Working Party invited other delegations to send their interpretations to the representative of Georgia.  </w:t>
      </w:r>
    </w:p>
    <w:p w14:paraId="75C0B1C6" w14:textId="16AD7083" w:rsidR="003539FD" w:rsidRDefault="003539FD" w:rsidP="003539FD">
      <w:pPr>
        <w:pStyle w:val="SingleTxtG"/>
      </w:pPr>
      <w:r>
        <w:t>5</w:t>
      </w:r>
      <w:r w:rsidR="00FC6824">
        <w:t>8</w:t>
      </w:r>
      <w:r>
        <w:t>.</w:t>
      </w:r>
      <w:r>
        <w:tab/>
      </w:r>
      <w:proofErr w:type="gramStart"/>
      <w:r>
        <w:t xml:space="preserve">In light </w:t>
      </w:r>
      <w:r w:rsidR="00CA383E">
        <w:t>of</w:t>
      </w:r>
      <w:proofErr w:type="gramEnd"/>
      <w:r w:rsidR="00CA383E">
        <w:t xml:space="preserve"> </w:t>
      </w:r>
      <w:r>
        <w:t xml:space="preserve">the discussions related to the publication of questions of interpretation of ADR (see paragraph </w:t>
      </w:r>
      <w:r w:rsidR="00A0268F">
        <w:t xml:space="preserve">71), </w:t>
      </w:r>
      <w:r>
        <w:t>t</w:t>
      </w:r>
      <w:r w:rsidRPr="00973789">
        <w:t>he repr</w:t>
      </w:r>
      <w:r>
        <w:t>esentative of Georgia was</w:t>
      </w:r>
      <w:r w:rsidRPr="00973789">
        <w:t xml:space="preserve"> invited to prepare a </w:t>
      </w:r>
      <w:r>
        <w:t>document for the 106</w:t>
      </w:r>
      <w:r w:rsidRPr="00B76B05">
        <w:t>th</w:t>
      </w:r>
      <w:r>
        <w:t xml:space="preserve"> session.</w:t>
      </w:r>
    </w:p>
    <w:p w14:paraId="7C70E92B" w14:textId="77777777" w:rsidR="003539FD" w:rsidRDefault="003539FD" w:rsidP="003539FD">
      <w:pPr>
        <w:pStyle w:val="H23G"/>
        <w:numPr>
          <w:ilvl w:val="0"/>
          <w:numId w:val="8"/>
        </w:numPr>
        <w:rPr>
          <w:rFonts w:eastAsiaTheme="minorEastAsia"/>
        </w:rPr>
      </w:pPr>
      <w:r>
        <w:rPr>
          <w:rFonts w:eastAsiaTheme="minorEastAsia"/>
        </w:rPr>
        <w:t>Proposal for clarification of the terminology in 1.4.3.1.1 (e)</w:t>
      </w:r>
    </w:p>
    <w:p w14:paraId="12AE1AB9" w14:textId="77777777" w:rsidR="003539FD" w:rsidRPr="000A1272" w:rsidRDefault="003539FD" w:rsidP="003539FD">
      <w:pPr>
        <w:pStyle w:val="SingleTxtG"/>
        <w:tabs>
          <w:tab w:val="left" w:pos="3119"/>
        </w:tabs>
        <w:ind w:left="1140"/>
      </w:pPr>
      <w:r>
        <w:rPr>
          <w:i/>
          <w:iCs/>
        </w:rPr>
        <w:t>Informal d</w:t>
      </w:r>
      <w:r w:rsidRPr="000A1272">
        <w:rPr>
          <w:i/>
          <w:iCs/>
        </w:rPr>
        <w:t>ocument</w:t>
      </w:r>
      <w:r w:rsidRPr="000A1272">
        <w:t>:</w:t>
      </w:r>
      <w:r w:rsidRPr="000A1272">
        <w:tab/>
      </w:r>
      <w:r>
        <w:t>INF.6</w:t>
      </w:r>
      <w:r w:rsidRPr="000A1272">
        <w:t xml:space="preserve"> (</w:t>
      </w:r>
      <w:r>
        <w:t>Georgia</w:t>
      </w:r>
      <w:r w:rsidRPr="000A1272">
        <w:t>)</w:t>
      </w:r>
    </w:p>
    <w:p w14:paraId="3C43E7AD" w14:textId="16C20A04" w:rsidR="003539FD" w:rsidRDefault="003539FD" w:rsidP="003539FD">
      <w:pPr>
        <w:pStyle w:val="SingleTxtG"/>
      </w:pPr>
      <w:r>
        <w:t>5</w:t>
      </w:r>
      <w:r w:rsidR="00FC6824">
        <w:t>9</w:t>
      </w:r>
      <w:r w:rsidRPr="000A1272">
        <w:t>.</w:t>
      </w:r>
      <w:r w:rsidRPr="000A1272">
        <w:tab/>
      </w:r>
      <w:r>
        <w:t>Most of the delegations that took the floor agreed that the existing text lacked clarity and could be interpreted in different ways. Since it was also relevant to other modes of transport, the representative of Georgia was invited to submit a document to the spring 2019 session of the Joint Meeting.</w:t>
      </w:r>
    </w:p>
    <w:p w14:paraId="141BA1BB" w14:textId="77777777" w:rsidR="003539FD" w:rsidRDefault="003539FD" w:rsidP="003539FD">
      <w:pPr>
        <w:pStyle w:val="H23G"/>
        <w:numPr>
          <w:ilvl w:val="0"/>
          <w:numId w:val="8"/>
        </w:numPr>
        <w:rPr>
          <w:rFonts w:eastAsiaTheme="minorEastAsia"/>
        </w:rPr>
      </w:pPr>
      <w:r>
        <w:rPr>
          <w:rFonts w:eastAsiaTheme="minorEastAsia"/>
        </w:rPr>
        <w:t>Interpretation of 9.2.2.9 – electronic equipment in the driver’s cab of FL vehicles</w:t>
      </w:r>
    </w:p>
    <w:p w14:paraId="03183A29" w14:textId="77777777" w:rsidR="003539FD" w:rsidRPr="000A1272" w:rsidRDefault="003539FD" w:rsidP="003539FD">
      <w:pPr>
        <w:pStyle w:val="SingleTxtG"/>
        <w:tabs>
          <w:tab w:val="left" w:pos="3119"/>
        </w:tabs>
        <w:ind w:left="1140"/>
      </w:pPr>
      <w:r>
        <w:rPr>
          <w:i/>
          <w:iCs/>
        </w:rPr>
        <w:t>Informal d</w:t>
      </w:r>
      <w:r w:rsidRPr="000A1272">
        <w:rPr>
          <w:i/>
          <w:iCs/>
        </w:rPr>
        <w:t>ocument</w:t>
      </w:r>
      <w:r w:rsidRPr="000A1272">
        <w:t>:</w:t>
      </w:r>
      <w:r w:rsidRPr="000A1272">
        <w:tab/>
      </w:r>
      <w:r>
        <w:t>INF.11</w:t>
      </w:r>
      <w:r w:rsidRPr="000A1272">
        <w:t xml:space="preserve"> (</w:t>
      </w:r>
      <w:r>
        <w:t>Netherlands</w:t>
      </w:r>
      <w:r w:rsidRPr="000A1272">
        <w:t>)</w:t>
      </w:r>
    </w:p>
    <w:p w14:paraId="537BE559" w14:textId="2E9C4A51" w:rsidR="003539FD" w:rsidRDefault="00FC6824" w:rsidP="003539FD">
      <w:pPr>
        <w:pStyle w:val="SingleTxtG"/>
      </w:pPr>
      <w:r>
        <w:t>60</w:t>
      </w:r>
      <w:r w:rsidR="003539FD" w:rsidRPr="000A1272">
        <w:t>.</w:t>
      </w:r>
      <w:r w:rsidR="003539FD">
        <w:tab/>
        <w:t xml:space="preserve">The Working Party noted that the questions raised by the Netherlands </w:t>
      </w:r>
      <w:r w:rsidR="00224826">
        <w:t xml:space="preserve">had </w:t>
      </w:r>
      <w:r w:rsidR="003539FD">
        <w:t xml:space="preserve">already </w:t>
      </w:r>
      <w:r w:rsidR="00224826">
        <w:t xml:space="preserve">been </w:t>
      </w:r>
      <w:r w:rsidR="003539FD">
        <w:t>addressed during its ninetieth session and invited hi</w:t>
      </w:r>
      <w:r w:rsidR="00456F9E">
        <w:t>m</w:t>
      </w:r>
      <w:r w:rsidR="003539FD">
        <w:t xml:space="preserve"> to refer to the report of that session (ECE/TRANS/WP.15/210, paragraph 20). It was also noted that work on the development of p</w:t>
      </w:r>
      <w:r w:rsidR="003539FD" w:rsidRPr="00175A59">
        <w:t>rovisions for data loggers and other equipment, containing electric energy storage and production systems in use during transport</w:t>
      </w:r>
      <w:r w:rsidR="003539FD">
        <w:t xml:space="preserve">, was ongoing at the Sub-Committee of Experts on </w:t>
      </w:r>
      <w:r w:rsidR="003539FD">
        <w:lastRenderedPageBreak/>
        <w:t>the Transport of Dangerous Goods (TDG Sub-Committee) and that it would consider several documents on this topic at its fifty-fourth session. The representative of the Netherlands was invited to contact his counterpart at the TDG Sub-Committee for further information on this subject.</w:t>
      </w:r>
    </w:p>
    <w:p w14:paraId="531A78DA" w14:textId="77777777" w:rsidR="003539FD" w:rsidRDefault="003539FD" w:rsidP="003539FD">
      <w:pPr>
        <w:pStyle w:val="H23G"/>
        <w:numPr>
          <w:ilvl w:val="0"/>
          <w:numId w:val="8"/>
        </w:numPr>
        <w:rPr>
          <w:rFonts w:eastAsiaTheme="minorEastAsia"/>
        </w:rPr>
      </w:pPr>
      <w:r>
        <w:rPr>
          <w:rFonts w:eastAsiaTheme="minorEastAsia"/>
        </w:rPr>
        <w:t>Interpretation of paragraph 6.8.2.4.5 of ADR</w:t>
      </w:r>
    </w:p>
    <w:p w14:paraId="399B14CB" w14:textId="77777777" w:rsidR="003539FD" w:rsidRPr="000A1272" w:rsidRDefault="003539FD" w:rsidP="003539FD">
      <w:pPr>
        <w:pStyle w:val="SingleTxtG"/>
        <w:tabs>
          <w:tab w:val="left" w:pos="3119"/>
        </w:tabs>
        <w:ind w:left="1140"/>
      </w:pPr>
      <w:r>
        <w:rPr>
          <w:i/>
          <w:iCs/>
        </w:rPr>
        <w:t>Informal d</w:t>
      </w:r>
      <w:r w:rsidRPr="000A1272">
        <w:rPr>
          <w:i/>
          <w:iCs/>
        </w:rPr>
        <w:t>ocument</w:t>
      </w:r>
      <w:r w:rsidRPr="000A1272">
        <w:t>:</w:t>
      </w:r>
      <w:r w:rsidRPr="000A1272">
        <w:tab/>
      </w:r>
      <w:r>
        <w:t>INF.22</w:t>
      </w:r>
      <w:r w:rsidRPr="000A1272">
        <w:t xml:space="preserve"> (</w:t>
      </w:r>
      <w:r>
        <w:t>Russian Federation</w:t>
      </w:r>
      <w:r w:rsidRPr="000A1272">
        <w:t>)</w:t>
      </w:r>
    </w:p>
    <w:p w14:paraId="0D79822C" w14:textId="57A4214F" w:rsidR="003539FD" w:rsidRDefault="003539FD" w:rsidP="00224826">
      <w:pPr>
        <w:pStyle w:val="SingleTxtG"/>
      </w:pPr>
      <w:r>
        <w:t>6</w:t>
      </w:r>
      <w:r w:rsidR="00FC6824">
        <w:t>1</w:t>
      </w:r>
      <w:r w:rsidRPr="000A1272">
        <w:t>.</w:t>
      </w:r>
      <w:r>
        <w:tab/>
        <w:t>The Working Party noted that there were different translations in Russian for the terms used in English (“certificate”) and French (“attestation”) to designate the document referred to in 6.8.2.4.5, showing the results of the tests, inspections and checks carried out in accordance with 6.8.2.4.1 to 6.8.2.4.4. The Working Party did not express any objection to the proposal of the Russian Federation to accept the equivalent translations proposed in informal document INF.22 (i.e.: «</w:t>
      </w:r>
      <w:proofErr w:type="spellStart"/>
      <w:r>
        <w:t>свидетельство</w:t>
      </w:r>
      <w:proofErr w:type="spellEnd"/>
      <w:r>
        <w:t>», «</w:t>
      </w:r>
      <w:proofErr w:type="spellStart"/>
      <w:r>
        <w:t>сертификат</w:t>
      </w:r>
      <w:proofErr w:type="spellEnd"/>
      <w:r>
        <w:t>» or «</w:t>
      </w:r>
      <w:proofErr w:type="spellStart"/>
      <w:r>
        <w:t>удостоверение</w:t>
      </w:r>
      <w:proofErr w:type="spellEnd"/>
      <w:r>
        <w:t xml:space="preserve">» approved by the competent authority) and noted that this would not entail any change to the text of the Russian version of the ADR.  </w:t>
      </w:r>
      <w:r w:rsidR="00224826">
        <w:t xml:space="preserve">The corrections were included in the Russian text of ADR 2019.  </w:t>
      </w:r>
    </w:p>
    <w:p w14:paraId="09837DF9" w14:textId="77777777" w:rsidR="003539FD" w:rsidRDefault="003539FD" w:rsidP="003539FD">
      <w:pPr>
        <w:pStyle w:val="H23G"/>
        <w:numPr>
          <w:ilvl w:val="0"/>
          <w:numId w:val="8"/>
        </w:numPr>
        <w:rPr>
          <w:rFonts w:eastAsiaTheme="minorEastAsia"/>
        </w:rPr>
      </w:pPr>
      <w:r>
        <w:rPr>
          <w:rFonts w:eastAsiaTheme="minorEastAsia"/>
        </w:rPr>
        <w:t>Other documents</w:t>
      </w:r>
    </w:p>
    <w:p w14:paraId="14845E79" w14:textId="56EB31C8" w:rsidR="003539FD" w:rsidRDefault="003539FD" w:rsidP="003539FD">
      <w:pPr>
        <w:pStyle w:val="SingleTxtG"/>
      </w:pPr>
      <w:r>
        <w:t>6</w:t>
      </w:r>
      <w:r w:rsidR="00FC6824">
        <w:t>2</w:t>
      </w:r>
      <w:r>
        <w:t>.</w:t>
      </w:r>
      <w:r>
        <w:tab/>
        <w:t xml:space="preserve">Due to the lack of time to discuss all the documents of the agenda, </w:t>
      </w:r>
      <w:r w:rsidR="000566E8">
        <w:t xml:space="preserve">the representatives of the </w:t>
      </w:r>
      <w:r>
        <w:t>Netherlands, Switzerland and</w:t>
      </w:r>
      <w:r w:rsidR="000566E8">
        <w:t xml:space="preserve"> the </w:t>
      </w:r>
      <w:r>
        <w:t xml:space="preserve">United Kingdom </w:t>
      </w:r>
      <w:r w:rsidR="00106C7C">
        <w:t xml:space="preserve">agreed </w:t>
      </w:r>
      <w:r>
        <w:t>to postpone the discussion o</w:t>
      </w:r>
      <w:r w:rsidR="00456F9E">
        <w:t>f</w:t>
      </w:r>
      <w:r>
        <w:t xml:space="preserve"> </w:t>
      </w:r>
      <w:r w:rsidR="000566E8">
        <w:t>informal</w:t>
      </w:r>
      <w:r>
        <w:t xml:space="preserve"> documents </w:t>
      </w:r>
      <w:r w:rsidR="000566E8">
        <w:t xml:space="preserve">INF.10, INF.20 and INF.30 </w:t>
      </w:r>
      <w:r>
        <w:t>to the 106</w:t>
      </w:r>
      <w:r w:rsidRPr="00D46039">
        <w:t>th</w:t>
      </w:r>
      <w:r>
        <w:t xml:space="preserve"> session.</w:t>
      </w:r>
    </w:p>
    <w:p w14:paraId="11AC3B15" w14:textId="4B9E4D01" w:rsidR="00336208" w:rsidRDefault="00336208" w:rsidP="00675F19">
      <w:pPr>
        <w:pStyle w:val="HChG"/>
      </w:pPr>
      <w:r w:rsidRPr="00D725A0">
        <w:tab/>
      </w:r>
      <w:bookmarkStart w:id="13" w:name="_Toc499903666"/>
      <w:r w:rsidRPr="00D725A0">
        <w:t>VIII.</w:t>
      </w:r>
      <w:r w:rsidRPr="00D725A0">
        <w:tab/>
        <w:t>Programme of work (agenda item 7)</w:t>
      </w:r>
      <w:bookmarkEnd w:id="13"/>
    </w:p>
    <w:p w14:paraId="10AB9224" w14:textId="7E061FE7" w:rsidR="003539FD" w:rsidRPr="00770C76" w:rsidRDefault="003539FD" w:rsidP="003539FD">
      <w:pPr>
        <w:pStyle w:val="SingleTxtG"/>
      </w:pPr>
      <w:r>
        <w:tab/>
        <w:t>6</w:t>
      </w:r>
      <w:r w:rsidR="00FC6824">
        <w:t>3</w:t>
      </w:r>
      <w:r>
        <w:t>.</w:t>
      </w:r>
      <w:r w:rsidRPr="00770C76">
        <w:tab/>
        <w:t>T</w:t>
      </w:r>
      <w:r>
        <w:t xml:space="preserve">he secretariat informed the Working </w:t>
      </w:r>
      <w:r w:rsidR="00C536C9">
        <w:t>P</w:t>
      </w:r>
      <w:r>
        <w:t>arty that the 106</w:t>
      </w:r>
      <w:r w:rsidRPr="00D46039">
        <w:t>th</w:t>
      </w:r>
      <w:r>
        <w:t xml:space="preserve"> session will be held from 13 to 17 May 2019 and that the deadline for submission of documents is 15 February 2019.</w:t>
      </w:r>
    </w:p>
    <w:p w14:paraId="12FD0B6A" w14:textId="4C02E17F" w:rsidR="003539FD" w:rsidRPr="003539FD" w:rsidRDefault="003539FD" w:rsidP="00CA7139">
      <w:pPr>
        <w:pStyle w:val="SingleTxtG"/>
      </w:pPr>
      <w:r>
        <w:t>6</w:t>
      </w:r>
      <w:r w:rsidR="00FC6824">
        <w:t>4</w:t>
      </w:r>
      <w:r>
        <w:t>.</w:t>
      </w:r>
      <w:r>
        <w:tab/>
        <w:t>It was noted that, subject to concurrence from 13 Contracting Parties, the Conference of the Parties to the ADR will be held on 13 May 2019, during the 106</w:t>
      </w:r>
      <w:r w:rsidRPr="00D46039">
        <w:t>th</w:t>
      </w:r>
      <w:r>
        <w:t xml:space="preserve"> session of the Working Party.</w:t>
      </w:r>
    </w:p>
    <w:p w14:paraId="17634629" w14:textId="4A2DB1A3" w:rsidR="00336208" w:rsidRDefault="00336208" w:rsidP="00150DC3">
      <w:pPr>
        <w:pStyle w:val="HChG"/>
      </w:pPr>
      <w:r w:rsidRPr="00D725A0">
        <w:tab/>
      </w:r>
      <w:bookmarkStart w:id="14" w:name="_Toc499903671"/>
      <w:r w:rsidR="008B4E22">
        <w:t>I</w:t>
      </w:r>
      <w:r w:rsidRPr="00D725A0">
        <w:t>X.</w:t>
      </w:r>
      <w:r w:rsidRPr="00D725A0">
        <w:tab/>
        <w:t>A</w:t>
      </w:r>
      <w:r w:rsidR="008B4E22">
        <w:t>ny other business (agenda item 8</w:t>
      </w:r>
      <w:r w:rsidRPr="00D725A0">
        <w:t>)</w:t>
      </w:r>
      <w:bookmarkEnd w:id="14"/>
    </w:p>
    <w:p w14:paraId="0BBE8B96" w14:textId="2591934A" w:rsidR="00315BAD" w:rsidRPr="00E13A6B" w:rsidRDefault="00315BAD" w:rsidP="00315BAD">
      <w:pPr>
        <w:pStyle w:val="H23G"/>
      </w:pPr>
      <w:r>
        <w:tab/>
        <w:t>1</w:t>
      </w:r>
      <w:r w:rsidRPr="001775CA">
        <w:rPr>
          <w:rFonts w:eastAsiaTheme="minorEastAsia"/>
        </w:rPr>
        <w:t>.</w:t>
      </w:r>
      <w:r w:rsidRPr="001775CA">
        <w:rPr>
          <w:rFonts w:eastAsiaTheme="minorEastAsia"/>
        </w:rPr>
        <w:tab/>
        <w:t xml:space="preserve">Supervision of vehicles, </w:t>
      </w:r>
      <w:r w:rsidR="00E916AB">
        <w:rPr>
          <w:rFonts w:eastAsiaTheme="minorEastAsia"/>
        </w:rPr>
        <w:t>C</w:t>
      </w:r>
      <w:r w:rsidRPr="001775CA">
        <w:rPr>
          <w:rFonts w:eastAsiaTheme="minorEastAsia"/>
        </w:rPr>
        <w:t>hapter 8.5</w:t>
      </w:r>
    </w:p>
    <w:p w14:paraId="27FDA421" w14:textId="757DB057" w:rsidR="00315BAD" w:rsidRDefault="00315BAD" w:rsidP="00315BAD">
      <w:pPr>
        <w:pStyle w:val="SingleTxtG"/>
        <w:spacing w:before="120"/>
        <w:rPr>
          <w:lang w:val="fr-CH"/>
        </w:rPr>
      </w:pPr>
      <w:r>
        <w:rPr>
          <w:i/>
          <w:iCs/>
          <w:lang w:val="fr-CH"/>
        </w:rPr>
        <w:t>Informal document </w:t>
      </w:r>
      <w:r w:rsidRPr="003F72A4">
        <w:rPr>
          <w:lang w:val="fr-CH"/>
        </w:rPr>
        <w:t>:</w:t>
      </w:r>
      <w:r>
        <w:rPr>
          <w:lang w:val="fr-CH"/>
        </w:rPr>
        <w:tab/>
      </w:r>
      <w:r>
        <w:rPr>
          <w:lang w:val="fr-CH"/>
        </w:rPr>
        <w:tab/>
        <w:t>INF.14 (</w:t>
      </w:r>
      <w:proofErr w:type="spellStart"/>
      <w:r>
        <w:rPr>
          <w:lang w:val="fr-CH"/>
        </w:rPr>
        <w:t>Sweden</w:t>
      </w:r>
      <w:proofErr w:type="spellEnd"/>
      <w:r>
        <w:rPr>
          <w:lang w:val="fr-CH"/>
        </w:rPr>
        <w:t>)</w:t>
      </w:r>
    </w:p>
    <w:p w14:paraId="488E4707" w14:textId="5CCC42AA" w:rsidR="00315BAD" w:rsidRPr="00DB7B64" w:rsidRDefault="003E32B0" w:rsidP="00315BAD">
      <w:pPr>
        <w:pStyle w:val="SingleTxtG"/>
      </w:pPr>
      <w:r>
        <w:t>6</w:t>
      </w:r>
      <w:r w:rsidR="00FC6824">
        <w:t>5</w:t>
      </w:r>
      <w:r w:rsidR="00315BAD" w:rsidRPr="00DB7B64">
        <w:t>.</w:t>
      </w:r>
      <w:r w:rsidR="00315BAD" w:rsidRPr="00DB7B64">
        <w:tab/>
        <w:t xml:space="preserve">Several delegations </w:t>
      </w:r>
      <w:r w:rsidR="00315BAD">
        <w:t xml:space="preserve">welcomed the work done by Sweden but considered that more work was needed before concrete proposals of amendments to Chapter 8.5 could be developed. </w:t>
      </w:r>
    </w:p>
    <w:p w14:paraId="1547A47F" w14:textId="23266A39" w:rsidR="00315BAD" w:rsidRDefault="003E32B0" w:rsidP="00315BAD">
      <w:pPr>
        <w:pStyle w:val="SingleTxtG"/>
      </w:pPr>
      <w:r>
        <w:t>6</w:t>
      </w:r>
      <w:r w:rsidR="00FC6824">
        <w:t>6</w:t>
      </w:r>
      <w:r w:rsidR="00315BAD" w:rsidRPr="00DB7B64">
        <w:t>.</w:t>
      </w:r>
      <w:r w:rsidR="00315BAD" w:rsidRPr="00DB7B64">
        <w:tab/>
      </w:r>
      <w:r w:rsidR="00315BAD">
        <w:t>The representative of the European Union recalled that decisions taken for ADR might have an impact on regulations addressing other modes of transport and invited the Working Party to keep this in mind during the discussions on the issues raised by Sweden.</w:t>
      </w:r>
    </w:p>
    <w:p w14:paraId="787E6484" w14:textId="7F86F50B" w:rsidR="00315BAD" w:rsidRDefault="003E32B0" w:rsidP="00315BAD">
      <w:pPr>
        <w:pStyle w:val="SingleTxtG"/>
      </w:pPr>
      <w:r>
        <w:t>6</w:t>
      </w:r>
      <w:r w:rsidR="00FC6824">
        <w:t>7</w:t>
      </w:r>
      <w:r w:rsidR="00315BAD">
        <w:t>.</w:t>
      </w:r>
      <w:r w:rsidR="00315BAD">
        <w:tab/>
      </w:r>
      <w:r w:rsidR="00315BAD" w:rsidRPr="00DB7B64">
        <w:t xml:space="preserve">The Working Party regretted </w:t>
      </w:r>
      <w:r w:rsidR="00315BAD">
        <w:t xml:space="preserve">the absence of a representative </w:t>
      </w:r>
      <w:r w:rsidR="00D1344A">
        <w:t xml:space="preserve">of </w:t>
      </w:r>
      <w:r w:rsidR="00315BAD">
        <w:t xml:space="preserve">IRU during the </w:t>
      </w:r>
      <w:r w:rsidR="00B66FB8">
        <w:t xml:space="preserve">discussions on this topic </w:t>
      </w:r>
      <w:r w:rsidR="00315BAD">
        <w:t xml:space="preserve">as it considered that its expertise was of utmost importance.  </w:t>
      </w:r>
    </w:p>
    <w:p w14:paraId="23E307A1" w14:textId="09FBC54D" w:rsidR="00315BAD" w:rsidRDefault="003E32B0" w:rsidP="00315BAD">
      <w:pPr>
        <w:pStyle w:val="SingleTxtG"/>
      </w:pPr>
      <w:r>
        <w:t>6</w:t>
      </w:r>
      <w:r w:rsidR="00FC6824">
        <w:t>8</w:t>
      </w:r>
      <w:r w:rsidR="00315BAD">
        <w:t>.</w:t>
      </w:r>
      <w:r w:rsidR="00315BAD">
        <w:tab/>
        <w:t>After discussion, the representative of Sweden said that she would continue the work on this topic and would consider submitting an official document to the 106</w:t>
      </w:r>
      <w:r w:rsidR="00315BAD" w:rsidRPr="00D46039">
        <w:t>th</w:t>
      </w:r>
      <w:r w:rsidR="00315BAD">
        <w:t xml:space="preserve"> session. Delegations that wished to provide further comments and answers to the questions raised in informal document INF.14 were invited to send them by e-mail to the representative of Sweden.</w:t>
      </w:r>
    </w:p>
    <w:p w14:paraId="153F620B" w14:textId="244B3278" w:rsidR="003539FD" w:rsidRDefault="003539FD" w:rsidP="00CA7139">
      <w:pPr>
        <w:pStyle w:val="H23G"/>
        <w:numPr>
          <w:ilvl w:val="0"/>
          <w:numId w:val="10"/>
        </w:numPr>
        <w:rPr>
          <w:rFonts w:eastAsiaTheme="minorEastAsia"/>
        </w:rPr>
      </w:pPr>
      <w:r>
        <w:rPr>
          <w:rFonts w:eastAsiaTheme="minorEastAsia"/>
        </w:rPr>
        <w:lastRenderedPageBreak/>
        <w:t>Consolidated table of the applicable provisions of Part 9 of ADR for the technical inspection of EX/II, EX/III, FL and AT vehicles and MEMUs</w:t>
      </w:r>
    </w:p>
    <w:p w14:paraId="3BA10142" w14:textId="77777777" w:rsidR="003539FD" w:rsidRDefault="003539FD" w:rsidP="003539FD">
      <w:pPr>
        <w:pStyle w:val="SingleTxtG"/>
        <w:tabs>
          <w:tab w:val="left" w:pos="3119"/>
        </w:tabs>
        <w:ind w:left="1140"/>
      </w:pPr>
      <w:r>
        <w:rPr>
          <w:i/>
          <w:iCs/>
        </w:rPr>
        <w:t>D</w:t>
      </w:r>
      <w:r w:rsidRPr="000A1272">
        <w:rPr>
          <w:i/>
          <w:iCs/>
        </w:rPr>
        <w:t>ocument</w:t>
      </w:r>
      <w:r w:rsidRPr="000A1272">
        <w:t>:</w:t>
      </w:r>
      <w:r w:rsidRPr="000A1272">
        <w:tab/>
      </w:r>
      <w:r>
        <w:t>ECE/TRANS/WP.15/2018/4</w:t>
      </w:r>
      <w:r w:rsidRPr="000A1272">
        <w:t xml:space="preserve"> (</w:t>
      </w:r>
      <w:r>
        <w:t>Romania</w:t>
      </w:r>
      <w:r w:rsidRPr="000A1272">
        <w:t>)</w:t>
      </w:r>
    </w:p>
    <w:p w14:paraId="2ABA22D6" w14:textId="2863FDFC" w:rsidR="003539FD" w:rsidRPr="00DB7B64" w:rsidRDefault="003539FD" w:rsidP="003539FD">
      <w:pPr>
        <w:pStyle w:val="SingleTxtG"/>
        <w:tabs>
          <w:tab w:val="left" w:pos="3119"/>
        </w:tabs>
      </w:pPr>
      <w:r w:rsidRPr="00DB7B64">
        <w:rPr>
          <w:i/>
          <w:iCs/>
        </w:rPr>
        <w:t>Informal document</w:t>
      </w:r>
      <w:r>
        <w:t>:</w:t>
      </w:r>
      <w:r>
        <w:tab/>
      </w:r>
      <w:r w:rsidRPr="00DB7B64">
        <w:t>INF.</w:t>
      </w:r>
      <w:r>
        <w:t>3</w:t>
      </w:r>
      <w:r w:rsidR="00106C7C">
        <w:t>1</w:t>
      </w:r>
      <w:r w:rsidRPr="00DB7B64">
        <w:t xml:space="preserve"> (</w:t>
      </w:r>
      <w:r>
        <w:t>Romania</w:t>
      </w:r>
      <w:r w:rsidRPr="00DB7B64">
        <w:t>)</w:t>
      </w:r>
    </w:p>
    <w:p w14:paraId="41D727C3" w14:textId="4B341458" w:rsidR="003539FD" w:rsidRDefault="003539FD" w:rsidP="003539FD">
      <w:pPr>
        <w:pStyle w:val="SingleTxtG"/>
      </w:pPr>
      <w:r>
        <w:t>6</w:t>
      </w:r>
      <w:r w:rsidR="00FC6824">
        <w:t>9</w:t>
      </w:r>
      <w:r w:rsidRPr="000A1272">
        <w:t>.</w:t>
      </w:r>
      <w:r>
        <w:tab/>
        <w:t xml:space="preserve">The Working Party strongly supported the results of the work carried out by Romania and </w:t>
      </w:r>
      <w:r w:rsidR="005111B5">
        <w:t xml:space="preserve">requested </w:t>
      </w:r>
      <w:r>
        <w:t>the secretariat to publish these guidelines on the UNECE website. It was also noted that the new proposals of amendments to Part 9 should also include the consequential amendments to be integrated to the table of these guidelines.</w:t>
      </w:r>
    </w:p>
    <w:p w14:paraId="761D2A45" w14:textId="3B205590" w:rsidR="003539FD" w:rsidRDefault="00FC6824" w:rsidP="003539FD">
      <w:pPr>
        <w:pStyle w:val="SingleTxtG"/>
      </w:pPr>
      <w:r>
        <w:t>70</w:t>
      </w:r>
      <w:r w:rsidR="003539FD">
        <w:t>.</w:t>
      </w:r>
      <w:r w:rsidR="003539FD">
        <w:tab/>
        <w:t xml:space="preserve">It was noted that the Guidelines for completing the certificate of approval according to 9.1.3 might also need to be updated to </w:t>
      </w:r>
      <w:proofErr w:type="gramStart"/>
      <w:r w:rsidR="003539FD">
        <w:t>take into account</w:t>
      </w:r>
      <w:proofErr w:type="gramEnd"/>
      <w:r w:rsidR="003539FD">
        <w:t xml:space="preserve"> the latest revision of ADR. </w:t>
      </w:r>
    </w:p>
    <w:p w14:paraId="57EB8F61" w14:textId="7110B423" w:rsidR="003539FD" w:rsidRDefault="003539FD" w:rsidP="00CA7139">
      <w:pPr>
        <w:pStyle w:val="H23G"/>
        <w:numPr>
          <w:ilvl w:val="0"/>
          <w:numId w:val="10"/>
        </w:numPr>
        <w:rPr>
          <w:rFonts w:eastAsiaTheme="minorEastAsia"/>
        </w:rPr>
      </w:pPr>
      <w:r>
        <w:rPr>
          <w:rFonts w:eastAsiaTheme="minorEastAsia"/>
        </w:rPr>
        <w:t>Publication of questions of interpretation of ADR</w:t>
      </w:r>
    </w:p>
    <w:p w14:paraId="02E84EE3" w14:textId="77777777" w:rsidR="003539FD" w:rsidRPr="000A1272" w:rsidRDefault="003539FD" w:rsidP="003539FD">
      <w:pPr>
        <w:pStyle w:val="SingleTxtG"/>
        <w:tabs>
          <w:tab w:val="left" w:pos="3119"/>
        </w:tabs>
        <w:ind w:left="1140"/>
      </w:pPr>
      <w:r>
        <w:rPr>
          <w:i/>
          <w:iCs/>
        </w:rPr>
        <w:t>D</w:t>
      </w:r>
      <w:r w:rsidRPr="000A1272">
        <w:rPr>
          <w:i/>
          <w:iCs/>
        </w:rPr>
        <w:t>ocument</w:t>
      </w:r>
      <w:r w:rsidRPr="000A1272">
        <w:t>:</w:t>
      </w:r>
      <w:r w:rsidRPr="000A1272">
        <w:tab/>
      </w:r>
      <w:r>
        <w:t>ECE/TRANS/WP.15/2018/9</w:t>
      </w:r>
      <w:r w:rsidRPr="000A1272">
        <w:t xml:space="preserve"> (</w:t>
      </w:r>
      <w:r>
        <w:t>France</w:t>
      </w:r>
      <w:r w:rsidRPr="000A1272">
        <w:t>)</w:t>
      </w:r>
    </w:p>
    <w:p w14:paraId="25271B5B" w14:textId="627F4436" w:rsidR="003539FD" w:rsidRDefault="003E32B0" w:rsidP="003539FD">
      <w:pPr>
        <w:pStyle w:val="SingleTxtG"/>
      </w:pPr>
      <w:r>
        <w:t>7</w:t>
      </w:r>
      <w:r w:rsidR="00FC6824">
        <w:t>1</w:t>
      </w:r>
      <w:r w:rsidR="003539FD" w:rsidRPr="000A1272">
        <w:t>.</w:t>
      </w:r>
      <w:r w:rsidR="003539FD">
        <w:tab/>
        <w:t xml:space="preserve">The Working Party considered several options put forward during the discussions to improve its methods of work. It was suggested to publish the questions of interpretation of ADR on the UNECE website. </w:t>
      </w:r>
    </w:p>
    <w:p w14:paraId="68513113" w14:textId="681F81C1" w:rsidR="003539FD" w:rsidRDefault="003E32B0" w:rsidP="003539FD">
      <w:pPr>
        <w:pStyle w:val="SingleTxtG"/>
      </w:pPr>
      <w:r>
        <w:t>7</w:t>
      </w:r>
      <w:r w:rsidR="00FC6824">
        <w:t>2</w:t>
      </w:r>
      <w:r w:rsidR="003539FD">
        <w:t>.</w:t>
      </w:r>
      <w:r w:rsidR="003539FD">
        <w:tab/>
        <w:t xml:space="preserve">It was also suggested that, after consideration of interpretation issues by the Working Party, the authors of the </w:t>
      </w:r>
      <w:r w:rsidR="00751242">
        <w:t xml:space="preserve">requests for interpretation </w:t>
      </w:r>
      <w:r w:rsidR="003539FD">
        <w:t xml:space="preserve">could prepare a consolidated detailed text of the outcome of the discussion for publication on the UNECE website using the paragraphs from the </w:t>
      </w:r>
      <w:r w:rsidR="00A50977">
        <w:t xml:space="preserve">report of the </w:t>
      </w:r>
      <w:r w:rsidR="003539FD">
        <w:t>session and any additional comments.</w:t>
      </w:r>
    </w:p>
    <w:p w14:paraId="0DD48D88" w14:textId="77777777" w:rsidR="003539FD" w:rsidRDefault="003539FD" w:rsidP="00CA7139">
      <w:pPr>
        <w:pStyle w:val="H23G"/>
        <w:numPr>
          <w:ilvl w:val="0"/>
          <w:numId w:val="10"/>
        </w:numPr>
        <w:rPr>
          <w:rFonts w:eastAsiaTheme="minorEastAsia"/>
        </w:rPr>
      </w:pPr>
      <w:r>
        <w:rPr>
          <w:rFonts w:eastAsiaTheme="minorEastAsia"/>
        </w:rPr>
        <w:t>Editorial corrections to the printed versions of ADR 2019 (ECE/TRANS/275)</w:t>
      </w:r>
    </w:p>
    <w:p w14:paraId="2E4655E7" w14:textId="77777777" w:rsidR="003539FD" w:rsidRPr="000A1272" w:rsidRDefault="003539FD" w:rsidP="003539FD">
      <w:pPr>
        <w:pStyle w:val="SingleTxtG"/>
        <w:tabs>
          <w:tab w:val="left" w:pos="3119"/>
        </w:tabs>
        <w:ind w:left="1140"/>
      </w:pPr>
      <w:r>
        <w:rPr>
          <w:i/>
          <w:iCs/>
        </w:rPr>
        <w:t>Informal d</w:t>
      </w:r>
      <w:r w:rsidRPr="000A1272">
        <w:rPr>
          <w:i/>
          <w:iCs/>
        </w:rPr>
        <w:t>ocument</w:t>
      </w:r>
      <w:r w:rsidRPr="000A1272">
        <w:t>:</w:t>
      </w:r>
      <w:r w:rsidRPr="000A1272">
        <w:tab/>
      </w:r>
      <w:r>
        <w:t>INF.17/Corr.1</w:t>
      </w:r>
      <w:r w:rsidRPr="000A1272">
        <w:t xml:space="preserve"> (</w:t>
      </w:r>
      <w:r>
        <w:t>secretariat</w:t>
      </w:r>
      <w:r w:rsidRPr="000A1272">
        <w:t>)</w:t>
      </w:r>
    </w:p>
    <w:p w14:paraId="5B5A3AEF" w14:textId="3BFEDC81" w:rsidR="003539FD" w:rsidRPr="003907EB" w:rsidRDefault="003E32B0" w:rsidP="003539FD">
      <w:pPr>
        <w:pStyle w:val="SingleTxtG"/>
        <w:rPr>
          <w:lang w:eastAsia="en-US"/>
        </w:rPr>
      </w:pPr>
      <w:r>
        <w:t>7</w:t>
      </w:r>
      <w:r w:rsidR="00FC6824">
        <w:t>3</w:t>
      </w:r>
      <w:r w:rsidR="003539FD" w:rsidRPr="000A1272">
        <w:t>.</w:t>
      </w:r>
      <w:r w:rsidR="003539FD">
        <w:tab/>
      </w:r>
      <w:r w:rsidR="003539FD" w:rsidRPr="003907EB">
        <w:t>The Working Party noted that the corrections to the English version of ADR 2019 listed in informal document INF.17</w:t>
      </w:r>
      <w:r w:rsidR="003539FD">
        <w:t>/Corr.1</w:t>
      </w:r>
      <w:r w:rsidR="003539FD" w:rsidRPr="003907EB">
        <w:t xml:space="preserve"> </w:t>
      </w:r>
      <w:r w:rsidR="00727AA6">
        <w:t>would</w:t>
      </w:r>
      <w:r w:rsidR="00727AA6" w:rsidRPr="003907EB">
        <w:t xml:space="preserve"> </w:t>
      </w:r>
      <w:r w:rsidR="003539FD" w:rsidRPr="003907EB">
        <w:t xml:space="preserve">be published as corrigendum ECE/TRANS/275/Corr.1. </w:t>
      </w:r>
    </w:p>
    <w:p w14:paraId="2F93CF9F" w14:textId="77777777" w:rsidR="003539FD" w:rsidRDefault="003539FD" w:rsidP="00CA7139">
      <w:pPr>
        <w:pStyle w:val="H23G"/>
        <w:numPr>
          <w:ilvl w:val="0"/>
          <w:numId w:val="10"/>
        </w:numPr>
        <w:rPr>
          <w:rFonts w:eastAsiaTheme="minorEastAsia"/>
        </w:rPr>
      </w:pPr>
      <w:r>
        <w:rPr>
          <w:rFonts w:eastAsiaTheme="minorEastAsia"/>
        </w:rPr>
        <w:t>Information concerning an event occurred during carriage of dangerous goods according to 1.8.5</w:t>
      </w:r>
    </w:p>
    <w:p w14:paraId="5490D6B6" w14:textId="77777777" w:rsidR="003539FD" w:rsidRPr="000A1272" w:rsidRDefault="003539FD" w:rsidP="003539FD">
      <w:pPr>
        <w:pStyle w:val="SingleTxtG"/>
        <w:tabs>
          <w:tab w:val="left" w:pos="3119"/>
        </w:tabs>
        <w:ind w:left="1140"/>
      </w:pPr>
      <w:r>
        <w:rPr>
          <w:i/>
          <w:iCs/>
        </w:rPr>
        <w:t>Informal d</w:t>
      </w:r>
      <w:r w:rsidRPr="000A1272">
        <w:rPr>
          <w:i/>
          <w:iCs/>
        </w:rPr>
        <w:t>ocument</w:t>
      </w:r>
      <w:r w:rsidRPr="000A1272">
        <w:t>:</w:t>
      </w:r>
      <w:r w:rsidRPr="000A1272">
        <w:tab/>
      </w:r>
      <w:r>
        <w:t>INF.23</w:t>
      </w:r>
      <w:r w:rsidRPr="000A1272">
        <w:t xml:space="preserve"> (</w:t>
      </w:r>
      <w:r>
        <w:t>Italy</w:t>
      </w:r>
      <w:r w:rsidRPr="000A1272">
        <w:t>)</w:t>
      </w:r>
    </w:p>
    <w:p w14:paraId="5389D6B0" w14:textId="5D30B009" w:rsidR="003539FD" w:rsidRPr="009652AB" w:rsidRDefault="003539FD" w:rsidP="003539FD">
      <w:pPr>
        <w:pStyle w:val="SingleTxtG"/>
      </w:pPr>
      <w:r>
        <w:t>7</w:t>
      </w:r>
      <w:r w:rsidR="00FC6824">
        <w:t>4</w:t>
      </w:r>
      <w:r w:rsidRPr="000A1272">
        <w:t>.</w:t>
      </w:r>
      <w:r>
        <w:tab/>
      </w:r>
      <w:r w:rsidRPr="009652AB">
        <w:t xml:space="preserve">The Working Party took note of the information </w:t>
      </w:r>
      <w:r w:rsidR="00561A8A">
        <w:t>provided</w:t>
      </w:r>
      <w:r w:rsidR="00561A8A" w:rsidRPr="009652AB">
        <w:t xml:space="preserve"> </w:t>
      </w:r>
      <w:r w:rsidRPr="009652AB">
        <w:t xml:space="preserve">by Italy concerning </w:t>
      </w:r>
      <w:r w:rsidR="00561A8A">
        <w:t>an</w:t>
      </w:r>
      <w:r w:rsidR="00561A8A" w:rsidRPr="009652AB">
        <w:t xml:space="preserve"> </w:t>
      </w:r>
      <w:r w:rsidRPr="009652AB">
        <w:t xml:space="preserve">accident </w:t>
      </w:r>
      <w:r w:rsidR="00561A8A">
        <w:t xml:space="preserve">involving two ADR vehicles </w:t>
      </w:r>
      <w:r w:rsidRPr="009652AB">
        <w:t xml:space="preserve">that occurred on 6 August 2018 near Bologna. The accident resulted in one death and 95 persons injured. It was noted that </w:t>
      </w:r>
      <w:r w:rsidR="00197C74">
        <w:t>it</w:t>
      </w:r>
      <w:r w:rsidRPr="009652AB">
        <w:t xml:space="preserve"> was a road accident </w:t>
      </w:r>
      <w:r>
        <w:t xml:space="preserve">(the vehicle did not brake on time). </w:t>
      </w:r>
      <w:r w:rsidRPr="009652AB">
        <w:t xml:space="preserve">However, the presence of dangerous goods resulted in serious consequences and effects. </w:t>
      </w:r>
      <w:r>
        <w:tab/>
      </w:r>
    </w:p>
    <w:p w14:paraId="69FDFE38" w14:textId="2CFAAF18" w:rsidR="003539FD" w:rsidRPr="009652AB" w:rsidRDefault="003539FD" w:rsidP="003539FD">
      <w:pPr>
        <w:pStyle w:val="SingleTxtG"/>
        <w:rPr>
          <w:rFonts w:asciiTheme="majorBidi" w:hAnsiTheme="majorBidi" w:cstheme="majorBidi"/>
        </w:rPr>
      </w:pPr>
      <w:r w:rsidRPr="00D242E3">
        <w:rPr>
          <w:rFonts w:asciiTheme="majorBidi" w:hAnsiTheme="majorBidi" w:cstheme="majorBidi"/>
        </w:rPr>
        <w:t>7</w:t>
      </w:r>
      <w:r w:rsidR="00FC6824">
        <w:rPr>
          <w:rFonts w:asciiTheme="majorBidi" w:hAnsiTheme="majorBidi" w:cstheme="majorBidi"/>
        </w:rPr>
        <w:t>5</w:t>
      </w:r>
      <w:r w:rsidRPr="00D242E3">
        <w:rPr>
          <w:rFonts w:asciiTheme="majorBidi" w:hAnsiTheme="majorBidi" w:cstheme="majorBidi"/>
        </w:rPr>
        <w:t>.</w:t>
      </w:r>
      <w:r w:rsidRPr="00D242E3">
        <w:rPr>
          <w:rFonts w:asciiTheme="majorBidi" w:hAnsiTheme="majorBidi" w:cstheme="majorBidi"/>
        </w:rPr>
        <w:tab/>
        <w:t xml:space="preserve">The </w:t>
      </w:r>
      <w:r w:rsidR="00106C7C">
        <w:rPr>
          <w:rFonts w:asciiTheme="majorBidi" w:hAnsiTheme="majorBidi" w:cstheme="majorBidi"/>
        </w:rPr>
        <w:t>r</w:t>
      </w:r>
      <w:r w:rsidRPr="00D242E3">
        <w:rPr>
          <w:rFonts w:asciiTheme="majorBidi" w:hAnsiTheme="majorBidi" w:cstheme="majorBidi"/>
        </w:rPr>
        <w:t xml:space="preserve">epresentative of Italy informed the Working Party that he </w:t>
      </w:r>
      <w:r w:rsidR="00561A8A">
        <w:rPr>
          <w:rFonts w:asciiTheme="majorBidi" w:hAnsiTheme="majorBidi" w:cstheme="majorBidi"/>
        </w:rPr>
        <w:t>would</w:t>
      </w:r>
      <w:r w:rsidR="00561A8A" w:rsidRPr="00D242E3">
        <w:rPr>
          <w:rFonts w:asciiTheme="majorBidi" w:hAnsiTheme="majorBidi" w:cstheme="majorBidi"/>
        </w:rPr>
        <w:t xml:space="preserve"> </w:t>
      </w:r>
      <w:r w:rsidRPr="00D242E3">
        <w:rPr>
          <w:rFonts w:asciiTheme="majorBidi" w:hAnsiTheme="majorBidi" w:cstheme="majorBidi"/>
        </w:rPr>
        <w:t>seek advice from the Working Party on Brakes and Running Gear (GRRF) of the World Forum for Harmonization of Vehicle Regulations (WP.29) and the informal working group on the reduction of the risk of a BLEVE of the Joint Meeting</w:t>
      </w:r>
      <w:r>
        <w:rPr>
          <w:rFonts w:asciiTheme="majorBidi" w:hAnsiTheme="majorBidi" w:cstheme="majorBidi"/>
        </w:rPr>
        <w:t>.</w:t>
      </w:r>
    </w:p>
    <w:p w14:paraId="500E93D8" w14:textId="412C8004" w:rsidR="003539FD" w:rsidRDefault="003539FD" w:rsidP="003539FD">
      <w:pPr>
        <w:pStyle w:val="SingleTxtG"/>
        <w:rPr>
          <w:rFonts w:asciiTheme="majorBidi" w:hAnsiTheme="majorBidi" w:cstheme="majorBidi"/>
        </w:rPr>
      </w:pPr>
      <w:r>
        <w:rPr>
          <w:rFonts w:asciiTheme="majorBidi" w:hAnsiTheme="majorBidi" w:cstheme="majorBidi"/>
        </w:rPr>
        <w:t>7</w:t>
      </w:r>
      <w:r w:rsidR="00FC6824">
        <w:rPr>
          <w:rFonts w:asciiTheme="majorBidi" w:hAnsiTheme="majorBidi" w:cstheme="majorBidi"/>
        </w:rPr>
        <w:t>6</w:t>
      </w:r>
      <w:r>
        <w:rPr>
          <w:rFonts w:asciiTheme="majorBidi" w:hAnsiTheme="majorBidi" w:cstheme="majorBidi"/>
        </w:rPr>
        <w:t>.</w:t>
      </w:r>
      <w:r>
        <w:rPr>
          <w:rFonts w:asciiTheme="majorBidi" w:hAnsiTheme="majorBidi" w:cstheme="majorBidi"/>
        </w:rPr>
        <w:tab/>
      </w:r>
      <w:r w:rsidRPr="009652AB">
        <w:rPr>
          <w:rFonts w:asciiTheme="majorBidi" w:hAnsiTheme="majorBidi" w:cstheme="majorBidi"/>
        </w:rPr>
        <w:t xml:space="preserve">The Working Party noted that the investigation on this accident </w:t>
      </w:r>
      <w:r>
        <w:rPr>
          <w:rFonts w:asciiTheme="majorBidi" w:hAnsiTheme="majorBidi" w:cstheme="majorBidi"/>
        </w:rPr>
        <w:t>is</w:t>
      </w:r>
      <w:r w:rsidRPr="009652AB">
        <w:rPr>
          <w:rFonts w:asciiTheme="majorBidi" w:hAnsiTheme="majorBidi" w:cstheme="majorBidi"/>
        </w:rPr>
        <w:t xml:space="preserve"> ongoing and that a full report in accordance with 1.8.5.2 </w:t>
      </w:r>
      <w:r w:rsidR="00197C74">
        <w:rPr>
          <w:rFonts w:asciiTheme="majorBidi" w:hAnsiTheme="majorBidi" w:cstheme="majorBidi"/>
        </w:rPr>
        <w:t>would</w:t>
      </w:r>
      <w:r w:rsidR="00197C74" w:rsidRPr="009652AB">
        <w:rPr>
          <w:rFonts w:asciiTheme="majorBidi" w:hAnsiTheme="majorBidi" w:cstheme="majorBidi"/>
        </w:rPr>
        <w:t xml:space="preserve"> </w:t>
      </w:r>
      <w:r w:rsidRPr="009652AB">
        <w:rPr>
          <w:rFonts w:asciiTheme="majorBidi" w:hAnsiTheme="majorBidi" w:cstheme="majorBidi"/>
        </w:rPr>
        <w:t>be transmitted to the secretariat, with a view to informing all Contracting Parties.</w:t>
      </w:r>
    </w:p>
    <w:p w14:paraId="6337E235" w14:textId="71EDF367" w:rsidR="00FC2D73" w:rsidRDefault="00FC2D73" w:rsidP="003539FD">
      <w:pPr>
        <w:pStyle w:val="SingleTxtG"/>
        <w:rPr>
          <w:rFonts w:asciiTheme="majorBidi" w:hAnsiTheme="majorBidi" w:cstheme="majorBidi"/>
        </w:rPr>
      </w:pPr>
    </w:p>
    <w:p w14:paraId="509FA2B0" w14:textId="77777777" w:rsidR="00FC2D73" w:rsidRPr="001D5108" w:rsidRDefault="00FC2D73" w:rsidP="003539FD">
      <w:pPr>
        <w:pStyle w:val="SingleTxtG"/>
        <w:rPr>
          <w:rFonts w:asciiTheme="majorBidi" w:hAnsiTheme="majorBidi" w:cstheme="majorBidi"/>
        </w:rPr>
      </w:pPr>
    </w:p>
    <w:p w14:paraId="5A4A95B7" w14:textId="77777777" w:rsidR="003539FD" w:rsidRDefault="003539FD" w:rsidP="00CA7139">
      <w:pPr>
        <w:pStyle w:val="H23G"/>
        <w:numPr>
          <w:ilvl w:val="0"/>
          <w:numId w:val="10"/>
        </w:numPr>
        <w:rPr>
          <w:rFonts w:eastAsiaTheme="minorEastAsia"/>
        </w:rPr>
      </w:pPr>
      <w:r>
        <w:rPr>
          <w:rFonts w:eastAsiaTheme="minorEastAsia"/>
        </w:rPr>
        <w:lastRenderedPageBreak/>
        <w:t>Tunnel code for UN No. 1043 in ADR 2019</w:t>
      </w:r>
    </w:p>
    <w:p w14:paraId="7A5E7BEC" w14:textId="77777777" w:rsidR="003539FD" w:rsidRPr="000A1272" w:rsidRDefault="003539FD" w:rsidP="003539FD">
      <w:pPr>
        <w:pStyle w:val="SingleTxtG"/>
        <w:tabs>
          <w:tab w:val="left" w:pos="3119"/>
        </w:tabs>
        <w:ind w:left="1140"/>
      </w:pPr>
      <w:r>
        <w:rPr>
          <w:i/>
          <w:iCs/>
        </w:rPr>
        <w:t>Informal d</w:t>
      </w:r>
      <w:r w:rsidRPr="000A1272">
        <w:rPr>
          <w:i/>
          <w:iCs/>
        </w:rPr>
        <w:t>ocument</w:t>
      </w:r>
      <w:r w:rsidRPr="000A1272">
        <w:t>:</w:t>
      </w:r>
      <w:r w:rsidRPr="000A1272">
        <w:tab/>
      </w:r>
      <w:r>
        <w:t>INF.28</w:t>
      </w:r>
      <w:r w:rsidRPr="000A1272">
        <w:t xml:space="preserve"> (</w:t>
      </w:r>
      <w:r>
        <w:t>secretariat</w:t>
      </w:r>
      <w:r w:rsidRPr="000A1272">
        <w:t>)</w:t>
      </w:r>
    </w:p>
    <w:p w14:paraId="15C502E6" w14:textId="40287710" w:rsidR="003539FD" w:rsidRDefault="003539FD" w:rsidP="003539FD">
      <w:pPr>
        <w:pStyle w:val="SingleTxtG"/>
      </w:pPr>
      <w:r>
        <w:t>7</w:t>
      </w:r>
      <w:r w:rsidR="00FC6824">
        <w:t>7</w:t>
      </w:r>
      <w:r w:rsidRPr="000A1272">
        <w:t>.</w:t>
      </w:r>
      <w:r>
        <w:tab/>
        <w:t xml:space="preserve">The secretariat informed the Working Party that in the absence of a proposal of amendment deleting the existing tunnel code in column (15) of UN No.1043, the amendment </w:t>
      </w:r>
      <w:r w:rsidR="00D13438">
        <w:t xml:space="preserve">listed </w:t>
      </w:r>
      <w:r>
        <w:t xml:space="preserve">in the consolidated list of amendments </w:t>
      </w:r>
      <w:r w:rsidR="00197C74">
        <w:t xml:space="preserve">(ECE/TRANS/WP.15/240) </w:t>
      </w:r>
      <w:r>
        <w:t>to add “(-)” at the bottom of this was not taken into consideration in the 2019 edition of ADR in English, French and Russian.</w:t>
      </w:r>
    </w:p>
    <w:p w14:paraId="03ED01BA" w14:textId="6B6C6D29" w:rsidR="003E32B0" w:rsidRPr="00861053" w:rsidRDefault="003E32B0" w:rsidP="00861053">
      <w:pPr>
        <w:pStyle w:val="H23G"/>
        <w:numPr>
          <w:ilvl w:val="0"/>
          <w:numId w:val="10"/>
        </w:numPr>
        <w:rPr>
          <w:rFonts w:eastAsiaTheme="minorEastAsia"/>
        </w:rPr>
      </w:pPr>
      <w:r w:rsidRPr="00861053">
        <w:rPr>
          <w:rFonts w:eastAsiaTheme="minorEastAsia"/>
        </w:rPr>
        <w:t>Outcome of the second informal working group on “clarification of 9.3.4.2 of ADR”</w:t>
      </w:r>
    </w:p>
    <w:p w14:paraId="3667ED6D" w14:textId="77777777" w:rsidR="003E32B0" w:rsidRDefault="003E32B0" w:rsidP="003E32B0">
      <w:pPr>
        <w:pStyle w:val="SingleTxtG"/>
        <w:rPr>
          <w:lang w:val="en-US"/>
        </w:rPr>
      </w:pPr>
      <w:r>
        <w:rPr>
          <w:i/>
          <w:iCs/>
        </w:rPr>
        <w:t>Informal document</w:t>
      </w:r>
      <w:r>
        <w:t>:    INF.32 (Germany)</w:t>
      </w:r>
    </w:p>
    <w:p w14:paraId="759A6587" w14:textId="0A384287" w:rsidR="003E32B0" w:rsidRDefault="003E32B0" w:rsidP="003E32B0">
      <w:pPr>
        <w:pStyle w:val="SingleTxtG"/>
      </w:pPr>
      <w:r>
        <w:t>7</w:t>
      </w:r>
      <w:r w:rsidR="00FC6824">
        <w:t>8</w:t>
      </w:r>
      <w:r>
        <w:t xml:space="preserve">. </w:t>
      </w:r>
      <w:r w:rsidR="00627C15">
        <w:tab/>
      </w:r>
      <w:r>
        <w:t xml:space="preserve">The Working Party took note of the </w:t>
      </w:r>
      <w:r w:rsidR="004E2174">
        <w:t>conclusions</w:t>
      </w:r>
      <w:r>
        <w:t xml:space="preserve"> of the informal working group held in Bonn on 1 and 2 October 2018</w:t>
      </w:r>
      <w:r w:rsidR="004E2174">
        <w:t xml:space="preserve"> and noted that the minutes of the </w:t>
      </w:r>
      <w:r>
        <w:t>meeting w</w:t>
      </w:r>
      <w:r w:rsidR="004E2174">
        <w:t>ould</w:t>
      </w:r>
      <w:r>
        <w:t xml:space="preserve"> be </w:t>
      </w:r>
      <w:r w:rsidR="00FB0AAC">
        <w:t>submitted for consideration of the Joint Meeting at its spring 2019 session</w:t>
      </w:r>
      <w:r>
        <w:t>.</w:t>
      </w:r>
    </w:p>
    <w:p w14:paraId="420CF644" w14:textId="79A21A08" w:rsidR="003539FD" w:rsidRDefault="003539FD" w:rsidP="00CA7139">
      <w:pPr>
        <w:pStyle w:val="H23G"/>
        <w:numPr>
          <w:ilvl w:val="0"/>
          <w:numId w:val="10"/>
        </w:numPr>
        <w:rPr>
          <w:rFonts w:eastAsiaTheme="minorEastAsia"/>
        </w:rPr>
      </w:pPr>
      <w:r>
        <w:rPr>
          <w:rFonts w:eastAsiaTheme="minorEastAsia"/>
        </w:rPr>
        <w:t xml:space="preserve">Tribute to </w:t>
      </w:r>
      <w:r w:rsidR="00231DA0">
        <w:rPr>
          <w:rFonts w:eastAsiaTheme="minorEastAsia"/>
        </w:rPr>
        <w:t xml:space="preserve">Mr. </w:t>
      </w:r>
      <w:r>
        <w:rPr>
          <w:rFonts w:eastAsiaTheme="minorEastAsia"/>
        </w:rPr>
        <w:t>José Alberto Franco</w:t>
      </w:r>
    </w:p>
    <w:p w14:paraId="065057D6" w14:textId="5199A889" w:rsidR="003539FD" w:rsidRDefault="003539FD" w:rsidP="003539FD">
      <w:pPr>
        <w:pStyle w:val="SingleTxtG"/>
      </w:pPr>
      <w:r>
        <w:t>7</w:t>
      </w:r>
      <w:r w:rsidR="00FC6824">
        <w:t>9</w:t>
      </w:r>
      <w:r w:rsidRPr="000A1272">
        <w:t>.</w:t>
      </w:r>
      <w:r>
        <w:tab/>
        <w:t xml:space="preserve">The Working Party was informed that </w:t>
      </w:r>
      <w:r w:rsidR="00231DA0">
        <w:t xml:space="preserve">its </w:t>
      </w:r>
      <w:r>
        <w:t>Chairman will reach the mandatory age of retirement at the end of 2019 and was participating in a session of the Working Party for the last time.</w:t>
      </w:r>
    </w:p>
    <w:p w14:paraId="53466B02" w14:textId="2E183CA0" w:rsidR="003539FD" w:rsidRDefault="00FC6824" w:rsidP="003539FD">
      <w:pPr>
        <w:pStyle w:val="SingleTxtG"/>
      </w:pPr>
      <w:r>
        <w:t>80</w:t>
      </w:r>
      <w:r w:rsidR="003539FD">
        <w:t>.</w:t>
      </w:r>
      <w:r w:rsidR="003539FD">
        <w:tab/>
        <w:t xml:space="preserve">The Working Party warmly thanked him for the work done during his </w:t>
      </w:r>
      <w:r w:rsidR="00231DA0">
        <w:t xml:space="preserve">twenty-three </w:t>
      </w:r>
      <w:r w:rsidR="003539FD">
        <w:t xml:space="preserve">years as Chairman and </w:t>
      </w:r>
      <w:r w:rsidR="00231DA0">
        <w:t xml:space="preserve">three </w:t>
      </w:r>
      <w:r w:rsidR="003539FD">
        <w:t>years as Vice-Chairman and for his long-standing cooperation with delegates and with the secretariat. While regretting his departure, the Working Party expressed him best wishes for a long and happy retirement.</w:t>
      </w:r>
    </w:p>
    <w:p w14:paraId="3C84D103" w14:textId="72DA9399" w:rsidR="003539FD" w:rsidRPr="005915A5" w:rsidRDefault="003539FD" w:rsidP="003539FD">
      <w:pPr>
        <w:pStyle w:val="HChG"/>
        <w:rPr>
          <w:lang w:val="fr-FR"/>
        </w:rPr>
      </w:pPr>
      <w:r>
        <w:rPr>
          <w:lang w:val="fr-FR"/>
        </w:rPr>
        <w:tab/>
        <w:t>X</w:t>
      </w:r>
      <w:r w:rsidRPr="005915A5">
        <w:rPr>
          <w:lang w:val="fr-FR"/>
        </w:rPr>
        <w:t>.</w:t>
      </w:r>
      <w:r w:rsidRPr="005915A5">
        <w:rPr>
          <w:lang w:val="fr-FR"/>
        </w:rPr>
        <w:tab/>
      </w:r>
      <w:r>
        <w:rPr>
          <w:lang w:val="fr-FR"/>
        </w:rPr>
        <w:t xml:space="preserve">Election of </w:t>
      </w:r>
      <w:proofErr w:type="spellStart"/>
      <w:r w:rsidR="00231DA0">
        <w:rPr>
          <w:lang w:val="fr-FR"/>
        </w:rPr>
        <w:t>o</w:t>
      </w:r>
      <w:r>
        <w:rPr>
          <w:lang w:val="fr-FR"/>
        </w:rPr>
        <w:t>fficers</w:t>
      </w:r>
      <w:proofErr w:type="spellEnd"/>
      <w:r>
        <w:rPr>
          <w:lang w:val="fr-FR"/>
        </w:rPr>
        <w:t xml:space="preserve"> for 2019</w:t>
      </w:r>
      <w:r w:rsidRPr="005915A5">
        <w:rPr>
          <w:lang w:val="fr-FR"/>
        </w:rPr>
        <w:t xml:space="preserve"> (</w:t>
      </w:r>
      <w:r>
        <w:rPr>
          <w:lang w:val="fr-FR"/>
        </w:rPr>
        <w:t>agenda item 9</w:t>
      </w:r>
      <w:r w:rsidRPr="005915A5">
        <w:rPr>
          <w:lang w:val="fr-FR"/>
        </w:rPr>
        <w:t>)</w:t>
      </w:r>
    </w:p>
    <w:p w14:paraId="4E532BD8" w14:textId="047C40ED" w:rsidR="003539FD" w:rsidRPr="00F019D7" w:rsidRDefault="00B3229F" w:rsidP="003539FD">
      <w:pPr>
        <w:pStyle w:val="SingleTxtG"/>
        <w:rPr>
          <w:lang w:val="fr-FR"/>
        </w:rPr>
      </w:pPr>
      <w:r>
        <w:rPr>
          <w:lang w:val="fr-FR"/>
        </w:rPr>
        <w:t>8</w:t>
      </w:r>
      <w:r w:rsidR="00FC6824">
        <w:rPr>
          <w:lang w:val="fr-FR"/>
        </w:rPr>
        <w:t>1</w:t>
      </w:r>
      <w:r w:rsidR="003539FD" w:rsidRPr="005915A5">
        <w:rPr>
          <w:lang w:val="fr-FR"/>
        </w:rPr>
        <w:t>.</w:t>
      </w:r>
      <w:r w:rsidR="003539FD" w:rsidRPr="005915A5">
        <w:rPr>
          <w:lang w:val="fr-FR"/>
        </w:rPr>
        <w:tab/>
      </w:r>
      <w:r w:rsidR="003539FD" w:rsidRPr="00D725A0">
        <w:t xml:space="preserve">On a proposal from the representative of </w:t>
      </w:r>
      <w:r w:rsidR="003539FD">
        <w:t>Romania</w:t>
      </w:r>
      <w:r w:rsidR="003539FD" w:rsidRPr="00D725A0">
        <w:t>, the Working Party elected Ms. A</w:t>
      </w:r>
      <w:r w:rsidR="00D34446">
        <w:t>riane</w:t>
      </w:r>
      <w:r w:rsidR="003539FD" w:rsidRPr="00D725A0">
        <w:t xml:space="preserve"> </w:t>
      </w:r>
      <w:proofErr w:type="spellStart"/>
      <w:r w:rsidR="003539FD" w:rsidRPr="00D725A0">
        <w:t>Roumier</w:t>
      </w:r>
      <w:proofErr w:type="spellEnd"/>
      <w:r w:rsidR="003539FD" w:rsidRPr="00D725A0">
        <w:t xml:space="preserve"> (France) as Chair and </w:t>
      </w:r>
      <w:r w:rsidR="003539FD">
        <w:t xml:space="preserve">Mr. Alfonso Simoni </w:t>
      </w:r>
      <w:r w:rsidR="003539FD" w:rsidRPr="00D725A0">
        <w:t>as Vice-Chair for 201</w:t>
      </w:r>
      <w:r w:rsidR="003539FD">
        <w:t>9</w:t>
      </w:r>
      <w:r w:rsidR="003539FD" w:rsidRPr="00D725A0">
        <w:t>.</w:t>
      </w:r>
    </w:p>
    <w:p w14:paraId="1F0257EB" w14:textId="2DD381D7" w:rsidR="00336208" w:rsidRDefault="00336208" w:rsidP="007354ED">
      <w:pPr>
        <w:pStyle w:val="HChG"/>
      </w:pPr>
      <w:r w:rsidRPr="00D725A0">
        <w:tab/>
      </w:r>
      <w:bookmarkStart w:id="15" w:name="_Toc499903680"/>
      <w:r w:rsidRPr="00D725A0">
        <w:t>XI.</w:t>
      </w:r>
      <w:r w:rsidRPr="00D725A0">
        <w:tab/>
        <w:t>Adopti</w:t>
      </w:r>
      <w:r w:rsidR="008B4E22">
        <w:t>on of the report (agenda item 10</w:t>
      </w:r>
      <w:r w:rsidRPr="00D725A0">
        <w:t>)</w:t>
      </w:r>
      <w:bookmarkEnd w:id="15"/>
    </w:p>
    <w:p w14:paraId="7506D74E" w14:textId="181AFAC4" w:rsidR="003539FD" w:rsidRPr="000A1A38" w:rsidRDefault="00B3229F" w:rsidP="003539FD">
      <w:pPr>
        <w:pStyle w:val="SingleTxtG"/>
      </w:pPr>
      <w:r>
        <w:rPr>
          <w:lang w:val="fr-FR"/>
        </w:rPr>
        <w:t>8</w:t>
      </w:r>
      <w:r w:rsidR="00FC6824">
        <w:rPr>
          <w:lang w:val="fr-FR"/>
        </w:rPr>
        <w:t>2</w:t>
      </w:r>
      <w:r w:rsidR="003539FD" w:rsidRPr="005915A5">
        <w:rPr>
          <w:lang w:val="fr-FR"/>
        </w:rPr>
        <w:t>.</w:t>
      </w:r>
      <w:r w:rsidR="003539FD" w:rsidRPr="005915A5">
        <w:rPr>
          <w:lang w:val="fr-FR"/>
        </w:rPr>
        <w:tab/>
      </w:r>
      <w:r w:rsidR="003539FD">
        <w:rPr>
          <w:lang w:val="en"/>
        </w:rPr>
        <w:t>The Working Party adopted the report on its 105th session and its annexes on the basis of a draft prepared by the secretariat.</w:t>
      </w:r>
    </w:p>
    <w:p w14:paraId="195BE257" w14:textId="77777777" w:rsidR="003539FD" w:rsidRPr="003539FD" w:rsidRDefault="003539FD" w:rsidP="003539FD"/>
    <w:p w14:paraId="37F396DB" w14:textId="77777777" w:rsidR="00336208" w:rsidRPr="00D725A0" w:rsidRDefault="00336208" w:rsidP="00DE7BAE">
      <w:pPr>
        <w:pStyle w:val="HChG"/>
      </w:pPr>
      <w:r w:rsidRPr="00D725A0">
        <w:br w:type="page"/>
      </w:r>
      <w:r w:rsidR="00DE7BAE" w:rsidRPr="00D725A0">
        <w:lastRenderedPageBreak/>
        <w:tab/>
      </w:r>
      <w:bookmarkStart w:id="16" w:name="_Toc499903681"/>
      <w:r w:rsidRPr="00D725A0">
        <w:t>Annex I</w:t>
      </w:r>
      <w:bookmarkEnd w:id="16"/>
    </w:p>
    <w:p w14:paraId="16EF2A26" w14:textId="5E12E414" w:rsidR="00336208" w:rsidRDefault="00336208" w:rsidP="00652D03">
      <w:pPr>
        <w:pStyle w:val="HChG"/>
      </w:pPr>
      <w:r w:rsidRPr="00D725A0">
        <w:tab/>
      </w:r>
      <w:r w:rsidRPr="00D725A0">
        <w:tab/>
      </w:r>
      <w:bookmarkStart w:id="17" w:name="_Toc499903682"/>
      <w:r w:rsidRPr="00D725A0">
        <w:t xml:space="preserve">Draft amendments to Annexes A and B of ADR for entry into force on 1 January </w:t>
      </w:r>
      <w:bookmarkEnd w:id="17"/>
      <w:r w:rsidR="00781142" w:rsidRPr="00D725A0">
        <w:t>20</w:t>
      </w:r>
      <w:r w:rsidR="00781142">
        <w:t>21</w:t>
      </w:r>
    </w:p>
    <w:p w14:paraId="5A1AB497" w14:textId="77777777" w:rsidR="00781142" w:rsidRPr="00DB762A" w:rsidRDefault="00781142" w:rsidP="00781142">
      <w:pPr>
        <w:pStyle w:val="H1G"/>
      </w:pPr>
      <w:r>
        <w:tab/>
      </w:r>
      <w:r>
        <w:tab/>
      </w:r>
      <w:r w:rsidRPr="00DB762A">
        <w:t>Chapter 1.4</w:t>
      </w:r>
    </w:p>
    <w:p w14:paraId="4D8EFBC4" w14:textId="459C7497" w:rsidR="00781142" w:rsidRDefault="00781142" w:rsidP="00781142">
      <w:pPr>
        <w:pStyle w:val="SingleTxtG"/>
      </w:pPr>
      <w:bookmarkStart w:id="18" w:name="_Hlk525252460"/>
      <w:r>
        <w:t>1.4.3.3</w:t>
      </w:r>
      <w:r w:rsidRPr="00DB762A">
        <w:t xml:space="preserve"> (e)</w:t>
      </w:r>
      <w:bookmarkEnd w:id="18"/>
      <w:r w:rsidRPr="00DB762A">
        <w:tab/>
        <w:t>Delete “maximum” (twice).</w:t>
      </w:r>
    </w:p>
    <w:p w14:paraId="1E319E52" w14:textId="4B8B3861" w:rsidR="00033FD0" w:rsidRPr="00861053" w:rsidRDefault="00033FD0" w:rsidP="00781142">
      <w:pPr>
        <w:pStyle w:val="SingleTxtG"/>
        <w:rPr>
          <w:i/>
          <w:iCs/>
        </w:rPr>
      </w:pPr>
      <w:r w:rsidRPr="00861053">
        <w:rPr>
          <w:i/>
          <w:iCs/>
        </w:rPr>
        <w:t>(Reference document: Informal document INF.21/Add.1)</w:t>
      </w:r>
    </w:p>
    <w:p w14:paraId="015D7229" w14:textId="77777777" w:rsidR="00781142" w:rsidRPr="00DB762A" w:rsidRDefault="00781142" w:rsidP="00781142">
      <w:pPr>
        <w:pStyle w:val="H1G"/>
      </w:pPr>
      <w:r w:rsidRPr="00DB762A">
        <w:tab/>
      </w:r>
      <w:r w:rsidRPr="00DB762A">
        <w:tab/>
        <w:t>Chapter 1.6</w:t>
      </w:r>
    </w:p>
    <w:p w14:paraId="78F14E35" w14:textId="77777777" w:rsidR="00781142" w:rsidRPr="00DB762A" w:rsidRDefault="00781142" w:rsidP="00781142">
      <w:pPr>
        <w:pStyle w:val="SingleTxtG"/>
      </w:pPr>
      <w:r>
        <w:t>1.6.2.16</w:t>
      </w:r>
      <w:r>
        <w:tab/>
      </w:r>
      <w:r w:rsidRPr="00DB762A">
        <w:t>Add the following new paragraph:</w:t>
      </w:r>
    </w:p>
    <w:p w14:paraId="5C5233C0" w14:textId="6680F2BF" w:rsidR="00781142" w:rsidRDefault="00781142" w:rsidP="00781142">
      <w:pPr>
        <w:pStyle w:val="SingleTxtG"/>
        <w:spacing w:before="120"/>
      </w:pPr>
      <w:r w:rsidRPr="00DB762A">
        <w:t>“</w:t>
      </w:r>
      <w:r>
        <w:t>1.6.2.16</w:t>
      </w:r>
      <w:r>
        <w:tab/>
      </w:r>
      <w:r w:rsidRPr="00DB762A">
        <w:t>The requirements of NOTE 3 of 6.2.3.5.1 applicable until 31 December 2020 may continue to be applied until 31 December 2022.”</w:t>
      </w:r>
    </w:p>
    <w:p w14:paraId="5D3277AC" w14:textId="77777777" w:rsidR="00033FD0" w:rsidRPr="00884168" w:rsidRDefault="00033FD0" w:rsidP="00033FD0">
      <w:pPr>
        <w:pStyle w:val="SingleTxtG"/>
        <w:rPr>
          <w:i/>
          <w:iCs/>
        </w:rPr>
      </w:pPr>
      <w:r w:rsidRPr="00884168">
        <w:rPr>
          <w:i/>
          <w:iCs/>
        </w:rPr>
        <w:t>(Reference document: Informal document INF.21/Add.1)</w:t>
      </w:r>
    </w:p>
    <w:p w14:paraId="589832BA" w14:textId="77777777" w:rsidR="00781142" w:rsidRPr="00DB762A" w:rsidRDefault="00781142" w:rsidP="00781142">
      <w:pPr>
        <w:pStyle w:val="SingleTxtG"/>
      </w:pPr>
      <w:r w:rsidRPr="00DB762A">
        <w:t>1.6.3.100</w:t>
      </w:r>
      <w:r w:rsidRPr="00DB762A">
        <w:tab/>
        <w:t>Merge the two existing paragraphs</w:t>
      </w:r>
      <w:r>
        <w:t xml:space="preserve"> under the title, renumber them as </w:t>
      </w:r>
      <w:r w:rsidRPr="00DB762A">
        <w:t>1.6.3.100.1 and add the following new subparagraph 1.6.3.100.2:</w:t>
      </w:r>
    </w:p>
    <w:p w14:paraId="61DEEB93" w14:textId="7425E5CF" w:rsidR="00781142" w:rsidRDefault="00781142" w:rsidP="00781142">
      <w:pPr>
        <w:pStyle w:val="SingleTxtG"/>
      </w:pPr>
      <w:r w:rsidRPr="00DB762A">
        <w:t>“1.6.3.100.2</w:t>
      </w:r>
      <w:r w:rsidRPr="00DB762A">
        <w:tab/>
        <w:t xml:space="preserve">FRP tanks constructed before 1 July 2021 in accordance with the requirements in force up to 31 December 2020 but which do not, however, meet the requirements for the marking of the tank code of 6.9.6.1 applicable as from 1 January 2021 may continue to be marked in accordance with the requirements applicable up to 31 December 2020 until the next periodic inspection after 1 July 2021.” </w:t>
      </w:r>
    </w:p>
    <w:p w14:paraId="63AE960A" w14:textId="77777777" w:rsidR="00033FD0" w:rsidRPr="00884168" w:rsidRDefault="00033FD0" w:rsidP="00033FD0">
      <w:pPr>
        <w:pStyle w:val="SingleTxtG"/>
        <w:rPr>
          <w:i/>
          <w:iCs/>
        </w:rPr>
      </w:pPr>
      <w:r w:rsidRPr="00884168">
        <w:rPr>
          <w:i/>
          <w:iCs/>
        </w:rPr>
        <w:t>(Reference document: Informal document INF.21/Add.1)</w:t>
      </w:r>
    </w:p>
    <w:p w14:paraId="400056B8" w14:textId="77777777" w:rsidR="00781142" w:rsidRPr="00DB762A" w:rsidRDefault="00781142" w:rsidP="00781142">
      <w:pPr>
        <w:pStyle w:val="H1G"/>
      </w:pPr>
      <w:r>
        <w:tab/>
      </w:r>
      <w:r>
        <w:tab/>
      </w:r>
      <w:r w:rsidRPr="00DB762A">
        <w:t>Chapter 1.8</w:t>
      </w:r>
    </w:p>
    <w:p w14:paraId="680BB565" w14:textId="3BBEF7EB" w:rsidR="00781142" w:rsidRDefault="00781142" w:rsidP="00781142">
      <w:pPr>
        <w:pStyle w:val="SingleTxtG"/>
      </w:pPr>
      <w:r w:rsidRPr="00DB762A">
        <w:t>1.8.5.1</w:t>
      </w:r>
      <w:r w:rsidRPr="00DB762A">
        <w:tab/>
        <w:t xml:space="preserve">After </w:t>
      </w:r>
      <w:r w:rsidRPr="00DB762A">
        <w:rPr>
          <w:iCs/>
        </w:rPr>
        <w:t>"</w:t>
      </w:r>
      <w:r w:rsidRPr="00DB762A">
        <w:t>carrier</w:t>
      </w:r>
      <w:r w:rsidRPr="00DB762A">
        <w:rPr>
          <w:iCs/>
        </w:rPr>
        <w:t>"</w:t>
      </w:r>
      <w:r w:rsidRPr="00DB762A">
        <w:t xml:space="preserve"> add </w:t>
      </w:r>
      <w:r w:rsidRPr="00DB762A">
        <w:rPr>
          <w:iCs/>
        </w:rPr>
        <w:t>"</w:t>
      </w:r>
      <w:r w:rsidRPr="00DB762A">
        <w:t>, unloader</w:t>
      </w:r>
      <w:r w:rsidRPr="00DB762A">
        <w:rPr>
          <w:iCs/>
        </w:rPr>
        <w:t>"</w:t>
      </w:r>
      <w:r w:rsidRPr="00DB762A">
        <w:t>.</w:t>
      </w:r>
    </w:p>
    <w:p w14:paraId="49202A89" w14:textId="77777777" w:rsidR="00033FD0" w:rsidRPr="00884168" w:rsidRDefault="00033FD0" w:rsidP="00033FD0">
      <w:pPr>
        <w:pStyle w:val="SingleTxtG"/>
        <w:rPr>
          <w:i/>
          <w:iCs/>
        </w:rPr>
      </w:pPr>
      <w:r w:rsidRPr="00884168">
        <w:rPr>
          <w:i/>
          <w:iCs/>
        </w:rPr>
        <w:t>(Reference document: Informal document INF.21/Add.1)</w:t>
      </w:r>
    </w:p>
    <w:p w14:paraId="243ADAC1" w14:textId="77777777" w:rsidR="00781142" w:rsidRPr="00DB762A" w:rsidRDefault="00781142" w:rsidP="00781142">
      <w:pPr>
        <w:pStyle w:val="H1G"/>
      </w:pPr>
      <w:r w:rsidRPr="00DB762A">
        <w:tab/>
      </w:r>
      <w:r w:rsidRPr="00DB762A">
        <w:tab/>
        <w:t>Chapter 2.1</w:t>
      </w:r>
    </w:p>
    <w:p w14:paraId="00E6E9A5" w14:textId="77777777" w:rsidR="00781142" w:rsidRPr="00DB762A" w:rsidRDefault="00781142" w:rsidP="00781142">
      <w:pPr>
        <w:pStyle w:val="SingleTxtG"/>
        <w:keepNext/>
        <w:keepLines/>
      </w:pPr>
      <w:r>
        <w:t>2.1.3.4.3</w:t>
      </w:r>
      <w:r>
        <w:tab/>
      </w:r>
      <w:r w:rsidRPr="00DB762A">
        <w:t xml:space="preserve">Add the following new paragraph: </w:t>
      </w:r>
    </w:p>
    <w:p w14:paraId="359E1604" w14:textId="77777777" w:rsidR="00781142" w:rsidRPr="00DB762A" w:rsidRDefault="00781142" w:rsidP="00781142">
      <w:pPr>
        <w:pStyle w:val="SingleTxtG"/>
      </w:pPr>
      <w:r w:rsidRPr="00DB762A">
        <w:rPr>
          <w:iCs/>
        </w:rPr>
        <w:t>"</w:t>
      </w:r>
      <w:r>
        <w:rPr>
          <w:iCs/>
        </w:rPr>
        <w:t>2.1.3.4.3</w:t>
      </w:r>
      <w:r>
        <w:rPr>
          <w:iCs/>
        </w:rPr>
        <w:tab/>
      </w:r>
      <w:r w:rsidRPr="00DB762A">
        <w:t>Used articles, e.g. transformers and condensers, containing a solution or mixture mentioned in 2.1.3.4.2 shall always be classified under the same entry of Class 9, provided:</w:t>
      </w:r>
    </w:p>
    <w:p w14:paraId="0CBF5E57" w14:textId="77777777" w:rsidR="00781142" w:rsidRPr="00DB762A" w:rsidRDefault="00781142" w:rsidP="00781142">
      <w:pPr>
        <w:pStyle w:val="SingleTxtG"/>
        <w:ind w:left="2694" w:hanging="426"/>
      </w:pPr>
      <w:r>
        <w:t>(a)</w:t>
      </w:r>
      <w:r>
        <w:tab/>
      </w:r>
      <w:r w:rsidRPr="00DB762A">
        <w:t xml:space="preserve">they do not contain any additional dangerous components, other than polyhalogenated </w:t>
      </w:r>
      <w:r w:rsidRPr="00DB762A">
        <w:rPr>
          <w:snapToGrid w:val="0"/>
        </w:rPr>
        <w:t>dibenzodioxins and dibenzofurans</w:t>
      </w:r>
      <w:r w:rsidRPr="00DB762A">
        <w:t xml:space="preserve"> of Class 6.1 or components of packing group III of classes 3, 4.1, 4.2, 4.3, 5.1, 6.1 or 8, and</w:t>
      </w:r>
    </w:p>
    <w:p w14:paraId="2492E81A" w14:textId="720CA0C2" w:rsidR="00781142" w:rsidRDefault="00781142" w:rsidP="00781142">
      <w:pPr>
        <w:pStyle w:val="SingleTxtG"/>
        <w:ind w:left="2694" w:hanging="426"/>
      </w:pPr>
      <w:r>
        <w:t>(b)</w:t>
      </w:r>
      <w:r>
        <w:tab/>
      </w:r>
      <w:r w:rsidRPr="00DB762A">
        <w:t>they do not have the hazard characteristics as indicated in 2.1.3.5.3 (a) to (g) and (</w:t>
      </w:r>
      <w:proofErr w:type="spellStart"/>
      <w:r w:rsidRPr="00DB762A">
        <w:t>i</w:t>
      </w:r>
      <w:proofErr w:type="spellEnd"/>
      <w:r w:rsidRPr="00DB762A">
        <w:t>)."</w:t>
      </w:r>
    </w:p>
    <w:p w14:paraId="4C15CDB9" w14:textId="77777777" w:rsidR="00033FD0" w:rsidRPr="00884168" w:rsidRDefault="00033FD0" w:rsidP="00033FD0">
      <w:pPr>
        <w:pStyle w:val="SingleTxtG"/>
        <w:rPr>
          <w:i/>
          <w:iCs/>
        </w:rPr>
      </w:pPr>
      <w:r w:rsidRPr="00884168">
        <w:rPr>
          <w:i/>
          <w:iCs/>
        </w:rPr>
        <w:t>(Reference document: Informal document INF.21/Add.1)</w:t>
      </w:r>
    </w:p>
    <w:p w14:paraId="32DF05A3" w14:textId="77777777" w:rsidR="00781142" w:rsidRPr="00DB762A" w:rsidRDefault="00781142" w:rsidP="00781142">
      <w:pPr>
        <w:pStyle w:val="H1G"/>
      </w:pPr>
      <w:r w:rsidRPr="00DB762A">
        <w:lastRenderedPageBreak/>
        <w:tab/>
      </w:r>
      <w:r w:rsidRPr="00DB762A">
        <w:tab/>
        <w:t>Chapter 3.2</w:t>
      </w:r>
      <w:r>
        <w:t>, Table A</w:t>
      </w:r>
    </w:p>
    <w:p w14:paraId="30E8100A" w14:textId="7B821063" w:rsidR="00781142" w:rsidRDefault="00781142" w:rsidP="00781142">
      <w:pPr>
        <w:pStyle w:val="SingleTxtG"/>
        <w:rPr>
          <w:iCs/>
        </w:rPr>
      </w:pPr>
      <w:r>
        <w:rPr>
          <w:iCs/>
        </w:rPr>
        <w:t>F</w:t>
      </w:r>
      <w:r w:rsidRPr="00DB762A">
        <w:rPr>
          <w:iCs/>
        </w:rPr>
        <w:t>or UN Nos. 2211 and 3314, in column (6), insert "675".</w:t>
      </w:r>
    </w:p>
    <w:p w14:paraId="7049C3E5" w14:textId="77777777" w:rsidR="00033FD0" w:rsidRPr="00884168" w:rsidRDefault="00033FD0" w:rsidP="00033FD0">
      <w:pPr>
        <w:pStyle w:val="SingleTxtG"/>
        <w:rPr>
          <w:i/>
          <w:iCs/>
        </w:rPr>
      </w:pPr>
      <w:r w:rsidRPr="00884168">
        <w:rPr>
          <w:i/>
          <w:iCs/>
        </w:rPr>
        <w:t>(Reference document: Informal document INF.21/Add.1)</w:t>
      </w:r>
    </w:p>
    <w:p w14:paraId="51BC1098" w14:textId="58ED14B0" w:rsidR="00781142" w:rsidRDefault="00781142" w:rsidP="00781142">
      <w:pPr>
        <w:pStyle w:val="SingleTxtG"/>
      </w:pPr>
      <w:r>
        <w:t>F</w:t>
      </w:r>
      <w:r w:rsidRPr="00DB762A">
        <w:t xml:space="preserve">or UN No.2683, in column (20), replace </w:t>
      </w:r>
      <w:r w:rsidRPr="00DB762A">
        <w:rPr>
          <w:iCs/>
        </w:rPr>
        <w:t>"</w:t>
      </w:r>
      <w:r w:rsidRPr="00DB762A">
        <w:t>86</w:t>
      </w:r>
      <w:r w:rsidRPr="00DB762A">
        <w:rPr>
          <w:iCs/>
        </w:rPr>
        <w:t>"</w:t>
      </w:r>
      <w:r w:rsidRPr="00DB762A">
        <w:t xml:space="preserve"> by </w:t>
      </w:r>
      <w:r w:rsidRPr="00DB762A">
        <w:rPr>
          <w:iCs/>
        </w:rPr>
        <w:t>"</w:t>
      </w:r>
      <w:r w:rsidRPr="00DB762A">
        <w:t>836</w:t>
      </w:r>
      <w:r w:rsidRPr="00DB762A">
        <w:rPr>
          <w:iCs/>
        </w:rPr>
        <w:t>"</w:t>
      </w:r>
      <w:r w:rsidRPr="00DB762A">
        <w:t xml:space="preserve">. </w:t>
      </w:r>
    </w:p>
    <w:p w14:paraId="10E00BEF" w14:textId="77777777" w:rsidR="00033FD0" w:rsidRPr="00884168" w:rsidRDefault="00033FD0" w:rsidP="00033FD0">
      <w:pPr>
        <w:pStyle w:val="SingleTxtG"/>
        <w:rPr>
          <w:i/>
          <w:iCs/>
        </w:rPr>
      </w:pPr>
      <w:r w:rsidRPr="00884168">
        <w:rPr>
          <w:i/>
          <w:iCs/>
        </w:rPr>
        <w:t>(Reference document: Informal document INF.21/Add.1)</w:t>
      </w:r>
    </w:p>
    <w:p w14:paraId="36D58391" w14:textId="77777777" w:rsidR="00781142" w:rsidRPr="00DB762A" w:rsidRDefault="00781142" w:rsidP="00781142">
      <w:pPr>
        <w:pStyle w:val="H1G"/>
      </w:pPr>
      <w:r w:rsidRPr="00DB762A">
        <w:tab/>
      </w:r>
      <w:r w:rsidRPr="00DB762A">
        <w:tab/>
        <w:t>Chapter 3.3</w:t>
      </w:r>
    </w:p>
    <w:p w14:paraId="38251E2E" w14:textId="7E36883E" w:rsidR="00781142" w:rsidRDefault="00781142" w:rsidP="00781142">
      <w:pPr>
        <w:pStyle w:val="SingleTxtG"/>
      </w:pPr>
      <w:r w:rsidRPr="00DB762A">
        <w:t>Special provision 386</w:t>
      </w:r>
      <w:r w:rsidRPr="00DB762A">
        <w:tab/>
      </w:r>
      <w:r>
        <w:t xml:space="preserve"> </w:t>
      </w:r>
      <w:r>
        <w:tab/>
      </w:r>
      <w:r w:rsidRPr="00DB762A">
        <w:t xml:space="preserve">In the first sentence, replace </w:t>
      </w:r>
      <w:r w:rsidRPr="00DB762A">
        <w:rPr>
          <w:iCs/>
        </w:rPr>
        <w:t>"</w:t>
      </w:r>
      <w:r w:rsidRPr="00DB762A">
        <w:t xml:space="preserve">2.2.41.1.17” by </w:t>
      </w:r>
      <w:r w:rsidRPr="00DB762A">
        <w:rPr>
          <w:iCs/>
        </w:rPr>
        <w:t>"</w:t>
      </w:r>
      <w:r w:rsidRPr="00DB762A">
        <w:t>2.2.41.1.21</w:t>
      </w:r>
      <w:r w:rsidRPr="00DB762A">
        <w:rPr>
          <w:iCs/>
        </w:rPr>
        <w:t>"</w:t>
      </w:r>
      <w:r w:rsidRPr="00DB762A">
        <w:t xml:space="preserve">. </w:t>
      </w:r>
    </w:p>
    <w:p w14:paraId="132BCA1E" w14:textId="77777777" w:rsidR="00033FD0" w:rsidRPr="00884168" w:rsidRDefault="00033FD0" w:rsidP="00033FD0">
      <w:pPr>
        <w:pStyle w:val="SingleTxtG"/>
        <w:rPr>
          <w:i/>
          <w:iCs/>
        </w:rPr>
      </w:pPr>
      <w:r w:rsidRPr="00884168">
        <w:rPr>
          <w:i/>
          <w:iCs/>
        </w:rPr>
        <w:t>(Reference document: Informal document INF.21/Add.1)</w:t>
      </w:r>
    </w:p>
    <w:p w14:paraId="03038FA6" w14:textId="11F5A17D" w:rsidR="00781142" w:rsidRDefault="00781142" w:rsidP="00781142">
      <w:pPr>
        <w:pStyle w:val="SingleTxtG"/>
      </w:pPr>
      <w:r w:rsidRPr="00DB762A">
        <w:t>Special provision 556</w:t>
      </w:r>
      <w:r>
        <w:tab/>
      </w:r>
      <w:r>
        <w:tab/>
      </w:r>
      <w:r w:rsidRPr="00DB762A">
        <w:t xml:space="preserve">Delete and add </w:t>
      </w:r>
      <w:r w:rsidRPr="00DB762A">
        <w:rPr>
          <w:iCs/>
        </w:rPr>
        <w:t>"</w:t>
      </w:r>
      <w:r w:rsidRPr="00DB762A">
        <w:t>(Deleted)</w:t>
      </w:r>
      <w:r w:rsidRPr="00DB762A">
        <w:rPr>
          <w:iCs/>
        </w:rPr>
        <w:t>"</w:t>
      </w:r>
      <w:r w:rsidRPr="00DB762A">
        <w:t>.</w:t>
      </w:r>
    </w:p>
    <w:p w14:paraId="33F34F1E" w14:textId="77777777" w:rsidR="00033FD0" w:rsidRPr="00884168" w:rsidRDefault="00033FD0" w:rsidP="00033FD0">
      <w:pPr>
        <w:pStyle w:val="SingleTxtG"/>
        <w:rPr>
          <w:i/>
          <w:iCs/>
        </w:rPr>
      </w:pPr>
      <w:r w:rsidRPr="00884168">
        <w:rPr>
          <w:i/>
          <w:iCs/>
        </w:rPr>
        <w:t>(Reference document: Informal document INF.21/Add.1)</w:t>
      </w:r>
    </w:p>
    <w:p w14:paraId="3AAA8AFA" w14:textId="77777777" w:rsidR="00781142" w:rsidRPr="00DB762A" w:rsidRDefault="00781142" w:rsidP="00781142">
      <w:pPr>
        <w:pStyle w:val="SingleTxtG"/>
      </w:pPr>
      <w:r w:rsidRPr="00DB762A">
        <w:t>Special provision 675</w:t>
      </w:r>
      <w:r w:rsidRPr="00DB762A">
        <w:tab/>
      </w:r>
      <w:r>
        <w:tab/>
      </w:r>
      <w:r w:rsidRPr="00DB762A">
        <w:t>Add the following new special provision:</w:t>
      </w:r>
    </w:p>
    <w:p w14:paraId="3BA27117" w14:textId="182EF4F6" w:rsidR="00781142" w:rsidRDefault="00781142" w:rsidP="00781142">
      <w:pPr>
        <w:pStyle w:val="SingleTxtG"/>
      </w:pPr>
      <w:r w:rsidRPr="00DB762A">
        <w:rPr>
          <w:iCs/>
        </w:rPr>
        <w:t>"</w:t>
      </w:r>
      <w:r w:rsidRPr="00DB762A">
        <w:t>675</w:t>
      </w:r>
      <w:r w:rsidRPr="00DB762A">
        <w:tab/>
      </w:r>
      <w:r w:rsidRPr="00DB762A">
        <w:rPr>
          <w:snapToGrid w:val="0"/>
        </w:rPr>
        <w:t xml:space="preserve">For packages containing these dangerous goods, mixed loading with substances and articles of Class 1, </w:t>
      </w:r>
      <w:proofErr w:type="gramStart"/>
      <w:r w:rsidRPr="00DB762A">
        <w:rPr>
          <w:snapToGrid w:val="0"/>
        </w:rPr>
        <w:t>with the exception of</w:t>
      </w:r>
      <w:proofErr w:type="gramEnd"/>
      <w:r w:rsidRPr="00DB762A">
        <w:rPr>
          <w:snapToGrid w:val="0"/>
        </w:rPr>
        <w:t xml:space="preserve"> 1.4S, shall be prohibited.</w:t>
      </w:r>
      <w:r w:rsidRPr="00DB762A">
        <w:rPr>
          <w:iCs/>
        </w:rPr>
        <w:t>"</w:t>
      </w:r>
      <w:r w:rsidRPr="00DB762A">
        <w:t>.</w:t>
      </w:r>
    </w:p>
    <w:p w14:paraId="0DD48E83" w14:textId="77777777" w:rsidR="00033FD0" w:rsidRPr="00884168" w:rsidRDefault="00033FD0" w:rsidP="00033FD0">
      <w:pPr>
        <w:pStyle w:val="SingleTxtG"/>
        <w:rPr>
          <w:i/>
          <w:iCs/>
        </w:rPr>
      </w:pPr>
      <w:r w:rsidRPr="00884168">
        <w:rPr>
          <w:i/>
          <w:iCs/>
        </w:rPr>
        <w:t>(Reference document: Informal document INF.21/Add.1)</w:t>
      </w:r>
    </w:p>
    <w:p w14:paraId="61D948C9" w14:textId="77777777" w:rsidR="00781142" w:rsidRPr="00DB762A" w:rsidRDefault="00781142" w:rsidP="00781142">
      <w:pPr>
        <w:pStyle w:val="H1G"/>
      </w:pPr>
      <w:r w:rsidRPr="00DB762A">
        <w:tab/>
      </w:r>
      <w:r w:rsidRPr="00DB762A">
        <w:tab/>
        <w:t>Chapter 5.3</w:t>
      </w:r>
    </w:p>
    <w:p w14:paraId="67CA2128" w14:textId="77777777" w:rsidR="00781142" w:rsidRPr="00DB762A" w:rsidRDefault="00781142" w:rsidP="00781142">
      <w:pPr>
        <w:pStyle w:val="SingleTxtG"/>
      </w:pPr>
      <w:r w:rsidRPr="00DB762A">
        <w:t>5.3.2.3.2</w:t>
      </w:r>
      <w:r w:rsidRPr="00DB762A">
        <w:tab/>
        <w:t xml:space="preserve">After "X83", insert the </w:t>
      </w:r>
      <w:r>
        <w:t xml:space="preserve">following new </w:t>
      </w:r>
      <w:r w:rsidRPr="00DB762A">
        <w:t>hazard identification number 836:</w:t>
      </w:r>
    </w:p>
    <w:p w14:paraId="5066E913" w14:textId="2E6BE0A7" w:rsidR="00781142" w:rsidRDefault="00781142" w:rsidP="00781142">
      <w:pPr>
        <w:pStyle w:val="SingleTxtG"/>
        <w:rPr>
          <w:bCs/>
        </w:rPr>
      </w:pPr>
      <w:r w:rsidRPr="00DB762A">
        <w:rPr>
          <w:iCs/>
        </w:rPr>
        <w:t>"</w:t>
      </w:r>
      <w:r w:rsidRPr="00DB762A">
        <w:rPr>
          <w:bCs/>
        </w:rPr>
        <w:t>836</w:t>
      </w:r>
      <w:r w:rsidRPr="00DB762A">
        <w:rPr>
          <w:bCs/>
        </w:rPr>
        <w:tab/>
        <w:t>Corrosive or slightly corrosive substance, flammable (flash-point between 23ºC and 60ºC</w:t>
      </w:r>
      <w:r w:rsidR="000A4FE0">
        <w:rPr>
          <w:bCs/>
        </w:rPr>
        <w:t>,</w:t>
      </w:r>
      <w:r w:rsidRPr="00DB762A">
        <w:rPr>
          <w:bCs/>
        </w:rPr>
        <w:t xml:space="preserve"> inclusive) and toxic</w:t>
      </w:r>
      <w:r w:rsidRPr="00DB762A">
        <w:rPr>
          <w:iCs/>
        </w:rPr>
        <w:t>"</w:t>
      </w:r>
      <w:r w:rsidRPr="00DB762A">
        <w:rPr>
          <w:bCs/>
        </w:rPr>
        <w:t>.</w:t>
      </w:r>
    </w:p>
    <w:p w14:paraId="4B8F2B6B" w14:textId="77777777" w:rsidR="00033FD0" w:rsidRPr="00884168" w:rsidRDefault="00033FD0" w:rsidP="00033FD0">
      <w:pPr>
        <w:pStyle w:val="SingleTxtG"/>
        <w:rPr>
          <w:i/>
          <w:iCs/>
        </w:rPr>
      </w:pPr>
      <w:r w:rsidRPr="00884168">
        <w:rPr>
          <w:i/>
          <w:iCs/>
        </w:rPr>
        <w:t>(Reference document: Informal document INF.21/Add.1)</w:t>
      </w:r>
    </w:p>
    <w:p w14:paraId="17086D2C" w14:textId="77777777" w:rsidR="00781142" w:rsidRPr="00DB762A" w:rsidRDefault="00781142" w:rsidP="00781142">
      <w:pPr>
        <w:pStyle w:val="H1G"/>
      </w:pPr>
      <w:r w:rsidRPr="00DB762A">
        <w:tab/>
      </w:r>
      <w:r w:rsidRPr="00DB762A">
        <w:tab/>
        <w:t>Chapter 6.2</w:t>
      </w:r>
    </w:p>
    <w:p w14:paraId="395100B5" w14:textId="77777777" w:rsidR="00781142" w:rsidRPr="00DB762A" w:rsidRDefault="00781142" w:rsidP="00781142">
      <w:pPr>
        <w:pStyle w:val="SingleTxtG"/>
        <w:keepNext/>
        <w:keepLines/>
      </w:pPr>
      <w:r w:rsidRPr="00DB762A">
        <w:t>6.2.3.5.1</w:t>
      </w:r>
      <w:r w:rsidRPr="00DB762A">
        <w:tab/>
        <w:t xml:space="preserve">Replace NOTE 3 </w:t>
      </w:r>
      <w:r>
        <w:t>with the following text</w:t>
      </w:r>
      <w:r w:rsidRPr="00DB762A">
        <w:t>:</w:t>
      </w:r>
    </w:p>
    <w:p w14:paraId="739503C8" w14:textId="19AEAE35" w:rsidR="00781142" w:rsidRDefault="00781142" w:rsidP="00781142">
      <w:pPr>
        <w:pStyle w:val="SingleTxtG"/>
        <w:spacing w:before="120"/>
        <w:rPr>
          <w:i/>
        </w:rPr>
      </w:pPr>
      <w:r w:rsidRPr="00DB762A">
        <w:t>“</w:t>
      </w:r>
      <w:r w:rsidRPr="00DB762A">
        <w:rPr>
          <w:b/>
          <w:bCs/>
          <w:i/>
          <w:iCs/>
        </w:rPr>
        <w:t>NOTE 3</w:t>
      </w:r>
      <w:r w:rsidRPr="00DB762A">
        <w:rPr>
          <w:i/>
          <w:iCs/>
        </w:rPr>
        <w:t xml:space="preserve">: </w:t>
      </w:r>
      <w:r>
        <w:rPr>
          <w:i/>
          <w:iCs/>
        </w:rPr>
        <w:tab/>
      </w:r>
      <w:r w:rsidRPr="00DB762A">
        <w:rPr>
          <w:i/>
          <w:iCs/>
        </w:rPr>
        <w:t xml:space="preserve">The check of 6.2.1.6.1 (b) and the hydraulic pressure test of 6.2.1.6.1 (d) may be replaced by ultrasonic examination carried out in accordance with EN ISO </w:t>
      </w:r>
      <w:proofErr w:type="gramStart"/>
      <w:r w:rsidRPr="00DB762A">
        <w:rPr>
          <w:i/>
          <w:iCs/>
        </w:rPr>
        <w:t>18119:[</w:t>
      </w:r>
      <w:proofErr w:type="gramEnd"/>
      <w:r w:rsidRPr="00DB762A">
        <w:rPr>
          <w:i/>
          <w:iCs/>
        </w:rPr>
        <w:t>2018] for cylinders and tubes of seamless steel or seamless aluminium alloy. Notwithstanding clause B.1 of this standard, all cylinders and tubes whose wall thickness is less than the minimum design thickness shall be rejected.</w:t>
      </w:r>
      <w:r w:rsidRPr="00DB762A">
        <w:t>”</w:t>
      </w:r>
      <w:r w:rsidRPr="00DB762A">
        <w:rPr>
          <w:i/>
        </w:rPr>
        <w:t xml:space="preserve"> </w:t>
      </w:r>
    </w:p>
    <w:p w14:paraId="7512E44D" w14:textId="77777777" w:rsidR="00033FD0" w:rsidRPr="00884168" w:rsidRDefault="00033FD0" w:rsidP="00033FD0">
      <w:pPr>
        <w:pStyle w:val="SingleTxtG"/>
        <w:rPr>
          <w:i/>
          <w:iCs/>
        </w:rPr>
      </w:pPr>
      <w:r w:rsidRPr="00884168">
        <w:rPr>
          <w:i/>
          <w:iCs/>
        </w:rPr>
        <w:t>(Reference document: Informal document INF.21/Add.1)</w:t>
      </w:r>
    </w:p>
    <w:p w14:paraId="36BEFC4E" w14:textId="77777777" w:rsidR="00781142" w:rsidRPr="00DB762A" w:rsidRDefault="00781142" w:rsidP="00781142">
      <w:pPr>
        <w:pStyle w:val="SingleTxtG"/>
        <w:spacing w:before="240"/>
      </w:pPr>
      <w:r w:rsidRPr="00DB762A">
        <w:t>6.2.6.1.5</w:t>
      </w:r>
      <w:r w:rsidRPr="00DB762A">
        <w:tab/>
        <w:t xml:space="preserve">Amend the first sentence to read as follows: </w:t>
      </w:r>
    </w:p>
    <w:p w14:paraId="57E1FE7F" w14:textId="70CD4E36" w:rsidR="00781142" w:rsidRDefault="00781142" w:rsidP="00781142">
      <w:pPr>
        <w:pStyle w:val="SingleTxtG"/>
      </w:pPr>
      <w:r w:rsidRPr="00DB762A">
        <w:rPr>
          <w:iCs/>
        </w:rPr>
        <w:t>"</w:t>
      </w:r>
      <w:r w:rsidRPr="00DB762A">
        <w:t xml:space="preserve">The internal pressure of aerosol dispensers at 50 °C shall exceed neither two-thirds of the test pressure nor 1.2 </w:t>
      </w:r>
      <w:proofErr w:type="spellStart"/>
      <w:r w:rsidRPr="00DB762A">
        <w:t>MPa</w:t>
      </w:r>
      <w:proofErr w:type="spellEnd"/>
      <w:r w:rsidRPr="00DB762A">
        <w:t xml:space="preserve"> (12 bar) when using flammable liquefied gases, 1.32</w:t>
      </w:r>
      <w:r>
        <w:t> </w:t>
      </w:r>
      <w:proofErr w:type="spellStart"/>
      <w:r w:rsidRPr="00DB762A">
        <w:t>MPa</w:t>
      </w:r>
      <w:proofErr w:type="spellEnd"/>
      <w:r w:rsidRPr="00DB762A">
        <w:t xml:space="preserve"> (13.2</w:t>
      </w:r>
      <w:r>
        <w:t> </w:t>
      </w:r>
      <w:r w:rsidRPr="00DB762A">
        <w:t>bar) when using non-flammable</w:t>
      </w:r>
      <w:r>
        <w:t xml:space="preserve"> liquefied gases, and 1.5 </w:t>
      </w:r>
      <w:proofErr w:type="spellStart"/>
      <w:r w:rsidRPr="00DB762A">
        <w:t>MPa</w:t>
      </w:r>
      <w:proofErr w:type="spellEnd"/>
      <w:r w:rsidRPr="00DB762A">
        <w:t xml:space="preserve"> (15 bar) when using non-flammable compressed or dissolved gases.</w:t>
      </w:r>
      <w:r w:rsidRPr="00DB762A">
        <w:rPr>
          <w:iCs/>
        </w:rPr>
        <w:t>"</w:t>
      </w:r>
      <w:r w:rsidRPr="00DB762A">
        <w:t>.</w:t>
      </w:r>
    </w:p>
    <w:p w14:paraId="699D5C4F" w14:textId="77777777" w:rsidR="00033FD0" w:rsidRPr="00884168" w:rsidRDefault="00033FD0" w:rsidP="00033FD0">
      <w:pPr>
        <w:pStyle w:val="SingleTxtG"/>
        <w:rPr>
          <w:i/>
          <w:iCs/>
        </w:rPr>
      </w:pPr>
      <w:r w:rsidRPr="00884168">
        <w:rPr>
          <w:i/>
          <w:iCs/>
        </w:rPr>
        <w:t>(Reference document: Informal document INF.21/Add.1)</w:t>
      </w:r>
    </w:p>
    <w:p w14:paraId="0471617D" w14:textId="75B242A3" w:rsidR="00781142" w:rsidRDefault="00781142" w:rsidP="00781142">
      <w:pPr>
        <w:pStyle w:val="SingleTxtG"/>
        <w:spacing w:before="120"/>
      </w:pPr>
      <w:r w:rsidRPr="00DB762A">
        <w:t>6.2.4.1</w:t>
      </w:r>
      <w:r w:rsidRPr="00DB762A">
        <w:tab/>
      </w:r>
      <w:r w:rsidR="000A4FE0">
        <w:tab/>
      </w:r>
      <w:r>
        <w:t>Amend the table as follows:</w:t>
      </w:r>
    </w:p>
    <w:p w14:paraId="0CB5B1BC" w14:textId="1D241F5E" w:rsidR="00781142" w:rsidRDefault="00781142" w:rsidP="00781142">
      <w:pPr>
        <w:pStyle w:val="Bullet1G"/>
        <w:numPr>
          <w:ilvl w:val="0"/>
          <w:numId w:val="0"/>
        </w:numPr>
        <w:ind w:left="1134" w:firstLine="306"/>
      </w:pPr>
      <w:r>
        <w:lastRenderedPageBreak/>
        <w:t>(a)</w:t>
      </w:r>
      <w:r>
        <w:tab/>
      </w:r>
      <w:r w:rsidR="0002646B">
        <w:tab/>
      </w:r>
      <w:r>
        <w:t>Under “</w:t>
      </w:r>
      <w:r w:rsidRPr="000F04C5">
        <w:rPr>
          <w:b/>
          <w:bCs/>
        </w:rPr>
        <w:t>for design and construction</w:t>
      </w:r>
      <w:r>
        <w:t>”:</w:t>
      </w:r>
    </w:p>
    <w:p w14:paraId="31702B0D" w14:textId="77777777" w:rsidR="00781142" w:rsidRPr="00DB762A" w:rsidRDefault="00781142" w:rsidP="00781142">
      <w:pPr>
        <w:pStyle w:val="Bullet1G"/>
        <w:tabs>
          <w:tab w:val="clear" w:pos="1701"/>
        </w:tabs>
        <w:ind w:left="2008" w:hanging="284"/>
      </w:pPr>
      <w:r>
        <w:t>In column (2), i</w:t>
      </w:r>
      <w:r w:rsidRPr="00DB762A">
        <w:t xml:space="preserve">nsert the following note against the references to directives </w:t>
      </w:r>
      <w:r w:rsidRPr="00441BD3">
        <w:t>84/525/EEC, 84/526/EEC and 84/527/EEC</w:t>
      </w:r>
      <w:r w:rsidRPr="00DB762A">
        <w:t>:</w:t>
      </w:r>
    </w:p>
    <w:p w14:paraId="37305C94" w14:textId="77777777" w:rsidR="00781142" w:rsidRPr="00F95552" w:rsidRDefault="00781142" w:rsidP="00781142">
      <w:pPr>
        <w:pStyle w:val="SingleTxtG"/>
        <w:spacing w:before="120"/>
        <w:ind w:left="2008"/>
        <w:rPr>
          <w:i/>
        </w:rPr>
      </w:pPr>
      <w:r w:rsidRPr="00DB762A">
        <w:t>"</w:t>
      </w:r>
      <w:r w:rsidRPr="00DB762A">
        <w:rPr>
          <w:b/>
          <w:i/>
          <w:iCs/>
        </w:rPr>
        <w:t>NOTE</w:t>
      </w:r>
      <w:r w:rsidRPr="00DB762A">
        <w:rPr>
          <w:i/>
          <w:iCs/>
        </w:rPr>
        <w:t>:</w:t>
      </w:r>
      <w:r w:rsidRPr="00DB762A">
        <w:t xml:space="preserve"> </w:t>
      </w:r>
      <w:r w:rsidRPr="00DB762A">
        <w:rPr>
          <w:i/>
        </w:rPr>
        <w:t>Notwithstanding the repeal of the directives 84/525/EEC, 84/526/EEC and 84/527/EEC as published in the Official Journal of the European Communities No. L300 of 19.11.1984 the annexes of these directives remain applicable as standards for design, construction and initial inspection and test for gas cylinders.  These annexes may be found at</w:t>
      </w:r>
      <w:r>
        <w:rPr>
          <w:i/>
        </w:rPr>
        <w:t>:</w:t>
      </w:r>
      <w:r w:rsidRPr="00DB762A">
        <w:rPr>
          <w:i/>
        </w:rPr>
        <w:t xml:space="preserve"> </w:t>
      </w:r>
      <w:hyperlink r:id="rId9" w:history="1">
        <w:r w:rsidRPr="00DB762A">
          <w:rPr>
            <w:rStyle w:val="Hyperlink"/>
            <w:i/>
            <w:iCs/>
          </w:rPr>
          <w:t>https://eur-lex.europa.eu/oj/direct-access.html</w:t>
        </w:r>
      </w:hyperlink>
      <w:r w:rsidRPr="00DB762A">
        <w:t xml:space="preserve">". </w:t>
      </w:r>
    </w:p>
    <w:p w14:paraId="555C5ED9" w14:textId="77777777" w:rsidR="00781142" w:rsidRPr="00DB762A" w:rsidRDefault="00781142" w:rsidP="00781142">
      <w:pPr>
        <w:pStyle w:val="Bullet1G"/>
        <w:tabs>
          <w:tab w:val="clear" w:pos="1701"/>
        </w:tabs>
        <w:ind w:left="1985" w:hanging="284"/>
        <w:rPr>
          <w:i/>
        </w:rPr>
      </w:pPr>
      <w:r>
        <w:t>F</w:t>
      </w:r>
      <w:r w:rsidRPr="00DB762A">
        <w:t xml:space="preserve">or “EN 12807:2008”, in column (4), replace </w:t>
      </w:r>
      <w:r>
        <w:t>the existing text</w:t>
      </w:r>
      <w:r w:rsidRPr="00DB762A">
        <w:t xml:space="preserve"> with “Between 1 January 2009 and 31 December 2022”.</w:t>
      </w:r>
      <w:r w:rsidRPr="00DB762A">
        <w:rPr>
          <w:i/>
        </w:rPr>
        <w:t xml:space="preserve"> </w:t>
      </w:r>
    </w:p>
    <w:p w14:paraId="53AF96CE" w14:textId="77777777" w:rsidR="00781142" w:rsidRPr="00DB762A" w:rsidRDefault="00781142" w:rsidP="00781142">
      <w:pPr>
        <w:pStyle w:val="Bullet1G"/>
        <w:tabs>
          <w:tab w:val="clear" w:pos="1701"/>
        </w:tabs>
        <w:ind w:left="1985" w:hanging="284"/>
      </w:pPr>
      <w:r>
        <w:t xml:space="preserve">After the existing row for </w:t>
      </w:r>
      <w:r w:rsidRPr="00DB762A">
        <w:t>“EN 12807:2008”</w:t>
      </w:r>
      <w:r>
        <w:t xml:space="preserve"> add </w:t>
      </w:r>
      <w:r w:rsidRPr="00DB762A">
        <w:t>the following new entry:</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4230"/>
        <w:gridCol w:w="1170"/>
        <w:gridCol w:w="1260"/>
        <w:gridCol w:w="450"/>
      </w:tblGrid>
      <w:tr w:rsidR="00781142" w:rsidRPr="00CE1950" w14:paraId="4ABC626C" w14:textId="77777777" w:rsidTr="00C407DB">
        <w:tc>
          <w:tcPr>
            <w:tcW w:w="1350" w:type="dxa"/>
          </w:tcPr>
          <w:p w14:paraId="12392CDD" w14:textId="77777777" w:rsidR="00781142" w:rsidRPr="00CE1950" w:rsidRDefault="00781142" w:rsidP="00C407DB">
            <w:pPr>
              <w:widowControl w:val="0"/>
              <w:spacing w:before="40" w:after="40"/>
              <w:jc w:val="center"/>
              <w:rPr>
                <w:bCs/>
                <w:sz w:val="18"/>
                <w:szCs w:val="18"/>
              </w:rPr>
            </w:pPr>
            <w:r w:rsidRPr="00CE1950">
              <w:rPr>
                <w:bCs/>
                <w:iCs/>
                <w:sz w:val="18"/>
                <w:szCs w:val="18"/>
              </w:rPr>
              <w:t xml:space="preserve">EN </w:t>
            </w:r>
            <w:proofErr w:type="gramStart"/>
            <w:r w:rsidRPr="00CE1950">
              <w:rPr>
                <w:bCs/>
                <w:iCs/>
                <w:sz w:val="18"/>
                <w:szCs w:val="18"/>
              </w:rPr>
              <w:t>12807:[</w:t>
            </w:r>
            <w:proofErr w:type="gramEnd"/>
            <w:r w:rsidRPr="00CE1950">
              <w:rPr>
                <w:bCs/>
                <w:iCs/>
                <w:sz w:val="18"/>
                <w:szCs w:val="18"/>
              </w:rPr>
              <w:t>2019]</w:t>
            </w:r>
          </w:p>
        </w:tc>
        <w:tc>
          <w:tcPr>
            <w:tcW w:w="4230" w:type="dxa"/>
            <w:vAlign w:val="center"/>
          </w:tcPr>
          <w:p w14:paraId="367ACD76" w14:textId="77777777" w:rsidR="00781142" w:rsidRPr="00CE1950" w:rsidRDefault="00781142" w:rsidP="00C407DB">
            <w:pPr>
              <w:widowControl w:val="0"/>
              <w:spacing w:before="40" w:after="40"/>
              <w:rPr>
                <w:bCs/>
                <w:sz w:val="18"/>
                <w:szCs w:val="18"/>
                <w:highlight w:val="green"/>
              </w:rPr>
            </w:pPr>
            <w:r w:rsidRPr="00CE1950">
              <w:rPr>
                <w:bCs/>
                <w:sz w:val="18"/>
                <w:szCs w:val="18"/>
              </w:rPr>
              <w:t>LPG equipment and accessories - Transportable refillable brazed steel cylinders for liquefied petroleum gas (LPG) - Design and construction</w:t>
            </w:r>
          </w:p>
        </w:tc>
        <w:tc>
          <w:tcPr>
            <w:tcW w:w="1170" w:type="dxa"/>
          </w:tcPr>
          <w:p w14:paraId="20290408" w14:textId="77777777" w:rsidR="00781142" w:rsidRPr="00CE1950" w:rsidRDefault="00781142" w:rsidP="00C407DB">
            <w:pPr>
              <w:widowControl w:val="0"/>
              <w:spacing w:before="40" w:after="40"/>
              <w:rPr>
                <w:bCs/>
                <w:sz w:val="18"/>
                <w:szCs w:val="18"/>
                <w:highlight w:val="green"/>
              </w:rPr>
            </w:pPr>
            <w:r w:rsidRPr="00CE1950">
              <w:rPr>
                <w:bCs/>
                <w:sz w:val="18"/>
                <w:szCs w:val="18"/>
              </w:rPr>
              <w:t>6.2.3.1 and 6.2.3.4</w:t>
            </w:r>
          </w:p>
        </w:tc>
        <w:tc>
          <w:tcPr>
            <w:tcW w:w="1260" w:type="dxa"/>
            <w:shd w:val="clear" w:color="auto" w:fill="auto"/>
          </w:tcPr>
          <w:p w14:paraId="608C6A6A" w14:textId="77777777" w:rsidR="00781142" w:rsidRPr="00CE1950" w:rsidRDefault="00781142" w:rsidP="00C407DB">
            <w:pPr>
              <w:widowControl w:val="0"/>
              <w:spacing w:before="40" w:after="40"/>
              <w:jc w:val="center"/>
              <w:rPr>
                <w:bCs/>
                <w:sz w:val="18"/>
                <w:szCs w:val="18"/>
              </w:rPr>
            </w:pPr>
            <w:r w:rsidRPr="00CE1950">
              <w:rPr>
                <w:bCs/>
                <w:sz w:val="18"/>
                <w:szCs w:val="18"/>
              </w:rPr>
              <w:t>Until further notice</w:t>
            </w:r>
          </w:p>
        </w:tc>
        <w:tc>
          <w:tcPr>
            <w:tcW w:w="450" w:type="dxa"/>
            <w:shd w:val="clear" w:color="auto" w:fill="auto"/>
          </w:tcPr>
          <w:p w14:paraId="05DB579A" w14:textId="77777777" w:rsidR="00781142" w:rsidRPr="00CE1950" w:rsidRDefault="00781142" w:rsidP="00C407DB">
            <w:pPr>
              <w:widowControl w:val="0"/>
              <w:spacing w:before="40" w:after="40"/>
              <w:jc w:val="center"/>
              <w:rPr>
                <w:bCs/>
                <w:sz w:val="18"/>
                <w:szCs w:val="18"/>
              </w:rPr>
            </w:pPr>
          </w:p>
        </w:tc>
      </w:tr>
    </w:tbl>
    <w:p w14:paraId="38189AE8" w14:textId="77777777" w:rsidR="00781142" w:rsidRDefault="00781142" w:rsidP="00781142">
      <w:pPr>
        <w:pStyle w:val="Bullet1G"/>
        <w:numPr>
          <w:ilvl w:val="0"/>
          <w:numId w:val="0"/>
        </w:numPr>
        <w:spacing w:before="240"/>
        <w:ind w:left="873" w:firstLine="567"/>
      </w:pPr>
      <w:r>
        <w:t xml:space="preserve"> (b)</w:t>
      </w:r>
      <w:r>
        <w:tab/>
        <w:t>Under “</w:t>
      </w:r>
      <w:r w:rsidRPr="000F04C5">
        <w:rPr>
          <w:b/>
          <w:bCs/>
        </w:rPr>
        <w:t>for closures</w:t>
      </w:r>
      <w:r>
        <w:t>”:</w:t>
      </w:r>
    </w:p>
    <w:p w14:paraId="22FB8FAC" w14:textId="77777777" w:rsidR="00781142" w:rsidRPr="00930C20" w:rsidRDefault="00781142" w:rsidP="00781142">
      <w:pPr>
        <w:pStyle w:val="Bullet1G"/>
        <w:tabs>
          <w:tab w:val="clear" w:pos="1701"/>
        </w:tabs>
        <w:ind w:left="1985" w:hanging="284"/>
      </w:pPr>
      <w:r>
        <w:t>F</w:t>
      </w:r>
      <w:r w:rsidRPr="00DB762A">
        <w:t>or “EN ISO 17871:2015”, in column (4), replace the existing text with “Between 1 January 2017 and 31 December 2021”.</w:t>
      </w:r>
    </w:p>
    <w:p w14:paraId="27C387B6" w14:textId="77777777" w:rsidR="00781142" w:rsidRPr="00DB762A" w:rsidRDefault="00781142" w:rsidP="00781142">
      <w:pPr>
        <w:pStyle w:val="Bullet1G"/>
        <w:tabs>
          <w:tab w:val="clear" w:pos="1701"/>
        </w:tabs>
        <w:ind w:left="1985" w:hanging="284"/>
      </w:pPr>
      <w:r>
        <w:t xml:space="preserve">After the existing row for </w:t>
      </w:r>
      <w:r w:rsidRPr="00DB762A">
        <w:t>“EN ISO 17871:2015”</w:t>
      </w:r>
      <w:r>
        <w:t xml:space="preserve"> a</w:t>
      </w:r>
      <w:r w:rsidRPr="00DB762A">
        <w:t>dd the following new entry:</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4230"/>
        <w:gridCol w:w="1170"/>
        <w:gridCol w:w="1260"/>
        <w:gridCol w:w="450"/>
      </w:tblGrid>
      <w:tr w:rsidR="00781142" w:rsidRPr="00CE1950" w14:paraId="1E2E836A" w14:textId="77777777" w:rsidTr="00C407DB">
        <w:tc>
          <w:tcPr>
            <w:tcW w:w="1350" w:type="dxa"/>
            <w:vAlign w:val="center"/>
          </w:tcPr>
          <w:p w14:paraId="133A1CDF" w14:textId="77777777" w:rsidR="00781142" w:rsidRPr="00CE1950" w:rsidRDefault="00781142" w:rsidP="00C407DB">
            <w:pPr>
              <w:widowControl w:val="0"/>
              <w:spacing w:before="60" w:after="60"/>
              <w:rPr>
                <w:rFonts w:cs="Arial"/>
                <w:sz w:val="18"/>
                <w:szCs w:val="18"/>
              </w:rPr>
            </w:pPr>
            <w:r w:rsidRPr="00CE1950">
              <w:rPr>
                <w:rFonts w:cs="Arial"/>
                <w:sz w:val="18"/>
                <w:szCs w:val="18"/>
              </w:rPr>
              <w:t>EN ISO 17871:2015 + A1:2018</w:t>
            </w:r>
          </w:p>
        </w:tc>
        <w:tc>
          <w:tcPr>
            <w:tcW w:w="4230" w:type="dxa"/>
          </w:tcPr>
          <w:p w14:paraId="377262FD" w14:textId="77777777" w:rsidR="00781142" w:rsidRPr="00CE1950" w:rsidRDefault="00781142" w:rsidP="00C407DB">
            <w:pPr>
              <w:widowControl w:val="0"/>
              <w:spacing w:before="60" w:after="60"/>
              <w:rPr>
                <w:rFonts w:cs="Arial"/>
                <w:sz w:val="18"/>
                <w:szCs w:val="18"/>
              </w:rPr>
            </w:pPr>
            <w:r w:rsidRPr="00CE1950">
              <w:rPr>
                <w:rFonts w:cs="Arial"/>
                <w:sz w:val="18"/>
                <w:szCs w:val="18"/>
              </w:rPr>
              <w:t>Gas cylinders – Quick-release cylinder valves – Specification and type testing</w:t>
            </w:r>
          </w:p>
        </w:tc>
        <w:tc>
          <w:tcPr>
            <w:tcW w:w="1170" w:type="dxa"/>
            <w:vAlign w:val="center"/>
          </w:tcPr>
          <w:p w14:paraId="3A4C64CB" w14:textId="77777777" w:rsidR="00781142" w:rsidRPr="00CE1950" w:rsidRDefault="00781142" w:rsidP="00C407DB">
            <w:pPr>
              <w:widowControl w:val="0"/>
              <w:spacing w:before="60" w:after="60"/>
              <w:rPr>
                <w:rFonts w:cs="Arial"/>
                <w:sz w:val="18"/>
                <w:szCs w:val="18"/>
              </w:rPr>
            </w:pPr>
            <w:r w:rsidRPr="00CE1950">
              <w:rPr>
                <w:rFonts w:cs="Arial"/>
                <w:sz w:val="18"/>
                <w:szCs w:val="18"/>
              </w:rPr>
              <w:t>6.2.3.1, 6.2.3.3 and 6.2.3.4</w:t>
            </w:r>
          </w:p>
        </w:tc>
        <w:tc>
          <w:tcPr>
            <w:tcW w:w="1260" w:type="dxa"/>
            <w:vAlign w:val="center"/>
          </w:tcPr>
          <w:p w14:paraId="1FC39444" w14:textId="77777777" w:rsidR="00781142" w:rsidRPr="00CE1950" w:rsidRDefault="00781142" w:rsidP="00C407DB">
            <w:pPr>
              <w:widowControl w:val="0"/>
              <w:spacing w:before="60" w:after="60"/>
              <w:rPr>
                <w:rFonts w:cs="Arial"/>
                <w:sz w:val="18"/>
                <w:szCs w:val="18"/>
              </w:rPr>
            </w:pPr>
            <w:r w:rsidRPr="00CE1950">
              <w:rPr>
                <w:rFonts w:cs="Arial"/>
                <w:sz w:val="18"/>
                <w:szCs w:val="18"/>
              </w:rPr>
              <w:t>Until further notice</w:t>
            </w:r>
          </w:p>
        </w:tc>
        <w:tc>
          <w:tcPr>
            <w:tcW w:w="450" w:type="dxa"/>
            <w:vAlign w:val="center"/>
          </w:tcPr>
          <w:p w14:paraId="2D1BCA59" w14:textId="77777777" w:rsidR="00781142" w:rsidRPr="00CE1950" w:rsidRDefault="00781142" w:rsidP="00C407DB">
            <w:pPr>
              <w:widowControl w:val="0"/>
              <w:spacing w:before="60" w:after="60"/>
              <w:rPr>
                <w:rFonts w:cs="Arial"/>
                <w:sz w:val="18"/>
                <w:szCs w:val="18"/>
              </w:rPr>
            </w:pPr>
          </w:p>
        </w:tc>
      </w:tr>
    </w:tbl>
    <w:p w14:paraId="5FB38488" w14:textId="77777777" w:rsidR="00033FD0" w:rsidRPr="00884168" w:rsidRDefault="00033FD0" w:rsidP="00033FD0">
      <w:pPr>
        <w:pStyle w:val="SingleTxtG"/>
        <w:rPr>
          <w:i/>
          <w:iCs/>
        </w:rPr>
      </w:pPr>
      <w:r w:rsidRPr="00884168">
        <w:rPr>
          <w:i/>
          <w:iCs/>
        </w:rPr>
        <w:t>(Reference document: Informal document INF.21/Add.1)</w:t>
      </w:r>
    </w:p>
    <w:p w14:paraId="79742D21" w14:textId="54EB32F1" w:rsidR="00781142" w:rsidRDefault="00781142" w:rsidP="00781142">
      <w:pPr>
        <w:pStyle w:val="SingleTxtG"/>
        <w:spacing w:before="120"/>
      </w:pPr>
      <w:r>
        <w:t>6.2.4.2</w:t>
      </w:r>
      <w:r>
        <w:tab/>
      </w:r>
      <w:r w:rsidR="000A4FE0">
        <w:tab/>
      </w:r>
      <w:r>
        <w:t>Amend the table as follows:</w:t>
      </w:r>
    </w:p>
    <w:p w14:paraId="78F450F5" w14:textId="77777777" w:rsidR="00781142" w:rsidRPr="00DB762A" w:rsidRDefault="00781142" w:rsidP="00781142">
      <w:pPr>
        <w:pStyle w:val="Bullet1G"/>
        <w:tabs>
          <w:tab w:val="clear" w:pos="1701"/>
          <w:tab w:val="num" w:pos="2438"/>
        </w:tabs>
        <w:ind w:left="2438"/>
        <w:rPr>
          <w:iCs/>
        </w:rPr>
      </w:pPr>
      <w:r>
        <w:t>F</w:t>
      </w:r>
      <w:r w:rsidRPr="00DB762A">
        <w:t xml:space="preserve">or “EN 1968:2002 +A1:2005 (except annex B)”, in column (3), </w:t>
      </w:r>
      <w:r>
        <w:t>replace the existing text</w:t>
      </w:r>
      <w:r w:rsidRPr="000F04C5">
        <w:t xml:space="preserve"> </w:t>
      </w:r>
      <w:r w:rsidRPr="00DB762A">
        <w:t>with “Until 31 December 2022”.</w:t>
      </w:r>
      <w:r w:rsidRPr="00DB762A">
        <w:rPr>
          <w:iCs/>
        </w:rPr>
        <w:t xml:space="preserve"> </w:t>
      </w:r>
    </w:p>
    <w:p w14:paraId="4FD2BE84" w14:textId="77777777" w:rsidR="00781142" w:rsidRPr="00F95552" w:rsidRDefault="00781142" w:rsidP="00781142">
      <w:pPr>
        <w:pStyle w:val="Bullet1G"/>
        <w:tabs>
          <w:tab w:val="clear" w:pos="1701"/>
          <w:tab w:val="num" w:pos="2438"/>
        </w:tabs>
        <w:ind w:left="2438"/>
      </w:pPr>
      <w:r w:rsidRPr="000F04C5">
        <w:t xml:space="preserve">For “EN 1802:2002 (except annex B)”, in column (3), replace </w:t>
      </w:r>
      <w:r>
        <w:t>the existing text</w:t>
      </w:r>
      <w:r w:rsidRPr="000F04C5">
        <w:t xml:space="preserve"> with “Until 31 December 2022”. </w:t>
      </w:r>
    </w:p>
    <w:p w14:paraId="62E39D00" w14:textId="77777777" w:rsidR="00781142" w:rsidRPr="00DB762A" w:rsidRDefault="00781142" w:rsidP="00781142">
      <w:pPr>
        <w:pStyle w:val="Bullet1G"/>
        <w:tabs>
          <w:tab w:val="clear" w:pos="1701"/>
          <w:tab w:val="num" w:pos="2438"/>
        </w:tabs>
        <w:ind w:left="2438"/>
      </w:pPr>
      <w:r>
        <w:t>After the existing row for “EN 1802:2002 (except annex B), a</w:t>
      </w:r>
      <w:r w:rsidRPr="00DB762A">
        <w:t>dd the following new entry:</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5040"/>
        <w:gridCol w:w="1890"/>
      </w:tblGrid>
      <w:tr w:rsidR="00781142" w:rsidRPr="00CE1950" w14:paraId="76CBBD68" w14:textId="77777777" w:rsidTr="00C407DB">
        <w:trPr>
          <w:trHeight w:val="1015"/>
        </w:trPr>
        <w:tc>
          <w:tcPr>
            <w:tcW w:w="1530" w:type="dxa"/>
            <w:vAlign w:val="center"/>
          </w:tcPr>
          <w:p w14:paraId="510AFB0A" w14:textId="77777777" w:rsidR="00781142" w:rsidRPr="00CE1950" w:rsidRDefault="00781142" w:rsidP="00C407DB">
            <w:pPr>
              <w:widowControl w:val="0"/>
              <w:spacing w:before="40" w:after="40"/>
              <w:jc w:val="center"/>
              <w:rPr>
                <w:bCs/>
                <w:iCs/>
                <w:sz w:val="18"/>
                <w:szCs w:val="18"/>
              </w:rPr>
            </w:pPr>
            <w:r w:rsidRPr="00CE1950">
              <w:rPr>
                <w:bCs/>
                <w:noProof/>
                <w:sz w:val="18"/>
                <w:szCs w:val="18"/>
              </w:rPr>
              <w:t>EN ISO 18119:[2018]</w:t>
            </w:r>
          </w:p>
        </w:tc>
        <w:tc>
          <w:tcPr>
            <w:tcW w:w="5040" w:type="dxa"/>
            <w:vAlign w:val="center"/>
          </w:tcPr>
          <w:p w14:paraId="2D4D9A02" w14:textId="77777777" w:rsidR="00781142" w:rsidRPr="00CE1950" w:rsidRDefault="00781142" w:rsidP="00C407DB">
            <w:pPr>
              <w:widowControl w:val="0"/>
              <w:spacing w:before="40" w:after="40"/>
              <w:rPr>
                <w:bCs/>
                <w:noProof/>
                <w:sz w:val="18"/>
                <w:szCs w:val="18"/>
              </w:rPr>
            </w:pPr>
            <w:r w:rsidRPr="00CE1950">
              <w:rPr>
                <w:bCs/>
                <w:noProof/>
                <w:sz w:val="18"/>
                <w:szCs w:val="18"/>
              </w:rPr>
              <w:t>Gas cylinders - Seamless steel and seamless aluminium-alloy gas cylinders and tubes - Periodic inspection and testing</w:t>
            </w:r>
          </w:p>
          <w:p w14:paraId="1519FD5F" w14:textId="77777777" w:rsidR="00781142" w:rsidRPr="00CE1950" w:rsidRDefault="00781142" w:rsidP="00C407DB">
            <w:pPr>
              <w:widowControl w:val="0"/>
              <w:spacing w:before="40" w:after="40"/>
              <w:rPr>
                <w:bCs/>
                <w:iCs/>
                <w:sz w:val="18"/>
                <w:szCs w:val="18"/>
              </w:rPr>
            </w:pPr>
            <w:r w:rsidRPr="00CE1950">
              <w:rPr>
                <w:b/>
                <w:i/>
                <w:iCs/>
                <w:noProof/>
                <w:sz w:val="18"/>
                <w:szCs w:val="18"/>
              </w:rPr>
              <w:t>NOTE:</w:t>
            </w:r>
            <w:r w:rsidRPr="00CE1950">
              <w:rPr>
                <w:bCs/>
                <w:noProof/>
                <w:sz w:val="18"/>
                <w:szCs w:val="18"/>
              </w:rPr>
              <w:t xml:space="preserve"> </w:t>
            </w:r>
            <w:r w:rsidRPr="00CE1950">
              <w:rPr>
                <w:bCs/>
                <w:i/>
                <w:noProof/>
                <w:sz w:val="18"/>
                <w:szCs w:val="18"/>
              </w:rPr>
              <w:t>Notwithstanding clause B.1 of this standard, all cylinders and tubes whose wall thickness is less than the minimum design wall thickness shall be rejected.</w:t>
            </w:r>
          </w:p>
        </w:tc>
        <w:tc>
          <w:tcPr>
            <w:tcW w:w="1890" w:type="dxa"/>
            <w:vAlign w:val="center"/>
          </w:tcPr>
          <w:p w14:paraId="2119D34C" w14:textId="77777777" w:rsidR="00781142" w:rsidRPr="00CE1950" w:rsidRDefault="00781142" w:rsidP="00C407DB">
            <w:pPr>
              <w:widowControl w:val="0"/>
              <w:spacing w:before="40" w:after="40"/>
              <w:jc w:val="center"/>
              <w:rPr>
                <w:bCs/>
                <w:sz w:val="18"/>
                <w:szCs w:val="18"/>
              </w:rPr>
            </w:pPr>
            <w:r w:rsidRPr="00CE1950">
              <w:rPr>
                <w:bCs/>
                <w:sz w:val="18"/>
                <w:szCs w:val="18"/>
              </w:rPr>
              <w:t>Mandatorily from 1 January 2023</w:t>
            </w:r>
          </w:p>
        </w:tc>
      </w:tr>
    </w:tbl>
    <w:p w14:paraId="012E44D5" w14:textId="77777777" w:rsidR="00781142" w:rsidRPr="00F95552" w:rsidRDefault="00781142" w:rsidP="00781142">
      <w:pPr>
        <w:pStyle w:val="Bullet1G"/>
        <w:tabs>
          <w:tab w:val="clear" w:pos="1701"/>
          <w:tab w:val="num" w:pos="2438"/>
        </w:tabs>
        <w:spacing w:before="240"/>
        <w:ind w:left="2438"/>
      </w:pPr>
      <w:r>
        <w:t>F</w:t>
      </w:r>
      <w:r w:rsidRPr="00DB762A">
        <w:t xml:space="preserve">or “EN 1440:2016 (except annex C)”, in column (3), replace </w:t>
      </w:r>
      <w:r>
        <w:t xml:space="preserve">the existing </w:t>
      </w:r>
      <w:proofErr w:type="gramStart"/>
      <w:r>
        <w:t xml:space="preserve">text </w:t>
      </w:r>
      <w:r w:rsidRPr="00DB762A">
        <w:t xml:space="preserve"> </w:t>
      </w:r>
      <w:r>
        <w:t>with</w:t>
      </w:r>
      <w:proofErr w:type="gramEnd"/>
      <w:r>
        <w:t xml:space="preserve"> “Until 31 December </w:t>
      </w:r>
      <w:r w:rsidRPr="00DB762A">
        <w:t>2021”.</w:t>
      </w:r>
      <w:r w:rsidRPr="00EF30EB">
        <w:t xml:space="preserve"> </w:t>
      </w:r>
    </w:p>
    <w:p w14:paraId="67135134" w14:textId="77777777" w:rsidR="00781142" w:rsidRPr="00DB762A" w:rsidRDefault="00781142" w:rsidP="00781142">
      <w:pPr>
        <w:pStyle w:val="Bullet1G"/>
        <w:tabs>
          <w:tab w:val="clear" w:pos="1701"/>
          <w:tab w:val="num" w:pos="2438"/>
        </w:tabs>
        <w:ind w:left="2438"/>
      </w:pPr>
      <w:r>
        <w:t>After</w:t>
      </w:r>
      <w:r w:rsidRPr="00DB762A">
        <w:t xml:space="preserve"> the </w:t>
      </w:r>
      <w:r>
        <w:t>existing row for “EN 1440:2016 (except annex C)”, add the following new entry:</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5103"/>
        <w:gridCol w:w="1833"/>
      </w:tblGrid>
      <w:tr w:rsidR="00781142" w:rsidRPr="00CE1950" w14:paraId="3493D7A5" w14:textId="77777777" w:rsidTr="00C407DB">
        <w:tc>
          <w:tcPr>
            <w:tcW w:w="1524" w:type="dxa"/>
            <w:vAlign w:val="center"/>
          </w:tcPr>
          <w:p w14:paraId="6B1F3013" w14:textId="77777777" w:rsidR="00781142" w:rsidRPr="00CE1950" w:rsidRDefault="00781142" w:rsidP="00C407DB">
            <w:pPr>
              <w:widowControl w:val="0"/>
              <w:spacing w:before="60" w:after="60"/>
              <w:rPr>
                <w:rFonts w:cs="Arial"/>
                <w:sz w:val="18"/>
                <w:szCs w:val="18"/>
              </w:rPr>
            </w:pPr>
            <w:r w:rsidRPr="00CE1950">
              <w:rPr>
                <w:rFonts w:cs="Arial"/>
                <w:sz w:val="18"/>
                <w:szCs w:val="18"/>
              </w:rPr>
              <w:t xml:space="preserve">EN 1440:2016 + A1:2018 (except </w:t>
            </w:r>
            <w:r w:rsidRPr="00CE1950">
              <w:rPr>
                <w:rFonts w:cs="Arial"/>
                <w:sz w:val="18"/>
                <w:szCs w:val="18"/>
              </w:rPr>
              <w:lastRenderedPageBreak/>
              <w:t>Annex C)</w:t>
            </w:r>
          </w:p>
        </w:tc>
        <w:tc>
          <w:tcPr>
            <w:tcW w:w="5103" w:type="dxa"/>
            <w:vAlign w:val="center"/>
          </w:tcPr>
          <w:p w14:paraId="26843BB2" w14:textId="77777777" w:rsidR="00781142" w:rsidRPr="00CE1950" w:rsidRDefault="00781142" w:rsidP="00C407DB">
            <w:pPr>
              <w:widowControl w:val="0"/>
              <w:spacing w:before="60" w:after="60"/>
              <w:rPr>
                <w:rFonts w:cs="Arial"/>
                <w:sz w:val="18"/>
                <w:szCs w:val="18"/>
              </w:rPr>
            </w:pPr>
            <w:r w:rsidRPr="00CE1950">
              <w:rPr>
                <w:rFonts w:cs="Arial"/>
                <w:sz w:val="18"/>
                <w:szCs w:val="18"/>
              </w:rPr>
              <w:lastRenderedPageBreak/>
              <w:t xml:space="preserve">LPG equipment and accessories – Transportable refillable traditional welded and brazed steel Liquefied Petroleum Gas (LPG) </w:t>
            </w:r>
            <w:r w:rsidRPr="00CE1950">
              <w:rPr>
                <w:rFonts w:cs="Arial"/>
                <w:sz w:val="18"/>
                <w:szCs w:val="18"/>
              </w:rPr>
              <w:lastRenderedPageBreak/>
              <w:t>cylinders – Periodic inspection</w:t>
            </w:r>
          </w:p>
        </w:tc>
        <w:tc>
          <w:tcPr>
            <w:tcW w:w="1833" w:type="dxa"/>
            <w:vAlign w:val="center"/>
          </w:tcPr>
          <w:p w14:paraId="39F2D9A1" w14:textId="77777777" w:rsidR="00781142" w:rsidRPr="00CE1950" w:rsidRDefault="00781142" w:rsidP="00C407DB">
            <w:pPr>
              <w:widowControl w:val="0"/>
              <w:spacing w:before="60" w:after="60"/>
              <w:jc w:val="center"/>
              <w:rPr>
                <w:rFonts w:cs="Arial"/>
                <w:sz w:val="18"/>
                <w:szCs w:val="18"/>
              </w:rPr>
            </w:pPr>
            <w:r w:rsidRPr="00CE1950">
              <w:rPr>
                <w:rFonts w:cs="Arial"/>
                <w:sz w:val="18"/>
                <w:szCs w:val="18"/>
              </w:rPr>
              <w:lastRenderedPageBreak/>
              <w:t>Mandatorily from 1 January 2022</w:t>
            </w:r>
          </w:p>
        </w:tc>
      </w:tr>
    </w:tbl>
    <w:p w14:paraId="26C4ACD6" w14:textId="77777777" w:rsidR="00781142" w:rsidRPr="00A56BB4" w:rsidRDefault="00781142" w:rsidP="00781142">
      <w:pPr>
        <w:pStyle w:val="Bullet1G"/>
        <w:tabs>
          <w:tab w:val="clear" w:pos="1701"/>
          <w:tab w:val="num" w:pos="2438"/>
        </w:tabs>
        <w:spacing w:before="240"/>
        <w:ind w:left="2438"/>
      </w:pPr>
      <w:r>
        <w:t>F</w:t>
      </w:r>
      <w:r w:rsidRPr="00DB762A">
        <w:t>or “EN 16728:2016 (except clause 3.5, Annex F and Annex G)”, in column</w:t>
      </w:r>
      <w:r>
        <w:t> </w:t>
      </w:r>
      <w:r w:rsidRPr="00DB762A">
        <w:t>(3), replace the existing text with “Until 31 December 2021”.</w:t>
      </w:r>
      <w:r w:rsidRPr="00A56BB4">
        <w:t xml:space="preserve"> </w:t>
      </w:r>
    </w:p>
    <w:p w14:paraId="622743B0" w14:textId="77777777" w:rsidR="00781142" w:rsidRPr="00DB762A" w:rsidRDefault="00781142" w:rsidP="00781142">
      <w:pPr>
        <w:pStyle w:val="Bullet1G"/>
        <w:tabs>
          <w:tab w:val="clear" w:pos="1701"/>
          <w:tab w:val="num" w:pos="2438"/>
        </w:tabs>
        <w:spacing w:before="240"/>
        <w:ind w:left="2438"/>
      </w:pPr>
      <w:r>
        <w:t>A</w:t>
      </w:r>
      <w:r w:rsidRPr="00DB762A">
        <w:t xml:space="preserve">fter the </w:t>
      </w:r>
      <w:r>
        <w:t>existing row</w:t>
      </w:r>
      <w:r w:rsidRPr="00DB762A">
        <w:t xml:space="preserve"> for “EN 16728:2016 (excep</w:t>
      </w:r>
      <w:r>
        <w:t>t clause 3.5, Annex F and Annex </w:t>
      </w:r>
      <w:r w:rsidRPr="00DB762A">
        <w:t>G)”</w:t>
      </w:r>
      <w:r>
        <w:t>, a</w:t>
      </w:r>
      <w:r w:rsidRPr="00DB762A">
        <w:t>dd the following new entry:</w:t>
      </w:r>
    </w:p>
    <w:tbl>
      <w:tblPr>
        <w:tblW w:w="8469"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140"/>
        <w:gridCol w:w="2079"/>
      </w:tblGrid>
      <w:tr w:rsidR="00781142" w:rsidRPr="00CE1950" w14:paraId="6B59D897" w14:textId="77777777" w:rsidTr="00C407DB">
        <w:tc>
          <w:tcPr>
            <w:tcW w:w="2250" w:type="dxa"/>
            <w:vAlign w:val="center"/>
          </w:tcPr>
          <w:p w14:paraId="175CAEC0" w14:textId="77777777" w:rsidR="00781142" w:rsidRPr="00CE1950" w:rsidRDefault="00781142" w:rsidP="00C407DB">
            <w:pPr>
              <w:widowControl w:val="0"/>
              <w:spacing w:before="60" w:after="60"/>
              <w:rPr>
                <w:rFonts w:cs="Arial"/>
                <w:sz w:val="18"/>
                <w:szCs w:val="18"/>
              </w:rPr>
            </w:pPr>
            <w:r w:rsidRPr="00CE1950">
              <w:rPr>
                <w:rFonts w:cs="Arial"/>
                <w:sz w:val="18"/>
                <w:szCs w:val="18"/>
              </w:rPr>
              <w:t>EN 16728:2016 + A1:2018</w:t>
            </w:r>
          </w:p>
        </w:tc>
        <w:tc>
          <w:tcPr>
            <w:tcW w:w="4140" w:type="dxa"/>
            <w:vAlign w:val="center"/>
          </w:tcPr>
          <w:p w14:paraId="59A8C03C" w14:textId="77777777" w:rsidR="00781142" w:rsidRPr="00CE1950" w:rsidRDefault="00781142" w:rsidP="00C407DB">
            <w:pPr>
              <w:widowControl w:val="0"/>
              <w:spacing w:before="60" w:after="60"/>
              <w:rPr>
                <w:rFonts w:cs="Arial"/>
                <w:sz w:val="18"/>
                <w:szCs w:val="18"/>
              </w:rPr>
            </w:pPr>
            <w:r w:rsidRPr="00CE1950">
              <w:rPr>
                <w:rFonts w:cs="Arial"/>
                <w:sz w:val="18"/>
                <w:szCs w:val="18"/>
              </w:rPr>
              <w:t>LPG equipment and accessories – Transportable refillable LPG cylinders other than traditional welded and brazed steel cylinders – Periodic inspection</w:t>
            </w:r>
          </w:p>
        </w:tc>
        <w:tc>
          <w:tcPr>
            <w:tcW w:w="2079" w:type="dxa"/>
            <w:vAlign w:val="center"/>
          </w:tcPr>
          <w:p w14:paraId="39E39863" w14:textId="77777777" w:rsidR="00781142" w:rsidRPr="00CE1950" w:rsidRDefault="00781142" w:rsidP="00C407DB">
            <w:pPr>
              <w:widowControl w:val="0"/>
              <w:spacing w:before="60" w:after="60"/>
              <w:jc w:val="center"/>
              <w:rPr>
                <w:rFonts w:cs="Arial"/>
                <w:sz w:val="18"/>
                <w:szCs w:val="18"/>
              </w:rPr>
            </w:pPr>
            <w:r w:rsidRPr="00CE1950">
              <w:rPr>
                <w:rFonts w:cs="Arial"/>
                <w:sz w:val="18"/>
                <w:szCs w:val="18"/>
              </w:rPr>
              <w:t>Mandatorily from 1 January 2022</w:t>
            </w:r>
          </w:p>
        </w:tc>
      </w:tr>
    </w:tbl>
    <w:p w14:paraId="695712BB" w14:textId="77777777" w:rsidR="00033FD0" w:rsidRPr="00884168" w:rsidRDefault="00033FD0" w:rsidP="00033FD0">
      <w:pPr>
        <w:pStyle w:val="SingleTxtG"/>
        <w:rPr>
          <w:i/>
          <w:iCs/>
        </w:rPr>
      </w:pPr>
      <w:r>
        <w:tab/>
      </w:r>
      <w:r>
        <w:tab/>
      </w:r>
      <w:r w:rsidRPr="00884168">
        <w:rPr>
          <w:i/>
          <w:iCs/>
        </w:rPr>
        <w:t>(Reference document: Informal document INF.21/Add.1)</w:t>
      </w:r>
    </w:p>
    <w:p w14:paraId="0F0F865E" w14:textId="74B834AA" w:rsidR="00781142" w:rsidRPr="00A26DCE" w:rsidRDefault="00033FD0" w:rsidP="00033FD0">
      <w:pPr>
        <w:pStyle w:val="H23G"/>
      </w:pPr>
      <w:r>
        <w:tab/>
      </w:r>
      <w:r>
        <w:tab/>
      </w:r>
      <w:r w:rsidR="00781142" w:rsidRPr="00A26DCE">
        <w:t>Chapter 6.8</w:t>
      </w:r>
    </w:p>
    <w:p w14:paraId="61A28BC7" w14:textId="77777777" w:rsidR="00781142" w:rsidRPr="00A26DCE" w:rsidRDefault="00781142" w:rsidP="00781142">
      <w:pPr>
        <w:pStyle w:val="SingleTxtG"/>
      </w:pPr>
      <w:r w:rsidRPr="00A26DCE">
        <w:t>[6.8.2.1.18</w:t>
      </w:r>
      <w:r w:rsidRPr="00A26DCE">
        <w:tab/>
        <w:t>Add the following sentence at the end of footnote 3:</w:t>
      </w:r>
    </w:p>
    <w:p w14:paraId="33D94402" w14:textId="77777777" w:rsidR="00781142" w:rsidRPr="00A26DCE" w:rsidRDefault="00781142" w:rsidP="00781142">
      <w:pPr>
        <w:pStyle w:val="SingleTxtG"/>
      </w:pPr>
      <w:r w:rsidRPr="00A26DCE">
        <w:t>"</w:t>
      </w:r>
      <w:proofErr w:type="gramStart"/>
      <w:r w:rsidRPr="00A26DCE">
        <w:t>However</w:t>
      </w:r>
      <w:proofErr w:type="gramEnd"/>
      <w:r w:rsidRPr="00A26DCE">
        <w:t xml:space="preserve"> the cross section of shells according to 6.8.2.1.14 (a) may contain recesses or protrusions such as sumps, cut-outs or recessed manhole constructions. They may be constructed of flat or shaped (concave or convex) sheet metal. Dents and other unintended deformations shall not be regarded as recesses or protrusions."]</w:t>
      </w:r>
    </w:p>
    <w:p w14:paraId="3112DE17" w14:textId="77777777" w:rsidR="00781142" w:rsidRPr="00A26DCE" w:rsidRDefault="00781142" w:rsidP="00781142">
      <w:pPr>
        <w:pStyle w:val="SingleTxtG"/>
        <w:rPr>
          <w:i/>
          <w:iCs/>
        </w:rPr>
      </w:pPr>
      <w:r w:rsidRPr="00A26DCE">
        <w:rPr>
          <w:i/>
          <w:iCs/>
        </w:rPr>
        <w:t>(Reference document: ECE/TRANS/WP.15/AC.1/150, Annex IV, as amended)</w:t>
      </w:r>
    </w:p>
    <w:p w14:paraId="02CEE66F" w14:textId="77777777" w:rsidR="00781142" w:rsidRDefault="00781142" w:rsidP="00781142">
      <w:pPr>
        <w:pStyle w:val="SingleTxtG"/>
        <w:spacing w:before="120"/>
      </w:pPr>
      <w:r w:rsidRPr="00DB762A">
        <w:t>6.8.2.6.1</w:t>
      </w:r>
      <w:r w:rsidRPr="00DB762A">
        <w:tab/>
      </w:r>
      <w:r>
        <w:t>Amend the table as follows:</w:t>
      </w:r>
    </w:p>
    <w:p w14:paraId="566ADA5C" w14:textId="77777777" w:rsidR="00781142" w:rsidRDefault="00781142" w:rsidP="00781142">
      <w:pPr>
        <w:pStyle w:val="SingleTxtG"/>
        <w:spacing w:before="120"/>
        <w:ind w:firstLine="567"/>
      </w:pPr>
      <w:r>
        <w:t>(a)</w:t>
      </w:r>
      <w:r>
        <w:tab/>
        <w:t>Under “</w:t>
      </w:r>
      <w:r w:rsidRPr="00D063CE">
        <w:rPr>
          <w:b/>
          <w:bCs/>
        </w:rPr>
        <w:t>for design and construction of tanks</w:t>
      </w:r>
      <w:r>
        <w:t>”:</w:t>
      </w:r>
    </w:p>
    <w:p w14:paraId="5C47DCF0" w14:textId="77777777" w:rsidR="00781142" w:rsidRPr="00A56BB4" w:rsidRDefault="00781142" w:rsidP="00781142">
      <w:pPr>
        <w:pStyle w:val="Bullet1G"/>
        <w:tabs>
          <w:tab w:val="clear" w:pos="1701"/>
          <w:tab w:val="num" w:pos="2438"/>
        </w:tabs>
        <w:ind w:left="2438"/>
      </w:pPr>
      <w:r>
        <w:t>F</w:t>
      </w:r>
      <w:r w:rsidRPr="00DB762A">
        <w:t>or “EN 14025:2013+A1:2016</w:t>
      </w:r>
      <w:r>
        <w:t xml:space="preserve"> (except Annex B)</w:t>
      </w:r>
      <w:r w:rsidRPr="00DB762A">
        <w:t xml:space="preserve">”, in column (4), replace </w:t>
      </w:r>
      <w:r>
        <w:t>the existing text</w:t>
      </w:r>
      <w:r w:rsidRPr="00DB762A">
        <w:t xml:space="preserve"> with “Between 1 January 2017 and 31 December 2021”.</w:t>
      </w:r>
      <w:r w:rsidRPr="00A56BB4">
        <w:t xml:space="preserve"> </w:t>
      </w:r>
    </w:p>
    <w:p w14:paraId="4BF3C8CA" w14:textId="77777777" w:rsidR="00781142" w:rsidRPr="00DB762A" w:rsidRDefault="00781142" w:rsidP="00781142">
      <w:pPr>
        <w:pStyle w:val="Bullet1G"/>
        <w:tabs>
          <w:tab w:val="clear" w:pos="1701"/>
          <w:tab w:val="num" w:pos="2438"/>
        </w:tabs>
        <w:ind w:left="2438"/>
      </w:pPr>
      <w:r>
        <w:t>A</w:t>
      </w:r>
      <w:r w:rsidRPr="00DB762A">
        <w:t xml:space="preserve">fter the </w:t>
      </w:r>
      <w:r>
        <w:t>existing row</w:t>
      </w:r>
      <w:r w:rsidRPr="00DB762A">
        <w:t xml:space="preserve"> for </w:t>
      </w:r>
      <w:r>
        <w:t>“EN 14025:2013</w:t>
      </w:r>
      <w:r w:rsidRPr="00DB762A">
        <w:t>+A1:2016</w:t>
      </w:r>
      <w:r>
        <w:t xml:space="preserve"> (except Annex B)</w:t>
      </w:r>
      <w:r w:rsidRPr="00DB762A">
        <w:t>”</w:t>
      </w:r>
      <w:r>
        <w:t>, add</w:t>
      </w:r>
      <w:r w:rsidRPr="00DB762A">
        <w:t xml:space="preserve"> the following new entries</w:t>
      </w:r>
      <w:r>
        <w:t>:</w:t>
      </w:r>
    </w:p>
    <w:tbl>
      <w:tblPr>
        <w:tblW w:w="810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140"/>
        <w:gridCol w:w="720"/>
        <w:gridCol w:w="1530"/>
        <w:gridCol w:w="270"/>
      </w:tblGrid>
      <w:tr w:rsidR="00781142" w:rsidRPr="00CE1950" w14:paraId="7760E4E7" w14:textId="77777777" w:rsidTr="00C407DB">
        <w:tc>
          <w:tcPr>
            <w:tcW w:w="1440" w:type="dxa"/>
            <w:vAlign w:val="center"/>
          </w:tcPr>
          <w:p w14:paraId="626AD2E9" w14:textId="77777777" w:rsidR="00781142" w:rsidRPr="00CE1950" w:rsidRDefault="00781142" w:rsidP="00C407DB">
            <w:pPr>
              <w:widowControl w:val="0"/>
              <w:spacing w:before="40" w:after="40"/>
              <w:rPr>
                <w:rFonts w:cs="Arial"/>
                <w:sz w:val="18"/>
                <w:szCs w:val="18"/>
              </w:rPr>
            </w:pPr>
            <w:r w:rsidRPr="00CE1950">
              <w:rPr>
                <w:rFonts w:cs="Arial"/>
                <w:iCs/>
                <w:sz w:val="18"/>
                <w:szCs w:val="18"/>
              </w:rPr>
              <w:t>EN </w:t>
            </w:r>
            <w:r w:rsidRPr="00CE1950">
              <w:rPr>
                <w:rFonts w:cs="Arial"/>
                <w:sz w:val="18"/>
                <w:szCs w:val="18"/>
              </w:rPr>
              <w:t>14025:2018</w:t>
            </w:r>
          </w:p>
        </w:tc>
        <w:tc>
          <w:tcPr>
            <w:tcW w:w="4140" w:type="dxa"/>
            <w:vAlign w:val="center"/>
          </w:tcPr>
          <w:p w14:paraId="372A1334" w14:textId="77777777" w:rsidR="00781142" w:rsidRPr="00CE1950" w:rsidRDefault="00781142" w:rsidP="00C407DB">
            <w:pPr>
              <w:widowControl w:val="0"/>
              <w:spacing w:before="40" w:after="40"/>
              <w:rPr>
                <w:rFonts w:cs="Arial"/>
                <w:sz w:val="18"/>
                <w:szCs w:val="18"/>
              </w:rPr>
            </w:pPr>
            <w:r w:rsidRPr="00CE1950">
              <w:rPr>
                <w:rFonts w:cs="Arial"/>
                <w:sz w:val="18"/>
                <w:szCs w:val="18"/>
              </w:rPr>
              <w:t>Tanks for the transport of dangerous goods – Metallic pressure tanks – Design and construction</w:t>
            </w:r>
          </w:p>
          <w:p w14:paraId="642F9492" w14:textId="77777777" w:rsidR="00781142" w:rsidRPr="00CE1950" w:rsidRDefault="00781142" w:rsidP="00C407DB">
            <w:pPr>
              <w:widowControl w:val="0"/>
              <w:spacing w:before="40" w:after="40"/>
              <w:rPr>
                <w:rFonts w:cs="Arial"/>
                <w:i/>
                <w:sz w:val="18"/>
                <w:szCs w:val="18"/>
              </w:rPr>
            </w:pPr>
            <w:r w:rsidRPr="00CE1950">
              <w:rPr>
                <w:rFonts w:cs="Arial"/>
                <w:b/>
                <w:bCs/>
                <w:i/>
                <w:sz w:val="18"/>
                <w:szCs w:val="18"/>
              </w:rPr>
              <w:t>NOTE:</w:t>
            </w:r>
            <w:r w:rsidRPr="00CE1950">
              <w:rPr>
                <w:rFonts w:cs="Arial"/>
                <w:i/>
                <w:sz w:val="18"/>
                <w:szCs w:val="18"/>
              </w:rPr>
              <w:t xml:space="preserve"> Materials of shells shall at least be attested by a type 3.1 certificate issued in accordance with standard EN 10204.</w:t>
            </w:r>
          </w:p>
        </w:tc>
        <w:tc>
          <w:tcPr>
            <w:tcW w:w="720" w:type="dxa"/>
            <w:vAlign w:val="center"/>
          </w:tcPr>
          <w:p w14:paraId="10638759" w14:textId="77777777" w:rsidR="00781142" w:rsidRPr="00CE1950" w:rsidRDefault="00781142" w:rsidP="00C407DB">
            <w:pPr>
              <w:widowControl w:val="0"/>
              <w:spacing w:before="40" w:after="40"/>
              <w:rPr>
                <w:rFonts w:cs="Arial"/>
                <w:sz w:val="18"/>
                <w:szCs w:val="18"/>
              </w:rPr>
            </w:pPr>
            <w:r w:rsidRPr="00CE1950">
              <w:rPr>
                <w:rFonts w:cs="Arial"/>
                <w:sz w:val="18"/>
                <w:szCs w:val="18"/>
              </w:rPr>
              <w:t>6.8.2.1 and 6.8.3.1</w:t>
            </w:r>
          </w:p>
        </w:tc>
        <w:tc>
          <w:tcPr>
            <w:tcW w:w="1530" w:type="dxa"/>
            <w:vAlign w:val="center"/>
          </w:tcPr>
          <w:p w14:paraId="554C20CC" w14:textId="77777777" w:rsidR="00781142" w:rsidRPr="00CE1950" w:rsidRDefault="00781142" w:rsidP="00C407DB">
            <w:pPr>
              <w:widowControl w:val="0"/>
              <w:spacing w:before="40" w:after="40"/>
              <w:jc w:val="center"/>
              <w:rPr>
                <w:rFonts w:cs="Arial"/>
                <w:sz w:val="18"/>
                <w:szCs w:val="18"/>
              </w:rPr>
            </w:pPr>
            <w:r w:rsidRPr="00CE1950">
              <w:rPr>
                <w:rFonts w:cs="Arial"/>
                <w:sz w:val="18"/>
                <w:szCs w:val="18"/>
              </w:rPr>
              <w:t>Until further notice</w:t>
            </w:r>
          </w:p>
        </w:tc>
        <w:tc>
          <w:tcPr>
            <w:tcW w:w="270" w:type="dxa"/>
            <w:vAlign w:val="center"/>
          </w:tcPr>
          <w:p w14:paraId="6493062D" w14:textId="77777777" w:rsidR="00781142" w:rsidRPr="00CE1950" w:rsidRDefault="00781142" w:rsidP="00C407DB">
            <w:pPr>
              <w:widowControl w:val="0"/>
              <w:spacing w:before="40" w:after="40"/>
              <w:rPr>
                <w:rFonts w:cs="Arial"/>
                <w:sz w:val="18"/>
                <w:szCs w:val="18"/>
              </w:rPr>
            </w:pPr>
          </w:p>
        </w:tc>
      </w:tr>
      <w:tr w:rsidR="00781142" w:rsidRPr="00CE1950" w14:paraId="2805F60C" w14:textId="77777777" w:rsidTr="00C407DB">
        <w:tc>
          <w:tcPr>
            <w:tcW w:w="1440" w:type="dxa"/>
            <w:vAlign w:val="center"/>
          </w:tcPr>
          <w:p w14:paraId="5B3A7C16" w14:textId="77777777" w:rsidR="00781142" w:rsidRPr="00CE1950" w:rsidRDefault="00781142" w:rsidP="00C407DB">
            <w:pPr>
              <w:widowControl w:val="0"/>
              <w:spacing w:before="60" w:after="60"/>
              <w:rPr>
                <w:rFonts w:cs="Arial"/>
                <w:sz w:val="18"/>
                <w:szCs w:val="18"/>
              </w:rPr>
            </w:pPr>
            <w:r w:rsidRPr="00CE1950">
              <w:rPr>
                <w:rFonts w:cs="Arial"/>
                <w:sz w:val="18"/>
                <w:szCs w:val="18"/>
              </w:rPr>
              <w:t>EN 12972:2018</w:t>
            </w:r>
          </w:p>
        </w:tc>
        <w:tc>
          <w:tcPr>
            <w:tcW w:w="4140" w:type="dxa"/>
            <w:vAlign w:val="center"/>
          </w:tcPr>
          <w:p w14:paraId="6DB72FBB" w14:textId="77777777" w:rsidR="00781142" w:rsidRPr="00CE1950" w:rsidRDefault="00781142" w:rsidP="00C407DB">
            <w:pPr>
              <w:widowControl w:val="0"/>
              <w:spacing w:before="60" w:after="60"/>
              <w:rPr>
                <w:rFonts w:cs="Arial"/>
                <w:sz w:val="18"/>
                <w:szCs w:val="18"/>
              </w:rPr>
            </w:pPr>
            <w:r w:rsidRPr="00CE1950">
              <w:rPr>
                <w:rFonts w:cs="Arial"/>
                <w:sz w:val="18"/>
                <w:szCs w:val="18"/>
              </w:rPr>
              <w:t>Tanks for transport of dangerous goods – Testing, inspection and marking of metallic tanks</w:t>
            </w:r>
          </w:p>
        </w:tc>
        <w:tc>
          <w:tcPr>
            <w:tcW w:w="720" w:type="dxa"/>
            <w:vAlign w:val="center"/>
          </w:tcPr>
          <w:p w14:paraId="27AF0DAC" w14:textId="77777777" w:rsidR="00781142" w:rsidRPr="00CE1950" w:rsidRDefault="00781142" w:rsidP="00C407DB">
            <w:pPr>
              <w:widowControl w:val="0"/>
              <w:spacing w:before="60" w:after="60"/>
              <w:rPr>
                <w:rFonts w:cs="Arial"/>
                <w:sz w:val="18"/>
                <w:szCs w:val="18"/>
              </w:rPr>
            </w:pPr>
            <w:r w:rsidRPr="00CE1950">
              <w:rPr>
                <w:rFonts w:cs="Arial"/>
                <w:sz w:val="18"/>
                <w:szCs w:val="18"/>
              </w:rPr>
              <w:t>6.8.2.3</w:t>
            </w:r>
          </w:p>
        </w:tc>
        <w:tc>
          <w:tcPr>
            <w:tcW w:w="1530" w:type="dxa"/>
            <w:vAlign w:val="center"/>
          </w:tcPr>
          <w:p w14:paraId="01AC5954" w14:textId="77777777" w:rsidR="00781142" w:rsidRPr="00CE1950" w:rsidRDefault="00781142" w:rsidP="00C407DB">
            <w:pPr>
              <w:widowControl w:val="0"/>
              <w:spacing w:before="60" w:after="60"/>
              <w:rPr>
                <w:rFonts w:cs="Arial"/>
                <w:sz w:val="18"/>
                <w:szCs w:val="18"/>
              </w:rPr>
            </w:pPr>
            <w:r w:rsidRPr="00CE1950">
              <w:rPr>
                <w:rFonts w:cs="Arial"/>
                <w:sz w:val="18"/>
                <w:szCs w:val="18"/>
              </w:rPr>
              <w:t>Mandatorily from 1 January 2022</w:t>
            </w:r>
          </w:p>
        </w:tc>
        <w:tc>
          <w:tcPr>
            <w:tcW w:w="270" w:type="dxa"/>
            <w:vAlign w:val="center"/>
          </w:tcPr>
          <w:p w14:paraId="4BEB96D3" w14:textId="77777777" w:rsidR="00781142" w:rsidRPr="00CE1950" w:rsidRDefault="00781142" w:rsidP="00C407DB">
            <w:pPr>
              <w:widowControl w:val="0"/>
              <w:spacing w:before="60" w:after="60"/>
              <w:rPr>
                <w:rFonts w:cs="Arial"/>
                <w:sz w:val="18"/>
                <w:szCs w:val="18"/>
              </w:rPr>
            </w:pPr>
          </w:p>
        </w:tc>
      </w:tr>
    </w:tbl>
    <w:p w14:paraId="07BCE93A" w14:textId="77777777" w:rsidR="00781142" w:rsidRPr="00E15B59" w:rsidRDefault="00781142" w:rsidP="00781142">
      <w:pPr>
        <w:pStyle w:val="Bullet1G"/>
        <w:tabs>
          <w:tab w:val="clear" w:pos="1701"/>
          <w:tab w:val="num" w:pos="2438"/>
        </w:tabs>
        <w:spacing w:before="240"/>
        <w:ind w:left="2438"/>
      </w:pPr>
      <w:r>
        <w:t>F</w:t>
      </w:r>
      <w:r w:rsidRPr="00DB762A">
        <w:t>or “EN 12493:2013+A1:2014+AC</w:t>
      </w:r>
      <w:r>
        <w:t>:</w:t>
      </w:r>
      <w:r w:rsidRPr="00DB762A">
        <w:t>2015 (except Annex C)”, in column (4)</w:t>
      </w:r>
      <w:r>
        <w:t>,</w:t>
      </w:r>
      <w:r w:rsidRPr="00DB762A">
        <w:t xml:space="preserve"> </w:t>
      </w:r>
      <w:r>
        <w:t>replace the existing text</w:t>
      </w:r>
      <w:r w:rsidRPr="00DB762A">
        <w:t xml:space="preserve"> with “Between 1 January 2017 and 31 December 2022”.</w:t>
      </w:r>
      <w:r w:rsidRPr="00E15B59">
        <w:t xml:space="preserve"> </w:t>
      </w:r>
    </w:p>
    <w:p w14:paraId="754C18C1" w14:textId="77777777" w:rsidR="00781142" w:rsidRPr="00DB762A" w:rsidRDefault="00781142" w:rsidP="00781142">
      <w:pPr>
        <w:pStyle w:val="Bullet1G"/>
        <w:tabs>
          <w:tab w:val="clear" w:pos="1701"/>
          <w:tab w:val="num" w:pos="2438"/>
        </w:tabs>
        <w:spacing w:before="240"/>
        <w:ind w:left="2438"/>
      </w:pPr>
      <w:r>
        <w:t>A</w:t>
      </w:r>
      <w:r w:rsidRPr="00DB762A">
        <w:t xml:space="preserve">fter the </w:t>
      </w:r>
      <w:r>
        <w:t>existing row</w:t>
      </w:r>
      <w:r w:rsidRPr="00DB762A">
        <w:t xml:space="preserve"> for “EN</w:t>
      </w:r>
      <w:r>
        <w:t> </w:t>
      </w:r>
      <w:r w:rsidRPr="00DB762A">
        <w:t>12493:2013+A1:2014+AC</w:t>
      </w:r>
      <w:r>
        <w:t>:</w:t>
      </w:r>
      <w:r w:rsidRPr="00DB762A">
        <w:t>2015</w:t>
      </w:r>
      <w:r>
        <w:t xml:space="preserve"> (except annex </w:t>
      </w:r>
      <w:r w:rsidRPr="00DB762A">
        <w:t>C)”</w:t>
      </w:r>
      <w:r>
        <w:t>, a</w:t>
      </w:r>
      <w:r w:rsidRPr="00DB762A">
        <w:t>dd the following new entry:</w:t>
      </w:r>
    </w:p>
    <w:tbl>
      <w:tblPr>
        <w:tblW w:w="783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022"/>
        <w:gridCol w:w="1701"/>
        <w:gridCol w:w="1217"/>
        <w:gridCol w:w="270"/>
      </w:tblGrid>
      <w:tr w:rsidR="00781142" w:rsidRPr="00CE1950" w14:paraId="6D55DE95" w14:textId="77777777" w:rsidTr="00C407DB">
        <w:tc>
          <w:tcPr>
            <w:tcW w:w="1620" w:type="dxa"/>
            <w:vAlign w:val="center"/>
          </w:tcPr>
          <w:p w14:paraId="035E9748" w14:textId="77777777" w:rsidR="00781142" w:rsidRPr="00CE1950" w:rsidRDefault="00781142" w:rsidP="00C407DB">
            <w:pPr>
              <w:widowControl w:val="0"/>
              <w:spacing w:before="40" w:after="40"/>
              <w:rPr>
                <w:bCs/>
                <w:iCs/>
                <w:sz w:val="18"/>
                <w:szCs w:val="18"/>
              </w:rPr>
            </w:pPr>
            <w:r w:rsidRPr="00CE1950">
              <w:rPr>
                <w:bCs/>
                <w:iCs/>
                <w:sz w:val="18"/>
                <w:szCs w:val="18"/>
              </w:rPr>
              <w:t>EN 12493:2013+ A2:2018 (except Annex C)</w:t>
            </w:r>
          </w:p>
        </w:tc>
        <w:tc>
          <w:tcPr>
            <w:tcW w:w="3022" w:type="dxa"/>
            <w:vAlign w:val="center"/>
          </w:tcPr>
          <w:p w14:paraId="5EDE5FAC" w14:textId="77777777" w:rsidR="00781142" w:rsidRPr="00CE1950" w:rsidRDefault="00781142" w:rsidP="00C407DB">
            <w:pPr>
              <w:widowControl w:val="0"/>
              <w:spacing w:before="40" w:after="40"/>
              <w:rPr>
                <w:bCs/>
                <w:iCs/>
                <w:sz w:val="18"/>
                <w:szCs w:val="18"/>
              </w:rPr>
            </w:pPr>
            <w:r w:rsidRPr="00CE1950">
              <w:rPr>
                <w:bCs/>
                <w:iCs/>
                <w:sz w:val="18"/>
                <w:szCs w:val="18"/>
              </w:rPr>
              <w:t>LPG equipment and accessories - Welded steel pressure vessels for LPG road tankers - Design and manufacture</w:t>
            </w:r>
          </w:p>
        </w:tc>
        <w:tc>
          <w:tcPr>
            <w:tcW w:w="1701" w:type="dxa"/>
            <w:vAlign w:val="center"/>
          </w:tcPr>
          <w:p w14:paraId="1409445F" w14:textId="77777777" w:rsidR="00781142" w:rsidRPr="00CE1950" w:rsidRDefault="00781142" w:rsidP="00C407DB">
            <w:pPr>
              <w:widowControl w:val="0"/>
              <w:spacing w:before="40" w:after="40"/>
              <w:rPr>
                <w:bCs/>
                <w:sz w:val="18"/>
                <w:szCs w:val="18"/>
              </w:rPr>
            </w:pPr>
            <w:r w:rsidRPr="00CE1950">
              <w:rPr>
                <w:bCs/>
                <w:sz w:val="18"/>
                <w:szCs w:val="18"/>
              </w:rPr>
              <w:t>6.8.2.1, 6.8.2.5</w:t>
            </w:r>
          </w:p>
          <w:p w14:paraId="42909FCB" w14:textId="77777777" w:rsidR="00781142" w:rsidRPr="00CE1950" w:rsidRDefault="00781142" w:rsidP="00C407DB">
            <w:pPr>
              <w:widowControl w:val="0"/>
              <w:spacing w:before="40" w:after="40"/>
              <w:rPr>
                <w:bCs/>
                <w:sz w:val="18"/>
                <w:szCs w:val="18"/>
              </w:rPr>
            </w:pPr>
            <w:r w:rsidRPr="00CE1950">
              <w:rPr>
                <w:bCs/>
                <w:sz w:val="18"/>
                <w:szCs w:val="18"/>
              </w:rPr>
              <w:t>6.8.3.1, 6.8.3.5</w:t>
            </w:r>
          </w:p>
          <w:p w14:paraId="414EF9D3" w14:textId="77777777" w:rsidR="00781142" w:rsidRPr="00CE1950" w:rsidRDefault="00781142" w:rsidP="00C407DB">
            <w:pPr>
              <w:widowControl w:val="0"/>
              <w:spacing w:before="40" w:after="40"/>
              <w:rPr>
                <w:bCs/>
                <w:sz w:val="18"/>
                <w:szCs w:val="18"/>
              </w:rPr>
            </w:pPr>
            <w:r w:rsidRPr="00CE1950">
              <w:rPr>
                <w:bCs/>
                <w:sz w:val="18"/>
                <w:szCs w:val="18"/>
              </w:rPr>
              <w:t>6.8.5.1 to 6.8.5.3</w:t>
            </w:r>
          </w:p>
        </w:tc>
        <w:tc>
          <w:tcPr>
            <w:tcW w:w="1217" w:type="dxa"/>
            <w:vAlign w:val="center"/>
          </w:tcPr>
          <w:p w14:paraId="0DD2EDA5" w14:textId="77777777" w:rsidR="00781142" w:rsidRPr="00CE1950" w:rsidRDefault="00781142" w:rsidP="00C407DB">
            <w:pPr>
              <w:widowControl w:val="0"/>
              <w:spacing w:before="40" w:after="40"/>
              <w:jc w:val="center"/>
              <w:rPr>
                <w:bCs/>
                <w:sz w:val="18"/>
                <w:szCs w:val="18"/>
              </w:rPr>
            </w:pPr>
            <w:r w:rsidRPr="00CE1950">
              <w:rPr>
                <w:bCs/>
                <w:sz w:val="18"/>
                <w:szCs w:val="18"/>
              </w:rPr>
              <w:t>Until further notice</w:t>
            </w:r>
          </w:p>
        </w:tc>
        <w:tc>
          <w:tcPr>
            <w:tcW w:w="270" w:type="dxa"/>
          </w:tcPr>
          <w:p w14:paraId="6FF38C2F" w14:textId="77777777" w:rsidR="00781142" w:rsidRPr="00CE1950" w:rsidRDefault="00781142" w:rsidP="00C407DB">
            <w:pPr>
              <w:widowControl w:val="0"/>
              <w:spacing w:before="40" w:after="40"/>
              <w:jc w:val="center"/>
              <w:rPr>
                <w:bCs/>
                <w:sz w:val="18"/>
                <w:szCs w:val="18"/>
              </w:rPr>
            </w:pPr>
          </w:p>
        </w:tc>
      </w:tr>
    </w:tbl>
    <w:p w14:paraId="78C42A39" w14:textId="77777777" w:rsidR="00781142" w:rsidRDefault="00781142" w:rsidP="00781142">
      <w:pPr>
        <w:pStyle w:val="SingleTxtG"/>
        <w:spacing w:before="120"/>
        <w:ind w:firstLine="567"/>
      </w:pPr>
      <w:r>
        <w:t>(b)</w:t>
      </w:r>
      <w:r>
        <w:tab/>
        <w:t>Under “</w:t>
      </w:r>
      <w:r w:rsidRPr="0003533A">
        <w:rPr>
          <w:b/>
          <w:bCs/>
        </w:rPr>
        <w:t>F</w:t>
      </w:r>
      <w:r w:rsidRPr="00035E6A">
        <w:rPr>
          <w:b/>
          <w:bCs/>
        </w:rPr>
        <w:t xml:space="preserve">or </w:t>
      </w:r>
      <w:r>
        <w:rPr>
          <w:b/>
          <w:bCs/>
        </w:rPr>
        <w:t>equipment</w:t>
      </w:r>
      <w:r>
        <w:t xml:space="preserve">”: </w:t>
      </w:r>
    </w:p>
    <w:p w14:paraId="1894D3F5" w14:textId="77777777" w:rsidR="00781142" w:rsidRPr="00DC5FF6" w:rsidRDefault="00781142" w:rsidP="00781142">
      <w:pPr>
        <w:pStyle w:val="Bullet1G"/>
        <w:tabs>
          <w:tab w:val="clear" w:pos="1701"/>
          <w:tab w:val="num" w:pos="2438"/>
        </w:tabs>
        <w:spacing w:before="240"/>
        <w:ind w:left="2438"/>
      </w:pPr>
      <w:r w:rsidRPr="00920269">
        <w:lastRenderedPageBreak/>
        <w:t xml:space="preserve">For “EN 13317:2002+A1:2006”, in column (4), replace the existing text with “Between 1 January 2009 and 31 December 2021”. </w:t>
      </w:r>
    </w:p>
    <w:p w14:paraId="20940C3D" w14:textId="77777777" w:rsidR="00781142" w:rsidRPr="00DB762A" w:rsidRDefault="00781142" w:rsidP="00781142">
      <w:pPr>
        <w:pStyle w:val="Bullet1G"/>
        <w:tabs>
          <w:tab w:val="clear" w:pos="1701"/>
          <w:tab w:val="num" w:pos="2438"/>
        </w:tabs>
        <w:spacing w:before="240"/>
        <w:ind w:left="2438"/>
      </w:pPr>
      <w:r>
        <w:t xml:space="preserve">After the existing row </w:t>
      </w:r>
      <w:r w:rsidRPr="00DB762A">
        <w:t>for “EN 13317:2002+A1:2006”</w:t>
      </w:r>
      <w:r>
        <w:t xml:space="preserve"> add the following new entry</w:t>
      </w:r>
      <w:r w:rsidRPr="00DB762A">
        <w:t>:</w:t>
      </w:r>
    </w:p>
    <w:tbl>
      <w:tblPr>
        <w:tblW w:w="7920" w:type="dxa"/>
        <w:tblInd w:w="1167"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260"/>
        <w:gridCol w:w="3930"/>
        <w:gridCol w:w="900"/>
        <w:gridCol w:w="1620"/>
        <w:gridCol w:w="210"/>
      </w:tblGrid>
      <w:tr w:rsidR="00781142" w:rsidRPr="00CE1950" w14:paraId="19BA0265" w14:textId="77777777" w:rsidTr="00C407DB">
        <w:trPr>
          <w:trHeight w:val="517"/>
        </w:trPr>
        <w:tc>
          <w:tcPr>
            <w:tcW w:w="1260" w:type="dxa"/>
            <w:tcBorders>
              <w:top w:val="single" w:sz="4" w:space="0" w:color="auto"/>
            </w:tcBorders>
            <w:vAlign w:val="center"/>
          </w:tcPr>
          <w:p w14:paraId="6AA63668" w14:textId="77777777" w:rsidR="00781142" w:rsidRPr="00CE1950" w:rsidRDefault="00781142" w:rsidP="00C407DB">
            <w:pPr>
              <w:widowControl w:val="0"/>
              <w:rPr>
                <w:rFonts w:cs="Arial"/>
                <w:sz w:val="18"/>
                <w:szCs w:val="18"/>
              </w:rPr>
            </w:pPr>
            <w:r w:rsidRPr="00CE1950">
              <w:rPr>
                <w:rFonts w:cs="Arial"/>
                <w:sz w:val="18"/>
                <w:szCs w:val="18"/>
              </w:rPr>
              <w:t>EN 13317:2018</w:t>
            </w:r>
          </w:p>
        </w:tc>
        <w:tc>
          <w:tcPr>
            <w:tcW w:w="3930" w:type="dxa"/>
            <w:tcBorders>
              <w:top w:val="single" w:sz="4" w:space="0" w:color="auto"/>
            </w:tcBorders>
            <w:vAlign w:val="center"/>
          </w:tcPr>
          <w:p w14:paraId="0582211B" w14:textId="77777777" w:rsidR="00781142" w:rsidRPr="00CE1950" w:rsidRDefault="00781142" w:rsidP="00C407DB">
            <w:pPr>
              <w:widowControl w:val="0"/>
              <w:rPr>
                <w:rFonts w:cs="Arial"/>
                <w:sz w:val="18"/>
                <w:szCs w:val="18"/>
              </w:rPr>
            </w:pPr>
            <w:r w:rsidRPr="00CE1950">
              <w:rPr>
                <w:rFonts w:cs="Arial"/>
                <w:sz w:val="18"/>
                <w:szCs w:val="18"/>
              </w:rPr>
              <w:t>Tanks for transport of dangerous goods - Service equipment for tanks - Manhole cover assembly</w:t>
            </w:r>
          </w:p>
        </w:tc>
        <w:tc>
          <w:tcPr>
            <w:tcW w:w="900" w:type="dxa"/>
            <w:tcBorders>
              <w:top w:val="single" w:sz="4" w:space="0" w:color="auto"/>
            </w:tcBorders>
            <w:vAlign w:val="center"/>
          </w:tcPr>
          <w:p w14:paraId="6C3CBCCE" w14:textId="77777777" w:rsidR="00781142" w:rsidRPr="00CE1950" w:rsidRDefault="00781142" w:rsidP="00C407DB">
            <w:pPr>
              <w:widowControl w:val="0"/>
              <w:rPr>
                <w:rFonts w:cs="Arial"/>
                <w:sz w:val="18"/>
                <w:szCs w:val="18"/>
              </w:rPr>
            </w:pPr>
            <w:r w:rsidRPr="00CE1950">
              <w:rPr>
                <w:rFonts w:cs="Arial"/>
                <w:sz w:val="18"/>
                <w:szCs w:val="18"/>
              </w:rPr>
              <w:t>6.8.2.2 and 6.8.2.4.1</w:t>
            </w:r>
          </w:p>
        </w:tc>
        <w:tc>
          <w:tcPr>
            <w:tcW w:w="1620" w:type="dxa"/>
            <w:tcBorders>
              <w:top w:val="single" w:sz="6" w:space="0" w:color="auto"/>
              <w:left w:val="single" w:sz="6" w:space="0" w:color="auto"/>
              <w:bottom w:val="single" w:sz="6" w:space="0" w:color="auto"/>
              <w:right w:val="single" w:sz="6" w:space="0" w:color="auto"/>
            </w:tcBorders>
            <w:vAlign w:val="center"/>
          </w:tcPr>
          <w:p w14:paraId="71242D49" w14:textId="77777777" w:rsidR="00781142" w:rsidRPr="00CE1950" w:rsidRDefault="00781142" w:rsidP="00C407DB">
            <w:pPr>
              <w:widowControl w:val="0"/>
              <w:rPr>
                <w:rFonts w:cs="Arial"/>
                <w:sz w:val="18"/>
                <w:szCs w:val="18"/>
              </w:rPr>
            </w:pPr>
            <w:r w:rsidRPr="00CE1950">
              <w:rPr>
                <w:rFonts w:cs="Arial"/>
                <w:sz w:val="18"/>
                <w:szCs w:val="18"/>
              </w:rPr>
              <w:t>Until further notice</w:t>
            </w:r>
          </w:p>
        </w:tc>
        <w:tc>
          <w:tcPr>
            <w:tcW w:w="210" w:type="dxa"/>
            <w:tcBorders>
              <w:top w:val="single" w:sz="4" w:space="0" w:color="auto"/>
            </w:tcBorders>
            <w:vAlign w:val="center"/>
          </w:tcPr>
          <w:p w14:paraId="13EA2C81" w14:textId="77777777" w:rsidR="00781142" w:rsidRPr="00CE1950" w:rsidRDefault="00781142" w:rsidP="00C407DB">
            <w:pPr>
              <w:widowControl w:val="0"/>
              <w:rPr>
                <w:rFonts w:cs="Arial"/>
                <w:sz w:val="18"/>
                <w:szCs w:val="18"/>
              </w:rPr>
            </w:pPr>
          </w:p>
        </w:tc>
      </w:tr>
    </w:tbl>
    <w:p w14:paraId="30E6479C" w14:textId="77777777" w:rsidR="00033FD0" w:rsidRPr="00884168" w:rsidRDefault="00033FD0" w:rsidP="00033FD0">
      <w:pPr>
        <w:pStyle w:val="SingleTxtG"/>
        <w:rPr>
          <w:i/>
          <w:iCs/>
        </w:rPr>
      </w:pPr>
      <w:r w:rsidRPr="00884168">
        <w:rPr>
          <w:i/>
          <w:iCs/>
        </w:rPr>
        <w:t>(Reference document: Informal document INF.21/Add.1)</w:t>
      </w:r>
    </w:p>
    <w:p w14:paraId="0FFA92A5" w14:textId="59C9569E" w:rsidR="00781142" w:rsidRDefault="00781142" w:rsidP="00781142">
      <w:pPr>
        <w:pStyle w:val="SingleTxtG"/>
        <w:spacing w:before="240"/>
        <w:ind w:left="2268" w:hanging="1134"/>
      </w:pPr>
      <w:r w:rsidRPr="00DB762A">
        <w:t>6.8.2.6.2</w:t>
      </w:r>
      <w:r w:rsidRPr="00DB762A">
        <w:tab/>
      </w:r>
      <w:r>
        <w:t>For</w:t>
      </w:r>
      <w:r w:rsidRPr="00DB762A">
        <w:t xml:space="preserve"> “EN 12972:2007”, in column (4), replace the existing text with “Until 30 June 2021”.</w:t>
      </w:r>
      <w:r w:rsidRPr="00E15B59">
        <w:t xml:space="preserve"> </w:t>
      </w:r>
    </w:p>
    <w:p w14:paraId="1AD86F07" w14:textId="77777777" w:rsidR="00781142" w:rsidRPr="00DB762A" w:rsidRDefault="00781142" w:rsidP="00781142">
      <w:pPr>
        <w:pStyle w:val="Bullet1G"/>
        <w:tabs>
          <w:tab w:val="clear" w:pos="1701"/>
          <w:tab w:val="num" w:pos="2438"/>
        </w:tabs>
        <w:spacing w:before="240"/>
        <w:ind w:left="2438"/>
      </w:pPr>
      <w:r w:rsidRPr="00DB762A">
        <w:t>Add the following new entry to the table after the entry for “EN 12972:2007”:</w:t>
      </w:r>
    </w:p>
    <w:tbl>
      <w:tblPr>
        <w:tblW w:w="810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803"/>
        <w:gridCol w:w="900"/>
        <w:gridCol w:w="1620"/>
        <w:gridCol w:w="337"/>
      </w:tblGrid>
      <w:tr w:rsidR="00781142" w:rsidRPr="00CE1950" w14:paraId="62D12E2A" w14:textId="77777777" w:rsidTr="00C407DB">
        <w:tc>
          <w:tcPr>
            <w:tcW w:w="1440" w:type="dxa"/>
            <w:vAlign w:val="center"/>
          </w:tcPr>
          <w:p w14:paraId="7C282406" w14:textId="77777777" w:rsidR="00781142" w:rsidRPr="00CE1950" w:rsidRDefault="00781142" w:rsidP="00C407DB">
            <w:pPr>
              <w:widowControl w:val="0"/>
              <w:spacing w:before="60" w:after="60"/>
              <w:rPr>
                <w:rFonts w:cs="Arial"/>
                <w:sz w:val="18"/>
                <w:szCs w:val="18"/>
              </w:rPr>
            </w:pPr>
            <w:r w:rsidRPr="00CE1950">
              <w:rPr>
                <w:rFonts w:cs="Arial"/>
                <w:sz w:val="18"/>
                <w:szCs w:val="18"/>
              </w:rPr>
              <w:t>EN 12972:2018</w:t>
            </w:r>
          </w:p>
        </w:tc>
        <w:tc>
          <w:tcPr>
            <w:tcW w:w="3803" w:type="dxa"/>
            <w:vAlign w:val="center"/>
          </w:tcPr>
          <w:p w14:paraId="2AFAFB22" w14:textId="77777777" w:rsidR="00781142" w:rsidRPr="00CE1950" w:rsidRDefault="00781142" w:rsidP="00C407DB">
            <w:pPr>
              <w:widowControl w:val="0"/>
              <w:spacing w:before="60" w:after="60"/>
              <w:rPr>
                <w:rFonts w:cs="Arial"/>
                <w:sz w:val="18"/>
                <w:szCs w:val="18"/>
              </w:rPr>
            </w:pPr>
            <w:r w:rsidRPr="00CE1950">
              <w:rPr>
                <w:rFonts w:cs="Arial"/>
                <w:sz w:val="18"/>
                <w:szCs w:val="18"/>
              </w:rPr>
              <w:t>Tanks for transport of dangerous goods – Testing, inspection and marking of metallic tanks</w:t>
            </w:r>
          </w:p>
        </w:tc>
        <w:tc>
          <w:tcPr>
            <w:tcW w:w="900" w:type="dxa"/>
            <w:vAlign w:val="center"/>
          </w:tcPr>
          <w:p w14:paraId="7981120D" w14:textId="77777777" w:rsidR="00781142" w:rsidRPr="00CE1950" w:rsidRDefault="00781142" w:rsidP="00C407DB">
            <w:pPr>
              <w:widowControl w:val="0"/>
              <w:spacing w:before="60" w:after="60"/>
              <w:rPr>
                <w:rFonts w:cs="Arial"/>
                <w:sz w:val="18"/>
                <w:szCs w:val="18"/>
              </w:rPr>
            </w:pPr>
            <w:r w:rsidRPr="00CE1950">
              <w:rPr>
                <w:rFonts w:cs="Arial"/>
                <w:sz w:val="18"/>
                <w:szCs w:val="18"/>
              </w:rPr>
              <w:t>6.8.2.4</w:t>
            </w:r>
          </w:p>
          <w:p w14:paraId="679E8098" w14:textId="77777777" w:rsidR="00781142" w:rsidRPr="00CE1950" w:rsidRDefault="00781142" w:rsidP="00C407DB">
            <w:pPr>
              <w:widowControl w:val="0"/>
              <w:spacing w:before="60" w:after="60"/>
              <w:rPr>
                <w:rFonts w:cs="Arial"/>
                <w:sz w:val="18"/>
                <w:szCs w:val="18"/>
              </w:rPr>
            </w:pPr>
            <w:r w:rsidRPr="00CE1950">
              <w:rPr>
                <w:rFonts w:cs="Arial"/>
                <w:sz w:val="18"/>
                <w:szCs w:val="18"/>
              </w:rPr>
              <w:t>6.8.3.4</w:t>
            </w:r>
          </w:p>
        </w:tc>
        <w:tc>
          <w:tcPr>
            <w:tcW w:w="1620" w:type="dxa"/>
            <w:vAlign w:val="center"/>
          </w:tcPr>
          <w:p w14:paraId="46B83B6F" w14:textId="77777777" w:rsidR="00781142" w:rsidRPr="00CE1950" w:rsidRDefault="00781142" w:rsidP="00C407DB">
            <w:pPr>
              <w:widowControl w:val="0"/>
              <w:spacing w:before="60" w:after="60"/>
              <w:rPr>
                <w:rFonts w:cs="Arial"/>
                <w:sz w:val="18"/>
                <w:szCs w:val="18"/>
              </w:rPr>
            </w:pPr>
            <w:r w:rsidRPr="00CE1950">
              <w:rPr>
                <w:rFonts w:cs="Arial"/>
                <w:sz w:val="18"/>
                <w:szCs w:val="18"/>
              </w:rPr>
              <w:t>Mandatorily from 1 July 2021</w:t>
            </w:r>
          </w:p>
        </w:tc>
        <w:tc>
          <w:tcPr>
            <w:tcW w:w="337" w:type="dxa"/>
            <w:vAlign w:val="center"/>
          </w:tcPr>
          <w:p w14:paraId="24CCE09A" w14:textId="77777777" w:rsidR="00781142" w:rsidRPr="00CE1950" w:rsidRDefault="00781142" w:rsidP="00C407DB">
            <w:pPr>
              <w:widowControl w:val="0"/>
              <w:spacing w:before="60" w:after="60"/>
              <w:rPr>
                <w:rFonts w:cs="Arial"/>
                <w:sz w:val="18"/>
                <w:szCs w:val="18"/>
              </w:rPr>
            </w:pPr>
          </w:p>
        </w:tc>
      </w:tr>
    </w:tbl>
    <w:p w14:paraId="0077D44A" w14:textId="77777777" w:rsidR="00033FD0" w:rsidRPr="00884168" w:rsidRDefault="00033FD0" w:rsidP="00033FD0">
      <w:pPr>
        <w:pStyle w:val="SingleTxtG"/>
        <w:rPr>
          <w:i/>
          <w:iCs/>
        </w:rPr>
      </w:pPr>
      <w:r w:rsidRPr="00884168">
        <w:rPr>
          <w:i/>
          <w:iCs/>
        </w:rPr>
        <w:t>(Reference document: Informal document INF.21/Add.1)</w:t>
      </w:r>
    </w:p>
    <w:p w14:paraId="3601DC93" w14:textId="77777777" w:rsidR="00033FD0" w:rsidRDefault="00033FD0" w:rsidP="00781142">
      <w:pPr>
        <w:pStyle w:val="SingleTxtG"/>
        <w:spacing w:before="120"/>
        <w:ind w:left="2268" w:hanging="1134"/>
      </w:pPr>
    </w:p>
    <w:p w14:paraId="0DE4E045" w14:textId="1017C90B" w:rsidR="00781142" w:rsidRDefault="00781142" w:rsidP="00781142">
      <w:pPr>
        <w:pStyle w:val="SingleTxtG"/>
        <w:spacing w:before="120"/>
        <w:ind w:left="2268" w:hanging="1134"/>
        <w:rPr>
          <w:iCs/>
        </w:rPr>
      </w:pPr>
      <w:r w:rsidRPr="00DB762A">
        <w:t>6.8.4 (d)</w:t>
      </w:r>
      <w:r w:rsidRPr="00DB762A">
        <w:tab/>
        <w:t>In TT11, in the paragraph after the Table, replace “EN 14025:2013 + A1:2016” by “EN 14025:2018” and replace “EN 12493:2013+A1:2014+AC:2015” by “EN 12493:2013+A2:2018”.</w:t>
      </w:r>
      <w:r w:rsidRPr="00DB762A">
        <w:rPr>
          <w:iCs/>
        </w:rPr>
        <w:t xml:space="preserve"> </w:t>
      </w:r>
    </w:p>
    <w:p w14:paraId="38FC2C60" w14:textId="77777777" w:rsidR="00033FD0" w:rsidRPr="00884168" w:rsidRDefault="00033FD0" w:rsidP="00033FD0">
      <w:pPr>
        <w:pStyle w:val="SingleTxtG"/>
        <w:rPr>
          <w:i/>
          <w:iCs/>
        </w:rPr>
      </w:pPr>
      <w:r w:rsidRPr="00884168">
        <w:rPr>
          <w:i/>
          <w:iCs/>
        </w:rPr>
        <w:t>(Reference document: Informal document INF.21/Add.1)</w:t>
      </w:r>
    </w:p>
    <w:p w14:paraId="22B58EDC" w14:textId="3D3F2130" w:rsidR="00781142" w:rsidRDefault="00781142" w:rsidP="00781142">
      <w:pPr>
        <w:pStyle w:val="SingleTxtG"/>
        <w:spacing w:before="120"/>
      </w:pPr>
      <w:r w:rsidRPr="00DB762A">
        <w:t>6.8.3.4.12</w:t>
      </w:r>
      <w:r w:rsidRPr="00DB762A">
        <w:tab/>
        <w:t>Replace “6.8.3.4.6” by “6.8.2.4.2 and 6.8.2.4.3”.</w:t>
      </w:r>
    </w:p>
    <w:p w14:paraId="3A824DE4" w14:textId="77777777" w:rsidR="00033FD0" w:rsidRPr="00884168" w:rsidRDefault="00033FD0" w:rsidP="00033FD0">
      <w:pPr>
        <w:pStyle w:val="SingleTxtG"/>
        <w:rPr>
          <w:i/>
          <w:iCs/>
        </w:rPr>
      </w:pPr>
      <w:r w:rsidRPr="00884168">
        <w:rPr>
          <w:i/>
          <w:iCs/>
        </w:rPr>
        <w:t>(Reference document: Informal document INF.21/Add.1)</w:t>
      </w:r>
    </w:p>
    <w:p w14:paraId="75582DD6" w14:textId="44F433C5" w:rsidR="00781142" w:rsidRPr="00DB762A" w:rsidRDefault="00781142" w:rsidP="00781142">
      <w:pPr>
        <w:pStyle w:val="H1G"/>
      </w:pPr>
      <w:r>
        <w:tab/>
      </w:r>
      <w:r>
        <w:tab/>
      </w:r>
      <w:r w:rsidRPr="00DB762A">
        <w:t>Chapter 6.9</w:t>
      </w:r>
    </w:p>
    <w:p w14:paraId="52E35849" w14:textId="77777777" w:rsidR="00781142" w:rsidRPr="00DB762A" w:rsidRDefault="00781142" w:rsidP="00781142">
      <w:pPr>
        <w:pStyle w:val="SingleTxtG"/>
      </w:pPr>
      <w:r w:rsidRPr="00DB762A">
        <w:t>6.9.6.1</w:t>
      </w:r>
      <w:r w:rsidRPr="00DB762A">
        <w:tab/>
      </w:r>
      <w:r>
        <w:tab/>
        <w:t xml:space="preserve">At the end of the second indent, replace “,” with “;” and add a new </w:t>
      </w:r>
      <w:r w:rsidRPr="00DB762A">
        <w:t>third indent</w:t>
      </w:r>
      <w:r>
        <w:t xml:space="preserve"> to read as follows</w:t>
      </w:r>
      <w:r w:rsidRPr="00DB762A">
        <w:t>:</w:t>
      </w:r>
    </w:p>
    <w:p w14:paraId="76BED7EF" w14:textId="33F2EF82" w:rsidR="00781142" w:rsidRDefault="00781142" w:rsidP="00781142">
      <w:pPr>
        <w:pStyle w:val="SingleTxtG"/>
        <w:ind w:left="2444" w:hanging="284"/>
      </w:pPr>
      <w:r w:rsidRPr="00DB762A">
        <w:t>“</w:t>
      </w:r>
      <w:r>
        <w:t xml:space="preserve">- </w:t>
      </w:r>
      <w:r>
        <w:tab/>
      </w:r>
      <w:r w:rsidRPr="00DB762A">
        <w:t>where a tank code is required in accordance with 6.8.2.5.2, the second part of the tank code shall indicate the highest value of the calculation pressure for the substance(s) permitted for carriage according to the type approval certificate.”</w:t>
      </w:r>
      <w:r>
        <w:t>.</w:t>
      </w:r>
    </w:p>
    <w:p w14:paraId="347DC9CD" w14:textId="77777777" w:rsidR="00033FD0" w:rsidRPr="00884168" w:rsidRDefault="00033FD0" w:rsidP="00033FD0">
      <w:pPr>
        <w:pStyle w:val="SingleTxtG"/>
        <w:rPr>
          <w:i/>
          <w:iCs/>
        </w:rPr>
      </w:pPr>
      <w:r w:rsidRPr="00884168">
        <w:rPr>
          <w:i/>
          <w:iCs/>
        </w:rPr>
        <w:t>(Reference document: Informal document INF.21/Add.1)</w:t>
      </w:r>
    </w:p>
    <w:p w14:paraId="09DB133D" w14:textId="77777777" w:rsidR="00033FD0" w:rsidRDefault="00033FD0" w:rsidP="00861053">
      <w:pPr>
        <w:pStyle w:val="SingleTxtG"/>
      </w:pPr>
    </w:p>
    <w:p w14:paraId="55328B1C" w14:textId="77777777" w:rsidR="00781142" w:rsidRPr="00781142" w:rsidRDefault="00781142" w:rsidP="00861053"/>
    <w:p w14:paraId="7030BE6E" w14:textId="12AF2FB2" w:rsidR="00336208" w:rsidRDefault="00336208" w:rsidP="00C97AC1">
      <w:pPr>
        <w:pStyle w:val="HChG"/>
      </w:pPr>
      <w:r w:rsidRPr="00D725A0">
        <w:br w:type="page"/>
      </w:r>
      <w:r w:rsidR="00C97AC1" w:rsidRPr="00D725A0">
        <w:lastRenderedPageBreak/>
        <w:tab/>
      </w:r>
      <w:bookmarkStart w:id="19" w:name="_Toc499903696"/>
      <w:r w:rsidRPr="00D725A0">
        <w:t>Annex II</w:t>
      </w:r>
      <w:bookmarkEnd w:id="19"/>
    </w:p>
    <w:p w14:paraId="660C7926" w14:textId="1B4CF27A" w:rsidR="00781142" w:rsidRPr="00DB762A" w:rsidRDefault="00781142" w:rsidP="00781142">
      <w:pPr>
        <w:pStyle w:val="HChG"/>
      </w:pPr>
      <w:r>
        <w:tab/>
      </w:r>
      <w:r>
        <w:tab/>
      </w:r>
      <w:r w:rsidRPr="00DB762A">
        <w:t xml:space="preserve">Guideline for the application of EN 12972 (Tanks for transport of dangerous goods - Testing, inspection and marking of metallic tanks) </w:t>
      </w:r>
      <w:r>
        <w:t>for</w:t>
      </w:r>
      <w:r w:rsidRPr="00DB762A">
        <w:t xml:space="preserve"> compliance with RID/ADR</w:t>
      </w:r>
    </w:p>
    <w:p w14:paraId="07909733" w14:textId="77777777" w:rsidR="00781142" w:rsidRPr="00DB762A" w:rsidRDefault="00781142" w:rsidP="00781142">
      <w:pPr>
        <w:pStyle w:val="SingleTxtG"/>
      </w:pPr>
      <w:proofErr w:type="gramStart"/>
      <w:r w:rsidRPr="00DB762A">
        <w:t>In order to</w:t>
      </w:r>
      <w:proofErr w:type="gramEnd"/>
      <w:r w:rsidRPr="00DB762A">
        <w:t xml:space="preserve"> comply with the requirements of ADR, EN</w:t>
      </w:r>
      <w:r>
        <w:t> </w:t>
      </w:r>
      <w:r w:rsidRPr="00DB762A">
        <w:t xml:space="preserve">12972:2007 referenced in 6.8.2.6.2 </w:t>
      </w:r>
      <w:r>
        <w:t xml:space="preserve">of </w:t>
      </w:r>
      <w:r w:rsidRPr="00DB762A">
        <w:t>ADR need</w:t>
      </w:r>
      <w:r>
        <w:t>s</w:t>
      </w:r>
      <w:r w:rsidRPr="00DB762A">
        <w:t xml:space="preserve"> to be applied together with the requirements of ADR in</w:t>
      </w:r>
      <w:r>
        <w:t> </w:t>
      </w:r>
      <w:r w:rsidRPr="00DB762A">
        <w:t>1.1.5.</w:t>
      </w:r>
    </w:p>
    <w:p w14:paraId="510544AF" w14:textId="77777777" w:rsidR="00781142" w:rsidRPr="00DB762A" w:rsidRDefault="00781142" w:rsidP="00781142">
      <w:pPr>
        <w:pStyle w:val="SingleTxtG"/>
      </w:pPr>
      <w:r w:rsidRPr="00DB762A">
        <w:t>EN 12972:2018 has been published and it has been decided that this standard will be referenced in the 2021 edition of ADR.</w:t>
      </w:r>
    </w:p>
    <w:p w14:paraId="5228E083" w14:textId="58B3919E" w:rsidR="00781142" w:rsidRDefault="00781142" w:rsidP="00781142">
      <w:pPr>
        <w:pStyle w:val="SingleTxtG"/>
      </w:pPr>
      <w:r w:rsidRPr="00DB762A">
        <w:t xml:space="preserve">To aid compliance with and consistent application of the 2019 edition of ADR, competent authorities are encouraged to approve the use of EN 12972:2018 for testing and </w:t>
      </w:r>
      <w:r>
        <w:t>inspection of</w:t>
      </w:r>
      <w:r w:rsidRPr="00DB762A">
        <w:t xml:space="preserve"> tanks according to ADR 6.8.2.7 paragraph 3 as soon as possible, but no later than 1 January 2020.</w:t>
      </w:r>
    </w:p>
    <w:p w14:paraId="647F1200" w14:textId="4BD3178E" w:rsidR="00FC2D73" w:rsidRDefault="00033FD0" w:rsidP="00FC2D73">
      <w:pPr>
        <w:pStyle w:val="SingleTxtG"/>
        <w:rPr>
          <w:i/>
          <w:iCs/>
        </w:rPr>
      </w:pPr>
      <w:r w:rsidRPr="00884168">
        <w:rPr>
          <w:i/>
          <w:iCs/>
        </w:rPr>
        <w:t>(Reference document:</w:t>
      </w:r>
      <w:r w:rsidR="00FC2D73">
        <w:rPr>
          <w:i/>
          <w:iCs/>
        </w:rPr>
        <w:t xml:space="preserve"> Informal document INF.21/Add.1</w:t>
      </w:r>
      <w:r w:rsidR="00B065EE">
        <w:rPr>
          <w:i/>
          <w:iCs/>
        </w:rPr>
        <w:t>)</w:t>
      </w:r>
    </w:p>
    <w:p w14:paraId="7C3B89AF" w14:textId="131DFC62" w:rsidR="00B065EE" w:rsidRDefault="00B065EE" w:rsidP="00FC2D73">
      <w:pPr>
        <w:pStyle w:val="SingleTxtG"/>
        <w:rPr>
          <w:i/>
          <w:iCs/>
        </w:rPr>
      </w:pPr>
    </w:p>
    <w:p w14:paraId="0067EE2F" w14:textId="2E29257E" w:rsidR="00B065EE" w:rsidRDefault="00B065EE" w:rsidP="00FC2D73">
      <w:pPr>
        <w:pStyle w:val="SingleTxtG"/>
        <w:rPr>
          <w:i/>
          <w:iCs/>
        </w:rPr>
      </w:pPr>
    </w:p>
    <w:p w14:paraId="7B9010E3" w14:textId="60E4D2F1" w:rsidR="00B065EE" w:rsidRDefault="00B065EE" w:rsidP="00FC2D73">
      <w:pPr>
        <w:pStyle w:val="SingleTxtG"/>
        <w:rPr>
          <w:i/>
          <w:iCs/>
        </w:rPr>
      </w:pPr>
    </w:p>
    <w:p w14:paraId="457D58C4" w14:textId="74C342A6" w:rsidR="00B065EE" w:rsidRDefault="00B065EE" w:rsidP="00FC2D73">
      <w:pPr>
        <w:pStyle w:val="SingleTxtG"/>
        <w:rPr>
          <w:i/>
          <w:iCs/>
        </w:rPr>
      </w:pPr>
    </w:p>
    <w:p w14:paraId="01E0C648" w14:textId="272361E5" w:rsidR="00B065EE" w:rsidRDefault="00B065EE" w:rsidP="00FC2D73">
      <w:pPr>
        <w:pStyle w:val="SingleTxtG"/>
        <w:rPr>
          <w:i/>
          <w:iCs/>
        </w:rPr>
      </w:pPr>
    </w:p>
    <w:p w14:paraId="136F4857" w14:textId="2F36FA4A" w:rsidR="00B065EE" w:rsidRDefault="00B065EE" w:rsidP="00FC2D73">
      <w:pPr>
        <w:pStyle w:val="SingleTxtG"/>
        <w:rPr>
          <w:i/>
          <w:iCs/>
        </w:rPr>
      </w:pPr>
    </w:p>
    <w:p w14:paraId="6B2CA3B3" w14:textId="2A90FA6C" w:rsidR="00B065EE" w:rsidRDefault="00B065EE" w:rsidP="00FC2D73">
      <w:pPr>
        <w:pStyle w:val="SingleTxtG"/>
        <w:rPr>
          <w:i/>
          <w:iCs/>
        </w:rPr>
      </w:pPr>
    </w:p>
    <w:p w14:paraId="16E3C665" w14:textId="3B3EDD45" w:rsidR="00B065EE" w:rsidRDefault="00B065EE" w:rsidP="00FC2D73">
      <w:pPr>
        <w:pStyle w:val="SingleTxtG"/>
        <w:rPr>
          <w:i/>
          <w:iCs/>
        </w:rPr>
      </w:pPr>
    </w:p>
    <w:p w14:paraId="75BB6BF7" w14:textId="3229E302" w:rsidR="00B065EE" w:rsidRDefault="00B065EE" w:rsidP="00FC2D73">
      <w:pPr>
        <w:pStyle w:val="SingleTxtG"/>
        <w:rPr>
          <w:i/>
          <w:iCs/>
        </w:rPr>
      </w:pPr>
    </w:p>
    <w:p w14:paraId="0BF69C5F" w14:textId="0ED9976C" w:rsidR="00B065EE" w:rsidRDefault="00B065EE" w:rsidP="00FC2D73">
      <w:pPr>
        <w:pStyle w:val="SingleTxtG"/>
        <w:rPr>
          <w:i/>
          <w:iCs/>
        </w:rPr>
      </w:pPr>
    </w:p>
    <w:p w14:paraId="4C92B278" w14:textId="32D59430" w:rsidR="00B065EE" w:rsidRDefault="00B065EE" w:rsidP="00FC2D73">
      <w:pPr>
        <w:pStyle w:val="SingleTxtG"/>
        <w:rPr>
          <w:i/>
          <w:iCs/>
        </w:rPr>
      </w:pPr>
    </w:p>
    <w:p w14:paraId="46A2D32C" w14:textId="6F8C21BD" w:rsidR="00B065EE" w:rsidRDefault="00B065EE" w:rsidP="00FC2D73">
      <w:pPr>
        <w:pStyle w:val="SingleTxtG"/>
        <w:rPr>
          <w:i/>
          <w:iCs/>
        </w:rPr>
      </w:pPr>
    </w:p>
    <w:p w14:paraId="6DF738EF" w14:textId="40500A9B" w:rsidR="00B065EE" w:rsidRDefault="00B065EE" w:rsidP="00FC2D73">
      <w:pPr>
        <w:pStyle w:val="SingleTxtG"/>
        <w:rPr>
          <w:i/>
          <w:iCs/>
        </w:rPr>
      </w:pPr>
    </w:p>
    <w:p w14:paraId="59B3B7CB" w14:textId="5E9EDEA1" w:rsidR="00B065EE" w:rsidRDefault="00B065EE" w:rsidP="00FC2D73">
      <w:pPr>
        <w:pStyle w:val="SingleTxtG"/>
        <w:rPr>
          <w:i/>
          <w:iCs/>
        </w:rPr>
      </w:pPr>
    </w:p>
    <w:p w14:paraId="0FCFB84F" w14:textId="2EDE5ECE" w:rsidR="00B065EE" w:rsidRDefault="00B065EE" w:rsidP="00FC2D73">
      <w:pPr>
        <w:pStyle w:val="SingleTxtG"/>
        <w:rPr>
          <w:i/>
          <w:iCs/>
        </w:rPr>
      </w:pPr>
    </w:p>
    <w:p w14:paraId="23E7CFD7" w14:textId="0F1D3E21" w:rsidR="00B065EE" w:rsidRDefault="00B065EE" w:rsidP="00FC2D73">
      <w:pPr>
        <w:pStyle w:val="SingleTxtG"/>
        <w:rPr>
          <w:i/>
          <w:iCs/>
        </w:rPr>
      </w:pPr>
    </w:p>
    <w:p w14:paraId="6FE5355A" w14:textId="473CB4D5" w:rsidR="00B065EE" w:rsidRDefault="00B065EE" w:rsidP="00FC2D73">
      <w:pPr>
        <w:pStyle w:val="SingleTxtG"/>
        <w:rPr>
          <w:i/>
          <w:iCs/>
        </w:rPr>
      </w:pPr>
    </w:p>
    <w:p w14:paraId="7EF22205" w14:textId="2A10276F" w:rsidR="00B065EE" w:rsidRDefault="00B065EE" w:rsidP="00FC2D73">
      <w:pPr>
        <w:pStyle w:val="SingleTxtG"/>
        <w:rPr>
          <w:i/>
          <w:iCs/>
        </w:rPr>
      </w:pPr>
    </w:p>
    <w:p w14:paraId="48C58C7D" w14:textId="5DAB75F8" w:rsidR="00B065EE" w:rsidRDefault="00B065EE" w:rsidP="00FC2D73">
      <w:pPr>
        <w:pStyle w:val="SingleTxtG"/>
        <w:rPr>
          <w:i/>
          <w:iCs/>
        </w:rPr>
      </w:pPr>
    </w:p>
    <w:p w14:paraId="4E1162D5" w14:textId="2E9C4222" w:rsidR="00B065EE" w:rsidRPr="00FC2D73" w:rsidRDefault="00B065EE" w:rsidP="00FC2D73">
      <w:pPr>
        <w:pStyle w:val="SingleTxtG"/>
        <w:rPr>
          <w:i/>
          <w:iCs/>
        </w:rPr>
      </w:pPr>
    </w:p>
    <w:p w14:paraId="293DDCB2" w14:textId="6ADE47A0" w:rsidR="00615C92" w:rsidRPr="00861053" w:rsidRDefault="00336208" w:rsidP="00FC2D73">
      <w:pPr>
        <w:pStyle w:val="SingleTxtG"/>
        <w:rPr>
          <w:b/>
          <w:bCs/>
        </w:rPr>
      </w:pPr>
      <w:r w:rsidRPr="00FC2D73">
        <w:br w:type="page"/>
      </w:r>
      <w:r w:rsidR="00482D0A" w:rsidRPr="00D725A0">
        <w:lastRenderedPageBreak/>
        <w:tab/>
      </w:r>
    </w:p>
    <w:sectPr w:rsidR="00615C92" w:rsidRPr="00861053" w:rsidSect="009403D2">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17117" w14:textId="77777777" w:rsidR="001857D8" w:rsidRPr="00FB1744" w:rsidRDefault="001857D8" w:rsidP="00FB1744">
      <w:pPr>
        <w:pStyle w:val="Footer"/>
      </w:pPr>
    </w:p>
  </w:endnote>
  <w:endnote w:type="continuationSeparator" w:id="0">
    <w:p w14:paraId="6BADB274" w14:textId="77777777" w:rsidR="001857D8" w:rsidRPr="00FB1744" w:rsidRDefault="001857D8"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6D16B" w14:textId="77777777" w:rsidR="001857D8" w:rsidRPr="008D1981" w:rsidRDefault="001857D8" w:rsidP="00C652EF">
    <w:pPr>
      <w:pStyle w:val="Footer"/>
      <w:tabs>
        <w:tab w:val="right" w:pos="9598"/>
      </w:tabs>
    </w:pPr>
    <w:r w:rsidRPr="008D1981">
      <w:rPr>
        <w:b/>
        <w:sz w:val="18"/>
      </w:rPr>
      <w:fldChar w:fldCharType="begin"/>
    </w:r>
    <w:r w:rsidRPr="008D1981">
      <w:rPr>
        <w:b/>
        <w:sz w:val="18"/>
      </w:rPr>
      <w:instrText xml:space="preserve"> PAGE  \* MERGEFORMAT </w:instrText>
    </w:r>
    <w:r w:rsidRPr="008D1981">
      <w:rPr>
        <w:b/>
        <w:sz w:val="18"/>
      </w:rPr>
      <w:fldChar w:fldCharType="separate"/>
    </w:r>
    <w:r>
      <w:rPr>
        <w:b/>
        <w:noProof/>
        <w:sz w:val="18"/>
      </w:rPr>
      <w:t>22</w:t>
    </w:r>
    <w:r w:rsidRPr="008D198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E287B" w14:textId="77777777" w:rsidR="001857D8" w:rsidRPr="008D1981" w:rsidRDefault="001857D8" w:rsidP="008D1981">
    <w:pPr>
      <w:pStyle w:val="Footer"/>
      <w:tabs>
        <w:tab w:val="right" w:pos="9598"/>
      </w:tabs>
      <w:rPr>
        <w:b/>
        <w:sz w:val="18"/>
      </w:rPr>
    </w:pPr>
    <w:r>
      <w:tab/>
    </w:r>
    <w:r w:rsidRPr="008D1981">
      <w:rPr>
        <w:b/>
        <w:sz w:val="18"/>
      </w:rPr>
      <w:fldChar w:fldCharType="begin"/>
    </w:r>
    <w:r w:rsidRPr="008D1981">
      <w:rPr>
        <w:b/>
        <w:sz w:val="18"/>
      </w:rPr>
      <w:instrText xml:space="preserve"> PAGE  \* MERGEFORMAT </w:instrText>
    </w:r>
    <w:r w:rsidRPr="008D1981">
      <w:rPr>
        <w:b/>
        <w:sz w:val="18"/>
      </w:rPr>
      <w:fldChar w:fldCharType="separate"/>
    </w:r>
    <w:r>
      <w:rPr>
        <w:b/>
        <w:noProof/>
        <w:sz w:val="18"/>
      </w:rPr>
      <w:t>21</w:t>
    </w:r>
    <w:r w:rsidRPr="008D198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18C7E" w14:textId="77777777" w:rsidR="001857D8" w:rsidRPr="00FB1744" w:rsidRDefault="001857D8" w:rsidP="00FB1744">
      <w:pPr>
        <w:tabs>
          <w:tab w:val="right" w:pos="2155"/>
        </w:tabs>
        <w:spacing w:after="80" w:line="240" w:lineRule="auto"/>
        <w:ind w:left="680"/>
      </w:pPr>
      <w:r>
        <w:rPr>
          <w:u w:val="single"/>
        </w:rPr>
        <w:tab/>
      </w:r>
    </w:p>
  </w:footnote>
  <w:footnote w:type="continuationSeparator" w:id="0">
    <w:p w14:paraId="2DDE37CA" w14:textId="77777777" w:rsidR="001857D8" w:rsidRPr="00FB1744" w:rsidRDefault="001857D8" w:rsidP="00FB1744">
      <w:pPr>
        <w:tabs>
          <w:tab w:val="right" w:pos="2155"/>
        </w:tabs>
        <w:spacing w:after="80" w:line="240" w:lineRule="auto"/>
        <w:ind w:left="680"/>
      </w:pPr>
      <w:r>
        <w:rPr>
          <w:u w:val="single"/>
        </w:rPr>
        <w:tab/>
      </w:r>
    </w:p>
  </w:footnote>
  <w:footnote w:id="1">
    <w:p w14:paraId="5C594A2F" w14:textId="77777777" w:rsidR="00FC2D73" w:rsidRPr="00FC7A28" w:rsidRDefault="00FC2D73" w:rsidP="00FC2D73">
      <w:pPr>
        <w:pStyle w:val="FootnoteText"/>
      </w:pPr>
      <w:r w:rsidRPr="007A72B0">
        <w:tab/>
      </w:r>
      <w:r w:rsidRPr="00FC7A28">
        <w:rPr>
          <w:rStyle w:val="FootnoteReference"/>
        </w:rPr>
        <w:footnoteRef/>
      </w:r>
      <w:r w:rsidRPr="00FC7A28">
        <w:t xml:space="preserve"> </w:t>
      </w:r>
      <w:bookmarkStart w:id="9" w:name="_Hlk530577613"/>
      <w:r w:rsidRPr="00FC7A28">
        <w:tab/>
      </w:r>
      <w:r w:rsidRPr="0015118C">
        <w:rPr>
          <w:u w:val="single"/>
        </w:rPr>
        <w:t>Note by the secretariat:</w:t>
      </w:r>
      <w:r w:rsidRPr="0015118C">
        <w:t xml:space="preserve"> After the session the secretariat was informed that the correction ha</w:t>
      </w:r>
      <w:r>
        <w:t>d</w:t>
      </w:r>
      <w:r w:rsidRPr="0015118C">
        <w:t xml:space="preserve"> already been </w:t>
      </w:r>
      <w:proofErr w:type="gramStart"/>
      <w:r w:rsidRPr="0015118C">
        <w:t>taken into account</w:t>
      </w:r>
      <w:proofErr w:type="gramEnd"/>
      <w:r w:rsidRPr="0015118C">
        <w:t xml:space="preserve"> </w:t>
      </w:r>
      <w:r>
        <w:t>in</w:t>
      </w:r>
      <w:r w:rsidRPr="0015118C">
        <w:t xml:space="preserve"> the Russian version of the 2019 edition of ADR.</w:t>
      </w:r>
      <w:bookmarkEnd w:id="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39AE4" w14:textId="77777777" w:rsidR="001857D8" w:rsidRPr="008D1981" w:rsidRDefault="001857D8" w:rsidP="008D1981">
    <w:pPr>
      <w:pStyle w:val="Header"/>
    </w:pPr>
    <w:r>
      <w:t>ECE/TRANS/WP.15/244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9AFB" w14:textId="77777777" w:rsidR="001857D8" w:rsidRPr="008D1981" w:rsidRDefault="001857D8" w:rsidP="008D1981">
    <w:pPr>
      <w:pStyle w:val="Header"/>
      <w:jc w:val="right"/>
    </w:pPr>
    <w:r>
      <w:t>ECE/TRANS/WP.15/244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C7207"/>
    <w:multiLevelType w:val="hybridMultilevel"/>
    <w:tmpl w:val="D3447438"/>
    <w:lvl w:ilvl="0" w:tplc="E2EC1E82">
      <w:start w:val="1"/>
      <w:numFmt w:val="decimal"/>
      <w:lvlText w:val="%1."/>
      <w:lvlJc w:val="left"/>
      <w:pPr>
        <w:ind w:left="1140" w:hanging="4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D21C32"/>
    <w:multiLevelType w:val="hybridMultilevel"/>
    <w:tmpl w:val="D3447438"/>
    <w:lvl w:ilvl="0" w:tplc="E2EC1E82">
      <w:start w:val="1"/>
      <w:numFmt w:val="decimal"/>
      <w:lvlText w:val="%1."/>
      <w:lvlJc w:val="left"/>
      <w:pPr>
        <w:ind w:left="1140" w:hanging="4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DB5705"/>
    <w:multiLevelType w:val="hybridMultilevel"/>
    <w:tmpl w:val="A2F65EBC"/>
    <w:lvl w:ilvl="0" w:tplc="384AC2FA">
      <w:start w:val="2"/>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6"/>
  </w:num>
  <w:num w:numId="5">
    <w:abstractNumId w:val="7"/>
  </w:num>
  <w:num w:numId="6">
    <w:abstractNumId w:val="10"/>
  </w:num>
  <w:num w:numId="7">
    <w:abstractNumId w:val="2"/>
  </w:num>
  <w:num w:numId="8">
    <w:abstractNumId w:val="4"/>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567"/>
  <w:evenAndOddHeaders/>
  <w:characterSpacingControl w:val="doNotCompress"/>
  <w:hdrShapeDefaults>
    <o:shapedefaults v:ext="edit" spidmax="532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ED"/>
    <w:rsid w:val="0000320B"/>
    <w:rsid w:val="000034E8"/>
    <w:rsid w:val="0002646B"/>
    <w:rsid w:val="00033FD0"/>
    <w:rsid w:val="00036054"/>
    <w:rsid w:val="000420E7"/>
    <w:rsid w:val="000433F7"/>
    <w:rsid w:val="000446E0"/>
    <w:rsid w:val="000462FE"/>
    <w:rsid w:val="00046E92"/>
    <w:rsid w:val="000566E8"/>
    <w:rsid w:val="00065C3F"/>
    <w:rsid w:val="000661AB"/>
    <w:rsid w:val="00071D35"/>
    <w:rsid w:val="000934A4"/>
    <w:rsid w:val="000A4FE0"/>
    <w:rsid w:val="000B452A"/>
    <w:rsid w:val="000C5300"/>
    <w:rsid w:val="000C7ACC"/>
    <w:rsid w:val="000D1B89"/>
    <w:rsid w:val="000D5969"/>
    <w:rsid w:val="000E5184"/>
    <w:rsid w:val="000F6BB4"/>
    <w:rsid w:val="001016D8"/>
    <w:rsid w:val="00106C7C"/>
    <w:rsid w:val="00112F2A"/>
    <w:rsid w:val="001137F4"/>
    <w:rsid w:val="001170DC"/>
    <w:rsid w:val="0012723F"/>
    <w:rsid w:val="0013761B"/>
    <w:rsid w:val="00146ABA"/>
    <w:rsid w:val="00150DC3"/>
    <w:rsid w:val="00167772"/>
    <w:rsid w:val="00173329"/>
    <w:rsid w:val="00180139"/>
    <w:rsid w:val="00181BDF"/>
    <w:rsid w:val="0018219B"/>
    <w:rsid w:val="001854CE"/>
    <w:rsid w:val="001857D8"/>
    <w:rsid w:val="001961F8"/>
    <w:rsid w:val="00197C74"/>
    <w:rsid w:val="001B420D"/>
    <w:rsid w:val="001C1893"/>
    <w:rsid w:val="001D4804"/>
    <w:rsid w:val="001E4D4D"/>
    <w:rsid w:val="001E647C"/>
    <w:rsid w:val="001E66A9"/>
    <w:rsid w:val="00201A40"/>
    <w:rsid w:val="00207CAB"/>
    <w:rsid w:val="00224826"/>
    <w:rsid w:val="00231DA0"/>
    <w:rsid w:val="0023701C"/>
    <w:rsid w:val="00244CD7"/>
    <w:rsid w:val="00247E2C"/>
    <w:rsid w:val="002503C6"/>
    <w:rsid w:val="002570CA"/>
    <w:rsid w:val="002615F5"/>
    <w:rsid w:val="00277373"/>
    <w:rsid w:val="002839AE"/>
    <w:rsid w:val="002A0A41"/>
    <w:rsid w:val="002A68FA"/>
    <w:rsid w:val="002B2081"/>
    <w:rsid w:val="002B70D1"/>
    <w:rsid w:val="002C2391"/>
    <w:rsid w:val="002C5CA8"/>
    <w:rsid w:val="002D6C53"/>
    <w:rsid w:val="002F4658"/>
    <w:rsid w:val="002F5595"/>
    <w:rsid w:val="002F5641"/>
    <w:rsid w:val="003009FF"/>
    <w:rsid w:val="00307682"/>
    <w:rsid w:val="00315BAD"/>
    <w:rsid w:val="00317F31"/>
    <w:rsid w:val="00325EA6"/>
    <w:rsid w:val="00333FF8"/>
    <w:rsid w:val="00334F6A"/>
    <w:rsid w:val="00336208"/>
    <w:rsid w:val="003403FA"/>
    <w:rsid w:val="00342AC8"/>
    <w:rsid w:val="003539FD"/>
    <w:rsid w:val="00357013"/>
    <w:rsid w:val="0036652B"/>
    <w:rsid w:val="003776F1"/>
    <w:rsid w:val="0038047B"/>
    <w:rsid w:val="0038606F"/>
    <w:rsid w:val="003865B9"/>
    <w:rsid w:val="00391E67"/>
    <w:rsid w:val="003B094C"/>
    <w:rsid w:val="003B4550"/>
    <w:rsid w:val="003B6A8C"/>
    <w:rsid w:val="003B7493"/>
    <w:rsid w:val="003C4832"/>
    <w:rsid w:val="003C4D07"/>
    <w:rsid w:val="003C7A8E"/>
    <w:rsid w:val="003D1C32"/>
    <w:rsid w:val="003D796E"/>
    <w:rsid w:val="003E103E"/>
    <w:rsid w:val="003E273D"/>
    <w:rsid w:val="003E32B0"/>
    <w:rsid w:val="003F579A"/>
    <w:rsid w:val="0041033F"/>
    <w:rsid w:val="004203FC"/>
    <w:rsid w:val="00430EE5"/>
    <w:rsid w:val="00432362"/>
    <w:rsid w:val="00436002"/>
    <w:rsid w:val="00437154"/>
    <w:rsid w:val="00444837"/>
    <w:rsid w:val="004468AD"/>
    <w:rsid w:val="00456F9E"/>
    <w:rsid w:val="00461253"/>
    <w:rsid w:val="00473D66"/>
    <w:rsid w:val="00482D0A"/>
    <w:rsid w:val="00484C2D"/>
    <w:rsid w:val="00486C6E"/>
    <w:rsid w:val="004C7EB8"/>
    <w:rsid w:val="004E2174"/>
    <w:rsid w:val="004F3C30"/>
    <w:rsid w:val="004F6D49"/>
    <w:rsid w:val="005042C2"/>
    <w:rsid w:val="005111B5"/>
    <w:rsid w:val="00514DEB"/>
    <w:rsid w:val="00515C01"/>
    <w:rsid w:val="00515D36"/>
    <w:rsid w:val="0052359F"/>
    <w:rsid w:val="00523B45"/>
    <w:rsid w:val="00526B2B"/>
    <w:rsid w:val="00553118"/>
    <w:rsid w:val="005559B6"/>
    <w:rsid w:val="005616C8"/>
    <w:rsid w:val="00561A8A"/>
    <w:rsid w:val="0056599A"/>
    <w:rsid w:val="00587690"/>
    <w:rsid w:val="005A058F"/>
    <w:rsid w:val="005B0D62"/>
    <w:rsid w:val="005B1753"/>
    <w:rsid w:val="005B356B"/>
    <w:rsid w:val="005C3745"/>
    <w:rsid w:val="005C4AFB"/>
    <w:rsid w:val="005C7D46"/>
    <w:rsid w:val="005D7EC0"/>
    <w:rsid w:val="005E54D5"/>
    <w:rsid w:val="00612914"/>
    <w:rsid w:val="00612AAA"/>
    <w:rsid w:val="00615C92"/>
    <w:rsid w:val="0062354F"/>
    <w:rsid w:val="00627C15"/>
    <w:rsid w:val="00634155"/>
    <w:rsid w:val="006379BF"/>
    <w:rsid w:val="0064318D"/>
    <w:rsid w:val="0064365A"/>
    <w:rsid w:val="00644F2C"/>
    <w:rsid w:val="00652D03"/>
    <w:rsid w:val="0065596E"/>
    <w:rsid w:val="00656F15"/>
    <w:rsid w:val="00663872"/>
    <w:rsid w:val="00671529"/>
    <w:rsid w:val="00673C0A"/>
    <w:rsid w:val="00675F19"/>
    <w:rsid w:val="00675F84"/>
    <w:rsid w:val="006778BC"/>
    <w:rsid w:val="006A231D"/>
    <w:rsid w:val="006C0D1D"/>
    <w:rsid w:val="006D66D4"/>
    <w:rsid w:val="006F1437"/>
    <w:rsid w:val="00706FD2"/>
    <w:rsid w:val="007072E2"/>
    <w:rsid w:val="007112C9"/>
    <w:rsid w:val="00717266"/>
    <w:rsid w:val="007268F9"/>
    <w:rsid w:val="00727AA6"/>
    <w:rsid w:val="00727BEB"/>
    <w:rsid w:val="00734DF5"/>
    <w:rsid w:val="007354ED"/>
    <w:rsid w:val="00751242"/>
    <w:rsid w:val="007601C1"/>
    <w:rsid w:val="00764B17"/>
    <w:rsid w:val="00765FA3"/>
    <w:rsid w:val="00781142"/>
    <w:rsid w:val="00795DB2"/>
    <w:rsid w:val="007A4C92"/>
    <w:rsid w:val="007A5304"/>
    <w:rsid w:val="007B4FCE"/>
    <w:rsid w:val="007B768D"/>
    <w:rsid w:val="007C24CA"/>
    <w:rsid w:val="007C45FB"/>
    <w:rsid w:val="007C52B0"/>
    <w:rsid w:val="008016A9"/>
    <w:rsid w:val="00805428"/>
    <w:rsid w:val="00810992"/>
    <w:rsid w:val="00820786"/>
    <w:rsid w:val="00822FD0"/>
    <w:rsid w:val="00846D0E"/>
    <w:rsid w:val="00860D71"/>
    <w:rsid w:val="00861053"/>
    <w:rsid w:val="008806B8"/>
    <w:rsid w:val="008876E2"/>
    <w:rsid w:val="008A1F63"/>
    <w:rsid w:val="008A2757"/>
    <w:rsid w:val="008A2D8B"/>
    <w:rsid w:val="008A40D3"/>
    <w:rsid w:val="008B1504"/>
    <w:rsid w:val="008B3C2E"/>
    <w:rsid w:val="008B4E22"/>
    <w:rsid w:val="008D1981"/>
    <w:rsid w:val="008D69E6"/>
    <w:rsid w:val="008E26A4"/>
    <w:rsid w:val="008E6817"/>
    <w:rsid w:val="008F683A"/>
    <w:rsid w:val="009342C1"/>
    <w:rsid w:val="0093627C"/>
    <w:rsid w:val="009403D2"/>
    <w:rsid w:val="009411B4"/>
    <w:rsid w:val="0094356B"/>
    <w:rsid w:val="00945035"/>
    <w:rsid w:val="0095144D"/>
    <w:rsid w:val="009519ED"/>
    <w:rsid w:val="009624F0"/>
    <w:rsid w:val="00965FF9"/>
    <w:rsid w:val="00967ADD"/>
    <w:rsid w:val="00975D87"/>
    <w:rsid w:val="00986FA8"/>
    <w:rsid w:val="00995799"/>
    <w:rsid w:val="0099696F"/>
    <w:rsid w:val="009A1882"/>
    <w:rsid w:val="009A3B6F"/>
    <w:rsid w:val="009A71EA"/>
    <w:rsid w:val="009B5B6E"/>
    <w:rsid w:val="009D0139"/>
    <w:rsid w:val="009D504B"/>
    <w:rsid w:val="009E5761"/>
    <w:rsid w:val="009E6923"/>
    <w:rsid w:val="009E7793"/>
    <w:rsid w:val="009F1B6C"/>
    <w:rsid w:val="009F5CDC"/>
    <w:rsid w:val="00A0268F"/>
    <w:rsid w:val="00A1213C"/>
    <w:rsid w:val="00A156D6"/>
    <w:rsid w:val="00A15BD1"/>
    <w:rsid w:val="00A26B78"/>
    <w:rsid w:val="00A42899"/>
    <w:rsid w:val="00A4390D"/>
    <w:rsid w:val="00A50977"/>
    <w:rsid w:val="00A62E7E"/>
    <w:rsid w:val="00A7008E"/>
    <w:rsid w:val="00A75773"/>
    <w:rsid w:val="00A775CF"/>
    <w:rsid w:val="00A83117"/>
    <w:rsid w:val="00A9350C"/>
    <w:rsid w:val="00A97EE3"/>
    <w:rsid w:val="00AB3C7E"/>
    <w:rsid w:val="00AB5559"/>
    <w:rsid w:val="00AD1BA0"/>
    <w:rsid w:val="00AE1FA9"/>
    <w:rsid w:val="00AE5B74"/>
    <w:rsid w:val="00AF0C83"/>
    <w:rsid w:val="00B06045"/>
    <w:rsid w:val="00B065EE"/>
    <w:rsid w:val="00B1053A"/>
    <w:rsid w:val="00B13434"/>
    <w:rsid w:val="00B13583"/>
    <w:rsid w:val="00B14DA4"/>
    <w:rsid w:val="00B16423"/>
    <w:rsid w:val="00B205FA"/>
    <w:rsid w:val="00B21CE2"/>
    <w:rsid w:val="00B24A59"/>
    <w:rsid w:val="00B27C2B"/>
    <w:rsid w:val="00B3229F"/>
    <w:rsid w:val="00B33FA4"/>
    <w:rsid w:val="00B4692B"/>
    <w:rsid w:val="00B63A2A"/>
    <w:rsid w:val="00B66DAE"/>
    <w:rsid w:val="00B66FB8"/>
    <w:rsid w:val="00B75D71"/>
    <w:rsid w:val="00B76B05"/>
    <w:rsid w:val="00B77271"/>
    <w:rsid w:val="00B80CAF"/>
    <w:rsid w:val="00B848D9"/>
    <w:rsid w:val="00B90EB4"/>
    <w:rsid w:val="00B91498"/>
    <w:rsid w:val="00B94F6C"/>
    <w:rsid w:val="00BB0F86"/>
    <w:rsid w:val="00BC1FAD"/>
    <w:rsid w:val="00BD0910"/>
    <w:rsid w:val="00BE121C"/>
    <w:rsid w:val="00BE36EA"/>
    <w:rsid w:val="00BE388A"/>
    <w:rsid w:val="00C017F2"/>
    <w:rsid w:val="00C11C48"/>
    <w:rsid w:val="00C22295"/>
    <w:rsid w:val="00C33456"/>
    <w:rsid w:val="00C334DF"/>
    <w:rsid w:val="00C33CE8"/>
    <w:rsid w:val="00C35A27"/>
    <w:rsid w:val="00C372F3"/>
    <w:rsid w:val="00C405FD"/>
    <w:rsid w:val="00C407DB"/>
    <w:rsid w:val="00C42E4E"/>
    <w:rsid w:val="00C45594"/>
    <w:rsid w:val="00C46FA2"/>
    <w:rsid w:val="00C536C9"/>
    <w:rsid w:val="00C652EF"/>
    <w:rsid w:val="00C70B2B"/>
    <w:rsid w:val="00C83065"/>
    <w:rsid w:val="00C925BE"/>
    <w:rsid w:val="00C97AC1"/>
    <w:rsid w:val="00CA383E"/>
    <w:rsid w:val="00CA7139"/>
    <w:rsid w:val="00CC6152"/>
    <w:rsid w:val="00CC6220"/>
    <w:rsid w:val="00CD6797"/>
    <w:rsid w:val="00CD6FA4"/>
    <w:rsid w:val="00CE2705"/>
    <w:rsid w:val="00D13438"/>
    <w:rsid w:val="00D1344A"/>
    <w:rsid w:val="00D13EBF"/>
    <w:rsid w:val="00D14F9D"/>
    <w:rsid w:val="00D20517"/>
    <w:rsid w:val="00D24B6B"/>
    <w:rsid w:val="00D24CF0"/>
    <w:rsid w:val="00D30311"/>
    <w:rsid w:val="00D34446"/>
    <w:rsid w:val="00D45561"/>
    <w:rsid w:val="00D46039"/>
    <w:rsid w:val="00D46B82"/>
    <w:rsid w:val="00D473A7"/>
    <w:rsid w:val="00D47F15"/>
    <w:rsid w:val="00D56948"/>
    <w:rsid w:val="00D665AA"/>
    <w:rsid w:val="00D671E1"/>
    <w:rsid w:val="00D715F1"/>
    <w:rsid w:val="00D725A0"/>
    <w:rsid w:val="00D744D0"/>
    <w:rsid w:val="00D769A8"/>
    <w:rsid w:val="00D76B73"/>
    <w:rsid w:val="00D92F8B"/>
    <w:rsid w:val="00DA2152"/>
    <w:rsid w:val="00DA2A4B"/>
    <w:rsid w:val="00DA43FD"/>
    <w:rsid w:val="00DB33F5"/>
    <w:rsid w:val="00DD6F31"/>
    <w:rsid w:val="00DE47E0"/>
    <w:rsid w:val="00DE6AB1"/>
    <w:rsid w:val="00DE7BAE"/>
    <w:rsid w:val="00DF0D9F"/>
    <w:rsid w:val="00DF4140"/>
    <w:rsid w:val="00E02C2B"/>
    <w:rsid w:val="00E0692A"/>
    <w:rsid w:val="00E240F5"/>
    <w:rsid w:val="00E340CC"/>
    <w:rsid w:val="00E34B7F"/>
    <w:rsid w:val="00E71FC5"/>
    <w:rsid w:val="00E90EC4"/>
    <w:rsid w:val="00E916AB"/>
    <w:rsid w:val="00EA4C2A"/>
    <w:rsid w:val="00EC0F2D"/>
    <w:rsid w:val="00EC2D47"/>
    <w:rsid w:val="00EC3974"/>
    <w:rsid w:val="00EC6637"/>
    <w:rsid w:val="00ED6C48"/>
    <w:rsid w:val="00EF6955"/>
    <w:rsid w:val="00F01E0B"/>
    <w:rsid w:val="00F04C05"/>
    <w:rsid w:val="00F11F90"/>
    <w:rsid w:val="00F261A0"/>
    <w:rsid w:val="00F417CA"/>
    <w:rsid w:val="00F42FBF"/>
    <w:rsid w:val="00F528AE"/>
    <w:rsid w:val="00F57549"/>
    <w:rsid w:val="00F65F5D"/>
    <w:rsid w:val="00F76F66"/>
    <w:rsid w:val="00F86A3A"/>
    <w:rsid w:val="00FA2799"/>
    <w:rsid w:val="00FA61B2"/>
    <w:rsid w:val="00FB0AAC"/>
    <w:rsid w:val="00FB1744"/>
    <w:rsid w:val="00FB4FD1"/>
    <w:rsid w:val="00FC04AB"/>
    <w:rsid w:val="00FC246B"/>
    <w:rsid w:val="00FC2D73"/>
    <w:rsid w:val="00FC60AA"/>
    <w:rsid w:val="00FC6824"/>
    <w:rsid w:val="00FC71AF"/>
    <w:rsid w:val="00FD79B9"/>
    <w:rsid w:val="00FD7D3D"/>
    <w:rsid w:val="00FE06F2"/>
    <w:rsid w:val="00FF58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1B78E55"/>
  <w15:docId w15:val="{67EFE3D1-0DE2-433C-98DF-A5536040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0C7ACC"/>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C7ACC"/>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0C7ACC"/>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FC04AB"/>
    <w:rPr>
      <w:rFonts w:ascii="Times New Roman" w:hAnsi="Times New Roman" w:cs="Times New Roman"/>
      <w:sz w:val="20"/>
      <w:szCs w:val="20"/>
    </w:rPr>
  </w:style>
  <w:style w:type="paragraph" w:styleId="TOC1">
    <w:name w:val="toc 1"/>
    <w:basedOn w:val="Normal"/>
    <w:next w:val="Normal"/>
    <w:autoRedefine/>
    <w:uiPriority w:val="39"/>
    <w:unhideWhenUsed/>
    <w:rsid w:val="00615C92"/>
    <w:pPr>
      <w:spacing w:after="100"/>
    </w:pPr>
  </w:style>
  <w:style w:type="paragraph" w:styleId="TOC2">
    <w:name w:val="toc 2"/>
    <w:basedOn w:val="Normal"/>
    <w:next w:val="Normal"/>
    <w:autoRedefine/>
    <w:uiPriority w:val="39"/>
    <w:unhideWhenUsed/>
    <w:rsid w:val="00615C92"/>
    <w:pPr>
      <w:spacing w:after="100"/>
      <w:ind w:left="200"/>
    </w:pPr>
  </w:style>
  <w:style w:type="paragraph" w:styleId="TOC3">
    <w:name w:val="toc 3"/>
    <w:basedOn w:val="Normal"/>
    <w:next w:val="Normal"/>
    <w:autoRedefine/>
    <w:uiPriority w:val="39"/>
    <w:unhideWhenUsed/>
    <w:rsid w:val="00615C92"/>
    <w:pPr>
      <w:spacing w:after="100"/>
      <w:ind w:left="400"/>
    </w:pPr>
  </w:style>
  <w:style w:type="character" w:styleId="Hyperlink">
    <w:name w:val="Hyperlink"/>
    <w:basedOn w:val="DefaultParagraphFont"/>
    <w:uiPriority w:val="99"/>
    <w:unhideWhenUsed/>
    <w:rsid w:val="00615C92"/>
    <w:rPr>
      <w:color w:val="0000FF" w:themeColor="hyperlink"/>
      <w:u w:val="single"/>
    </w:rPr>
  </w:style>
  <w:style w:type="character" w:styleId="CommentReference">
    <w:name w:val="annotation reference"/>
    <w:basedOn w:val="DefaultParagraphFont"/>
    <w:uiPriority w:val="99"/>
    <w:semiHidden/>
    <w:unhideWhenUsed/>
    <w:rsid w:val="008E6817"/>
    <w:rPr>
      <w:sz w:val="16"/>
      <w:szCs w:val="16"/>
    </w:rPr>
  </w:style>
  <w:style w:type="paragraph" w:styleId="CommentText">
    <w:name w:val="annotation text"/>
    <w:basedOn w:val="Normal"/>
    <w:link w:val="CommentTextChar"/>
    <w:uiPriority w:val="99"/>
    <w:semiHidden/>
    <w:unhideWhenUsed/>
    <w:rsid w:val="008E6817"/>
    <w:pPr>
      <w:spacing w:line="240" w:lineRule="auto"/>
    </w:pPr>
  </w:style>
  <w:style w:type="character" w:customStyle="1" w:styleId="CommentTextChar">
    <w:name w:val="Comment Text Char"/>
    <w:basedOn w:val="DefaultParagraphFont"/>
    <w:link w:val="CommentText"/>
    <w:uiPriority w:val="99"/>
    <w:semiHidden/>
    <w:rsid w:val="008E681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E6817"/>
    <w:rPr>
      <w:b/>
      <w:bCs/>
    </w:rPr>
  </w:style>
  <w:style w:type="character" w:customStyle="1" w:styleId="CommentSubjectChar">
    <w:name w:val="Comment Subject Char"/>
    <w:basedOn w:val="CommentTextChar"/>
    <w:link w:val="CommentSubject"/>
    <w:uiPriority w:val="99"/>
    <w:semiHidden/>
    <w:rsid w:val="008E6817"/>
    <w:rPr>
      <w:rFonts w:ascii="Times New Roman" w:eastAsia="Times New Roman" w:hAnsi="Times New Roman" w:cs="Times New Roman"/>
      <w:b/>
      <w:bCs/>
      <w:sz w:val="20"/>
      <w:szCs w:val="20"/>
      <w:lang w:eastAsia="en-US"/>
    </w:rPr>
  </w:style>
  <w:style w:type="paragraph" w:styleId="Revision">
    <w:name w:val="Revision"/>
    <w:hidden/>
    <w:uiPriority w:val="99"/>
    <w:semiHidden/>
    <w:rsid w:val="008E6817"/>
    <w:pPr>
      <w:spacing w:after="0" w:line="240" w:lineRule="auto"/>
    </w:pPr>
    <w:rPr>
      <w:rFonts w:ascii="Times New Roman" w:eastAsia="Times New Roman" w:hAnsi="Times New Roman" w:cs="Times New Roman"/>
      <w:sz w:val="20"/>
      <w:szCs w:val="20"/>
      <w:lang w:eastAsia="en-US"/>
    </w:rPr>
  </w:style>
  <w:style w:type="character" w:customStyle="1" w:styleId="HChGChar">
    <w:name w:val="_ H _Ch_G Char"/>
    <w:link w:val="HChG"/>
    <w:locked/>
    <w:rsid w:val="003539FD"/>
    <w:rPr>
      <w:rFonts w:ascii="Times New Roman" w:eastAsia="Times New Roman" w:hAnsi="Times New Roman" w:cs="Times New Roman"/>
      <w:b/>
      <w:sz w:val="28"/>
      <w:szCs w:val="20"/>
      <w:lang w:eastAsia="en-US"/>
    </w:rPr>
  </w:style>
  <w:style w:type="character" w:customStyle="1" w:styleId="H1GChar">
    <w:name w:val="_ H_1_G Char"/>
    <w:link w:val="H1G"/>
    <w:rsid w:val="00781142"/>
    <w:rPr>
      <w:rFonts w:ascii="Times New Roman" w:eastAsia="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993530685">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oj/direct-acce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55BF8-AE40-47BF-A147-CCFD9C88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21</Pages>
  <Words>6957</Words>
  <Characters>39655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1720737</vt:lpstr>
    </vt:vector>
  </TitlesOfParts>
  <Company>DCM</Company>
  <LinksUpToDate>false</LinksUpToDate>
  <CharactersWithSpaces>46519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1720737</dc:title>
  <dc:subject>ECE/TRANS/WP.15/239</dc:subject>
  <dc:creator>Maria Rosario GATMAYTAN</dc:creator>
  <cp:keywords/>
  <dc:description/>
  <cp:lastModifiedBy>Christine Barrio-Champeau</cp:lastModifiedBy>
  <cp:revision>20</cp:revision>
  <cp:lastPrinted>2018-12-12T10:40:00Z</cp:lastPrinted>
  <dcterms:created xsi:type="dcterms:W3CDTF">2018-12-11T15:37:00Z</dcterms:created>
  <dcterms:modified xsi:type="dcterms:W3CDTF">2018-12-12T10:53:00Z</dcterms:modified>
</cp:coreProperties>
</file>