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43DC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43DC8" w:rsidP="00043DC8">
            <w:pPr>
              <w:jc w:val="right"/>
            </w:pPr>
            <w:r w:rsidRPr="00043DC8">
              <w:rPr>
                <w:sz w:val="40"/>
              </w:rPr>
              <w:t>ECE</w:t>
            </w:r>
            <w:r>
              <w:t>/TRANS/WP.15/AC.1/2018/19</w:t>
            </w:r>
          </w:p>
        </w:tc>
      </w:tr>
      <w:tr w:rsidR="002D5AAC" w:rsidRPr="0003267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43DC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43DC8" w:rsidRDefault="00043DC8" w:rsidP="00043DC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June 2018</w:t>
            </w:r>
          </w:p>
          <w:p w:rsidR="00043DC8" w:rsidRDefault="00043DC8" w:rsidP="00043DC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43DC8" w:rsidRPr="008D53B6" w:rsidRDefault="00043DC8" w:rsidP="00043DC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43DC8" w:rsidRPr="00B302B1" w:rsidRDefault="00043DC8" w:rsidP="00043DC8">
      <w:pPr>
        <w:spacing w:before="120"/>
        <w:rPr>
          <w:sz w:val="28"/>
          <w:szCs w:val="28"/>
        </w:rPr>
      </w:pPr>
      <w:r w:rsidRPr="00B302B1">
        <w:rPr>
          <w:sz w:val="28"/>
          <w:szCs w:val="28"/>
        </w:rPr>
        <w:t>Комитет по внутреннему транспорту</w:t>
      </w:r>
    </w:p>
    <w:p w:rsidR="00043DC8" w:rsidRPr="00B302B1" w:rsidRDefault="00043DC8" w:rsidP="00043DC8">
      <w:pPr>
        <w:spacing w:before="120" w:after="120"/>
        <w:rPr>
          <w:b/>
          <w:bCs/>
          <w:sz w:val="24"/>
          <w:szCs w:val="24"/>
        </w:rPr>
      </w:pPr>
      <w:r w:rsidRPr="00B302B1">
        <w:rPr>
          <w:b/>
          <w:bCs/>
          <w:sz w:val="24"/>
          <w:szCs w:val="24"/>
        </w:rPr>
        <w:t>Рабочая группа по перевозкам опасных грузов</w:t>
      </w:r>
    </w:p>
    <w:p w:rsidR="00043DC8" w:rsidRPr="00B302B1" w:rsidRDefault="00043DC8" w:rsidP="00043DC8">
      <w:pPr>
        <w:rPr>
          <w:b/>
          <w:bCs/>
        </w:rPr>
      </w:pPr>
      <w:r w:rsidRPr="00B302B1"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</w:r>
      <w:r w:rsidR="00BF0A64" w:rsidRPr="00B302B1">
        <w:rPr>
          <w:b/>
          <w:bCs/>
        </w:rPr>
        <w:t xml:space="preserve">и </w:t>
      </w:r>
      <w:r w:rsidRPr="00B302B1">
        <w:rPr>
          <w:b/>
          <w:bCs/>
        </w:rPr>
        <w:t>Рабочей группы по перевозкам опасных грузов</w:t>
      </w:r>
    </w:p>
    <w:p w:rsidR="00043DC8" w:rsidRPr="00B302B1" w:rsidRDefault="00043DC8" w:rsidP="00043DC8">
      <w:r>
        <w:t>Женева, 17–21 сентября 2018 года</w:t>
      </w:r>
    </w:p>
    <w:p w:rsidR="00043DC8" w:rsidRPr="00B302B1" w:rsidRDefault="00043DC8" w:rsidP="00043DC8">
      <w:r>
        <w:t>Пункт 5 b) предварительной повестки дня</w:t>
      </w:r>
    </w:p>
    <w:p w:rsidR="00043DC8" w:rsidRDefault="00043DC8" w:rsidP="00043DC8">
      <w:pPr>
        <w:suppressAutoHyphens w:val="0"/>
        <w:spacing w:line="240" w:lineRule="auto"/>
      </w:pPr>
      <w:r w:rsidRPr="00B302B1">
        <w:rPr>
          <w:b/>
          <w:bCs/>
        </w:rPr>
        <w:t xml:space="preserve">Предложения о внесении поправок в МПОГ/ДОПОГ/ВОПОГ: </w:t>
      </w:r>
      <w:r>
        <w:rPr>
          <w:b/>
          <w:bCs/>
        </w:rPr>
        <w:br/>
      </w:r>
      <w:r w:rsidRPr="00B302B1">
        <w:rPr>
          <w:b/>
          <w:bCs/>
        </w:rPr>
        <w:t>новые предложения</w:t>
      </w:r>
    </w:p>
    <w:p w:rsidR="00043DC8" w:rsidRPr="00043DC8" w:rsidRDefault="00043DC8" w:rsidP="00043DC8">
      <w:pPr>
        <w:pStyle w:val="HChGR"/>
      </w:pPr>
      <w:r>
        <w:tab/>
      </w:r>
      <w:r>
        <w:tab/>
      </w:r>
      <w:r w:rsidRPr="00043DC8">
        <w:t xml:space="preserve">№ ООН </w:t>
      </w:r>
      <w:r w:rsidR="00032670">
        <w:rPr>
          <w:lang w:val="en-US"/>
        </w:rPr>
        <w:t xml:space="preserve">1010 </w:t>
      </w:r>
      <w:r w:rsidRPr="00043DC8">
        <w:t>Бутадиены, стабилизированные</w:t>
      </w:r>
    </w:p>
    <w:p w:rsidR="00043DC8" w:rsidRPr="00043DC8" w:rsidRDefault="00043DC8" w:rsidP="00043DC8">
      <w:pPr>
        <w:pStyle w:val="H1GR"/>
        <w:rPr>
          <w:lang w:val="en-US"/>
        </w:rPr>
      </w:pPr>
      <w:r w:rsidRPr="00043DC8">
        <w:tab/>
      </w:r>
      <w:r w:rsidRPr="00043DC8">
        <w:tab/>
        <w:t>Передано правительством Испании</w:t>
      </w:r>
      <w:r w:rsidRPr="00043DC8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043DC8">
        <w:rPr>
          <w:b w:val="0"/>
          <w:sz w:val="20"/>
          <w:lang w:val="en-US"/>
        </w:rPr>
        <w:t xml:space="preserve"> </w:t>
      </w:r>
      <w:r w:rsidRPr="00043DC8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043DC8" w:rsidRPr="00043DC8" w:rsidTr="00043DC8">
        <w:trPr>
          <w:jc w:val="center"/>
        </w:trPr>
        <w:tc>
          <w:tcPr>
            <w:tcW w:w="9628" w:type="dxa"/>
            <w:tcBorders>
              <w:bottom w:val="nil"/>
            </w:tcBorders>
          </w:tcPr>
          <w:p w:rsidR="00043DC8" w:rsidRPr="00043DC8" w:rsidRDefault="00043DC8" w:rsidP="00850215">
            <w:pPr>
              <w:tabs>
                <w:tab w:val="left" w:pos="255"/>
              </w:tabs>
              <w:spacing w:before="240" w:after="120"/>
              <w:rPr>
                <w:rFonts w:ascii="Times New Roman" w:hAnsi="Times New Roman" w:cs="Times New Roman"/>
                <w:sz w:val="24"/>
              </w:rPr>
            </w:pPr>
            <w:r w:rsidRPr="00043DC8">
              <w:rPr>
                <w:rFonts w:ascii="Times New Roman" w:hAnsi="Times New Roman" w:cs="Times New Roman"/>
              </w:rPr>
              <w:tab/>
            </w:r>
            <w:r w:rsidRPr="00043DC8">
              <w:rPr>
                <w:rFonts w:ascii="Times New Roman" w:hAnsi="Times New Roman" w:cs="Times New Roman"/>
                <w:i/>
                <w:sz w:val="24"/>
              </w:rPr>
              <w:t>Резюме</w:t>
            </w:r>
          </w:p>
        </w:tc>
      </w:tr>
      <w:tr w:rsidR="00043DC8" w:rsidRPr="00043DC8" w:rsidTr="00043DC8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043DC8" w:rsidRPr="00043DC8" w:rsidRDefault="00043DC8" w:rsidP="00043DC8">
            <w:pPr>
              <w:tabs>
                <w:tab w:val="left" w:pos="255"/>
              </w:tabs>
              <w:spacing w:after="120"/>
              <w:ind w:left="2835" w:right="1134" w:hanging="28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ab/>
            </w:r>
            <w:r w:rsidRPr="00043DC8">
              <w:rPr>
                <w:rFonts w:ascii="Times New Roman" w:hAnsi="Times New Roman"/>
                <w:b/>
                <w:sz w:val="20"/>
                <w:szCs w:val="20"/>
              </w:rPr>
              <w:t>Существо предложения:</w:t>
            </w:r>
            <w:r w:rsidRPr="00043D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3DC8">
              <w:rPr>
                <w:rFonts w:ascii="Times New Roman" w:hAnsi="Times New Roman"/>
                <w:sz w:val="20"/>
                <w:szCs w:val="20"/>
              </w:rPr>
              <w:tab/>
              <w:t>Изучить возможность сог</w:t>
            </w:r>
            <w:r>
              <w:rPr>
                <w:rFonts w:ascii="Times New Roman" w:hAnsi="Times New Roman"/>
                <w:sz w:val="20"/>
                <w:szCs w:val="20"/>
              </w:rPr>
              <w:t>ласования описания № ООН 1010 в </w:t>
            </w:r>
            <w:r w:rsidRPr="00043DC8">
              <w:rPr>
                <w:rFonts w:ascii="Times New Roman" w:hAnsi="Times New Roman"/>
                <w:sz w:val="20"/>
                <w:szCs w:val="20"/>
              </w:rPr>
              <w:t xml:space="preserve">МПОГ/ДОПОГ с описанием в Типовых правилах.  </w:t>
            </w:r>
          </w:p>
          <w:p w:rsidR="00043DC8" w:rsidRPr="00043DC8" w:rsidRDefault="00043DC8" w:rsidP="00043DC8">
            <w:pPr>
              <w:tabs>
                <w:tab w:val="left" w:pos="255"/>
              </w:tabs>
              <w:spacing w:after="120"/>
              <w:ind w:left="2835" w:right="1134" w:hanging="28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043DC8">
              <w:rPr>
                <w:rFonts w:ascii="Times New Roman" w:hAnsi="Times New Roman"/>
                <w:b/>
                <w:sz w:val="20"/>
                <w:szCs w:val="20"/>
              </w:rPr>
              <w:t>Предлагаемое решение:</w:t>
            </w:r>
            <w:r w:rsidRPr="00043DC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043DC8">
              <w:rPr>
                <w:rFonts w:ascii="Times New Roman" w:hAnsi="Times New Roman"/>
                <w:sz w:val="20"/>
                <w:szCs w:val="20"/>
              </w:rPr>
              <w:tab/>
              <w:t>Изменить описание № ООН 1010 в таблице А в главе 3.2 МПОГ/ДОПОГ.</w:t>
            </w:r>
          </w:p>
          <w:p w:rsidR="00043DC8" w:rsidRPr="00043DC8" w:rsidRDefault="00043DC8" w:rsidP="00043DC8">
            <w:pPr>
              <w:tabs>
                <w:tab w:val="left" w:pos="255"/>
              </w:tabs>
              <w:spacing w:after="120"/>
              <w:ind w:left="2835" w:right="1134" w:hanging="28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043DC8">
              <w:rPr>
                <w:rFonts w:ascii="Times New Roman" w:hAnsi="Times New Roman"/>
                <w:b/>
                <w:sz w:val="20"/>
                <w:szCs w:val="20"/>
              </w:rPr>
              <w:t>Справочные документы:</w:t>
            </w:r>
            <w:r w:rsidRPr="00043DC8">
              <w:rPr>
                <w:rFonts w:ascii="Times New Roman" w:hAnsi="Times New Roman"/>
                <w:sz w:val="20"/>
                <w:szCs w:val="20"/>
              </w:rPr>
              <w:tab/>
              <w:t xml:space="preserve">ST/SG/AC.10/C.3/46, пункты 13–14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43DC8">
              <w:rPr>
                <w:rFonts w:ascii="Times New Roman" w:hAnsi="Times New Roman"/>
                <w:sz w:val="20"/>
                <w:szCs w:val="20"/>
                <w:lang w:val="en-US"/>
              </w:rPr>
              <w:t>ST</w:t>
            </w:r>
            <w:r w:rsidRPr="00043DC8">
              <w:rPr>
                <w:rFonts w:ascii="Times New Roman" w:hAnsi="Times New Roman"/>
                <w:sz w:val="20"/>
                <w:szCs w:val="20"/>
              </w:rPr>
              <w:t>/</w:t>
            </w:r>
            <w:r w:rsidRPr="00043DC8">
              <w:rPr>
                <w:rFonts w:ascii="Times New Roman" w:hAnsi="Times New Roman"/>
                <w:sz w:val="20"/>
                <w:szCs w:val="20"/>
                <w:lang w:val="en-US"/>
              </w:rPr>
              <w:t>SG</w:t>
            </w:r>
            <w:r w:rsidRPr="00043DC8">
              <w:rPr>
                <w:rFonts w:ascii="Times New Roman" w:hAnsi="Times New Roman"/>
                <w:sz w:val="20"/>
                <w:szCs w:val="20"/>
              </w:rPr>
              <w:t>/</w:t>
            </w:r>
            <w:r w:rsidRPr="00043DC8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043DC8">
              <w:rPr>
                <w:rFonts w:ascii="Times New Roman" w:hAnsi="Times New Roman"/>
                <w:sz w:val="20"/>
                <w:szCs w:val="20"/>
              </w:rPr>
              <w:t>.10/</w:t>
            </w:r>
            <w:r w:rsidRPr="00043DC8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043DC8">
              <w:rPr>
                <w:rFonts w:ascii="Times New Roman" w:hAnsi="Times New Roman"/>
                <w:sz w:val="20"/>
                <w:szCs w:val="20"/>
              </w:rPr>
              <w:t>.3/2003/12 (ЕАПГ)</w:t>
            </w:r>
            <w:r w:rsidRPr="00043DC8">
              <w:rPr>
                <w:rFonts w:ascii="Times New Roman" w:hAnsi="Times New Roman"/>
                <w:sz w:val="20"/>
                <w:szCs w:val="20"/>
              </w:rPr>
              <w:br/>
            </w:r>
            <w:r w:rsidRPr="00043DC8">
              <w:rPr>
                <w:rFonts w:ascii="Times New Roman" w:hAnsi="Times New Roman"/>
                <w:sz w:val="20"/>
                <w:szCs w:val="20"/>
              </w:rPr>
              <w:tab/>
              <w:t>INF.37 (Подкомитет экспертов по перевозке опасных грузов (Подкомитет по ПОГ), двадцать третья сессия)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43DC8">
              <w:rPr>
                <w:rFonts w:ascii="Times New Roman" w:hAnsi="Times New Roman"/>
                <w:sz w:val="20"/>
                <w:szCs w:val="20"/>
              </w:rPr>
              <w:t xml:space="preserve">TRANS/WP.15/AC.1/94, пункты 10–13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B82530">
              <w:rPr>
                <w:rFonts w:ascii="Times New Roman" w:hAnsi="Times New Roman"/>
                <w:sz w:val="20"/>
                <w:szCs w:val="20"/>
              </w:rPr>
              <w:t>INF.</w:t>
            </w:r>
            <w:r w:rsidRPr="00043DC8">
              <w:rPr>
                <w:rFonts w:ascii="Times New Roman" w:hAnsi="Times New Roman"/>
                <w:sz w:val="20"/>
                <w:szCs w:val="20"/>
              </w:rPr>
              <w:t>4 (Совместное совещание МПОГ/ДОПОГ/ВОПОГ, осенняя сессия 2003 года)</w:t>
            </w:r>
          </w:p>
        </w:tc>
      </w:tr>
      <w:tr w:rsidR="00043DC8" w:rsidRPr="00043DC8" w:rsidTr="00043DC8">
        <w:trPr>
          <w:jc w:val="center"/>
        </w:trPr>
        <w:tc>
          <w:tcPr>
            <w:tcW w:w="9628" w:type="dxa"/>
            <w:tcBorders>
              <w:top w:val="nil"/>
            </w:tcBorders>
          </w:tcPr>
          <w:p w:rsidR="00043DC8" w:rsidRPr="00043DC8" w:rsidRDefault="00043DC8" w:rsidP="00850215">
            <w:pPr>
              <w:rPr>
                <w:rFonts w:ascii="Times New Roman" w:hAnsi="Times New Roman" w:cs="Times New Roman"/>
              </w:rPr>
            </w:pPr>
          </w:p>
        </w:tc>
      </w:tr>
    </w:tbl>
    <w:p w:rsidR="00043DC8" w:rsidRPr="00043DC8" w:rsidRDefault="00043DC8" w:rsidP="00043DC8">
      <w:pPr>
        <w:pStyle w:val="HChGR"/>
      </w:pPr>
      <w:r>
        <w:tab/>
      </w:r>
      <w:r>
        <w:tab/>
      </w:r>
      <w:r w:rsidRPr="00043DC8">
        <w:t>Общие сведения</w:t>
      </w:r>
    </w:p>
    <w:p w:rsidR="00043DC8" w:rsidRPr="00043DC8" w:rsidRDefault="00043DC8" w:rsidP="00043DC8">
      <w:pPr>
        <w:pStyle w:val="SingleTxtGR"/>
      </w:pPr>
      <w:r w:rsidRPr="00043DC8">
        <w:t>1.</w:t>
      </w:r>
      <w:r w:rsidRPr="00043DC8">
        <w:tab/>
        <w:t xml:space="preserve">В 2016 году эксперт от Испании обратил внимание секретариата Подкомитета по ПОГ на ряд несоответствий в наименовании и описании позиций для некоторых номеров ООН в МКМПОГ и Типовых правилах на испанском языке. Секретариат </w:t>
      </w:r>
      <w:r w:rsidRPr="00043DC8">
        <w:lastRenderedPageBreak/>
        <w:t>систематизировал эти расхождения, разбив их на различные группы (см.</w:t>
      </w:r>
      <w:r>
        <w:t> </w:t>
      </w:r>
      <w:r w:rsidR="00B82530">
        <w:t>неофициальный документ INF.</w:t>
      </w:r>
      <w:r w:rsidRPr="00043DC8">
        <w:t xml:space="preserve">42, представленный на сорок девятой сессии Подкомитета по ПОГ). Испания продолжила работу по этому вопросу, включив в сферу охвата исследования варианты на испанском языке, используемые не только в Типовых правилах и МКМПОГ, но и в Технических инструкциях ИКАО, в МПОГ и ДОПОГ. </w:t>
      </w:r>
    </w:p>
    <w:p w:rsidR="00043DC8" w:rsidRPr="00043DC8" w:rsidRDefault="00043DC8" w:rsidP="00043DC8">
      <w:pPr>
        <w:pStyle w:val="SingleTxtGR"/>
      </w:pPr>
      <w:r w:rsidRPr="00043DC8">
        <w:t>2.</w:t>
      </w:r>
      <w:r w:rsidRPr="00043DC8">
        <w:tab/>
        <w:t>В ходе изучения Испания заметила расхождения между наименованием и описанием № ООН 1010 в Типовых правилах (на всех языках) и в МПОГ/ДОПОГ.</w:t>
      </w:r>
    </w:p>
    <w:p w:rsidR="00043DC8" w:rsidRPr="00043DC8" w:rsidRDefault="00043DC8" w:rsidP="00043DC8">
      <w:pPr>
        <w:pStyle w:val="SingleTxtGR"/>
      </w:pPr>
      <w:r w:rsidRPr="00043DC8">
        <w:t>3.</w:t>
      </w:r>
      <w:r w:rsidRPr="00043DC8">
        <w:tab/>
        <w:t>В Типовых правилах позиция для № ООН 1010 гласит следующее:</w:t>
      </w:r>
    </w:p>
    <w:p w:rsidR="00043DC8" w:rsidRPr="00043DC8" w:rsidRDefault="00B82530" w:rsidP="00B82530">
      <w:pPr>
        <w:pStyle w:val="SingleTxtGR"/>
        <w:ind w:left="1701" w:hanging="567"/>
      </w:pPr>
      <w:r>
        <w:tab/>
      </w:r>
      <w:r w:rsidR="00043DC8" w:rsidRPr="00043DC8">
        <w:t>«1010 БУТАДИЕНЫ, СТА</w:t>
      </w:r>
      <w:r>
        <w:t>БИЛИЗИРОВАННЫЕ или БУТАДИЕНОВ И </w:t>
      </w:r>
      <w:r w:rsidR="00043DC8" w:rsidRPr="00043DC8">
        <w:t>УГЛЕВОДОРОДА СМЕСЬ, СТАБИЛИЗ</w:t>
      </w:r>
      <w:r>
        <w:t>ИРОВАННАЯ, содержащая более 40% </w:t>
      </w:r>
      <w:r w:rsidR="00043DC8" w:rsidRPr="00043DC8">
        <w:t>бутадиенов».</w:t>
      </w:r>
    </w:p>
    <w:p w:rsidR="00043DC8" w:rsidRPr="00043DC8" w:rsidRDefault="00043DC8" w:rsidP="00043DC8">
      <w:pPr>
        <w:pStyle w:val="SingleTxtGR"/>
      </w:pPr>
      <w:r w:rsidRPr="00043DC8">
        <w:t>4.</w:t>
      </w:r>
      <w:r w:rsidRPr="00043DC8">
        <w:tab/>
        <w:t>В настоящее время соответствующая позиция в МПОГ/ДОПОГ гласит следующее:</w:t>
      </w:r>
    </w:p>
    <w:p w:rsidR="00043DC8" w:rsidRPr="00043DC8" w:rsidRDefault="00B82530" w:rsidP="00B82530">
      <w:pPr>
        <w:pStyle w:val="SingleTxtGR"/>
        <w:ind w:left="1701" w:hanging="567"/>
      </w:pPr>
      <w:r>
        <w:tab/>
      </w:r>
      <w:r w:rsidR="00043DC8" w:rsidRPr="00043DC8">
        <w:t>«1010 БУТАДИЕНЫ СТА</w:t>
      </w:r>
      <w:r>
        <w:t>БИЛИЗИРОВАННЫЕ или БУТАДИЕНОВ И </w:t>
      </w:r>
      <w:r w:rsidR="00043DC8" w:rsidRPr="00043DC8">
        <w:t>УГЛЕВОДОРОДА СМЕСЬ СТАБИЛИЗИРОВАННАЯ, имеющая при 70</w:t>
      </w:r>
      <w:r>
        <w:t> </w:t>
      </w:r>
      <w:r w:rsidR="00043DC8" w:rsidRPr="00043DC8">
        <w:t>°С</w:t>
      </w:r>
      <w:r>
        <w:t> </w:t>
      </w:r>
      <w:r w:rsidR="00043DC8" w:rsidRPr="00043DC8">
        <w:t>давление паров, не превышающее 1,1 МПа (11 бар), и имеющая при 50</w:t>
      </w:r>
      <w:r>
        <w:t> </w:t>
      </w:r>
      <w:r w:rsidR="00043DC8" w:rsidRPr="00043DC8">
        <w:t>°С</w:t>
      </w:r>
      <w:r>
        <w:t> </w:t>
      </w:r>
      <w:r w:rsidR="00043DC8" w:rsidRPr="00043DC8">
        <w:t>плотность не менее 0,525 кг/л».</w:t>
      </w:r>
    </w:p>
    <w:p w:rsidR="00043DC8" w:rsidRPr="00043DC8" w:rsidRDefault="00043DC8" w:rsidP="00043DC8">
      <w:pPr>
        <w:pStyle w:val="SingleTxtGR"/>
      </w:pPr>
      <w:r w:rsidRPr="00043DC8">
        <w:t>5.</w:t>
      </w:r>
      <w:r w:rsidRPr="00043DC8">
        <w:tab/>
        <w:t>Эти две формулировки не являются эквивалентными, и под № ООН 1010 могут перевозиться явно различные вещества в зависимости от используемого описания (т.</w:t>
      </w:r>
      <w:r w:rsidR="00441720">
        <w:t> </w:t>
      </w:r>
      <w:r w:rsidRPr="00043DC8">
        <w:t>е.</w:t>
      </w:r>
      <w:r w:rsidR="00441720">
        <w:t> </w:t>
      </w:r>
      <w:r w:rsidRPr="00043DC8">
        <w:t>описания из Типовых правил или описания из МПОГ/ДОПОГ).</w:t>
      </w:r>
    </w:p>
    <w:p w:rsidR="00043DC8" w:rsidRPr="00043DC8" w:rsidRDefault="00043DC8" w:rsidP="00043DC8">
      <w:pPr>
        <w:pStyle w:val="HChGR"/>
      </w:pPr>
      <w:r w:rsidRPr="00043DC8">
        <w:tab/>
      </w:r>
      <w:r w:rsidRPr="00043DC8">
        <w:tab/>
        <w:t>Анализ</w:t>
      </w:r>
    </w:p>
    <w:p w:rsidR="00043DC8" w:rsidRPr="00043DC8" w:rsidRDefault="00043DC8" w:rsidP="00043DC8">
      <w:pPr>
        <w:pStyle w:val="SingleTxtGR"/>
      </w:pPr>
      <w:r w:rsidRPr="00043DC8">
        <w:t>6.</w:t>
      </w:r>
      <w:r w:rsidRPr="00043DC8">
        <w:tab/>
        <w:t>Расхождения между описаниями в Типовых правилах и МПОГ/ДОПОГ существуют уже в течение нескольких лет. Соответствующие документы и предложения Совместного совещания и Подкомитета по ПОГ по этому вопросу перечислены в резюме выше.</w:t>
      </w:r>
    </w:p>
    <w:p w:rsidR="00043DC8" w:rsidRPr="00043DC8" w:rsidRDefault="00043DC8" w:rsidP="00043DC8">
      <w:pPr>
        <w:pStyle w:val="SingleTxtGR"/>
      </w:pPr>
      <w:r w:rsidRPr="00043DC8">
        <w:t>7.</w:t>
      </w:r>
      <w:r w:rsidRPr="00043DC8">
        <w:tab/>
        <w:t xml:space="preserve">Дискуссии показали, что мнения разделились. С одной стороны, некоторые европейские перевозчики полагали, что некоторые смеси бутадиенов с содержанием бутадиенов менее 40% также необходимо стабилизировать и что было бы небезопасно перевозить эти бутадиены по условиям какой-либо позиции </w:t>
      </w:r>
      <w:r>
        <w:t>«Н.У.К.»</w:t>
      </w:r>
      <w:r w:rsidRPr="00043DC8">
        <w:t>. С другой стороны, представители Соединенных Штатов Америки не считали, что такие выводы могут быть верными. Поэтому в итоге Совместное совещание решило принять описание, отличающееся от описания в Типовых правилах.</w:t>
      </w:r>
    </w:p>
    <w:p w:rsidR="00043DC8" w:rsidRPr="00043DC8" w:rsidRDefault="00043DC8" w:rsidP="00043DC8">
      <w:pPr>
        <w:pStyle w:val="SingleTxtGR"/>
      </w:pPr>
      <w:r w:rsidRPr="00043DC8">
        <w:t>8.</w:t>
      </w:r>
      <w:r w:rsidRPr="00043DC8">
        <w:tab/>
        <w:t>Тем не менее, с тех пор как это решение было принято:</w:t>
      </w:r>
    </w:p>
    <w:p w:rsidR="00043DC8" w:rsidRPr="00043DC8" w:rsidRDefault="00043DC8" w:rsidP="00043DC8">
      <w:pPr>
        <w:pStyle w:val="SingleTxtGR"/>
      </w:pPr>
      <w:r>
        <w:tab/>
      </w:r>
      <w:r w:rsidRPr="00043DC8">
        <w:t>а)</w:t>
      </w:r>
      <w:r w:rsidRPr="00043DC8">
        <w:tab/>
        <w:t xml:space="preserve">при перевозке № ООН 1010 в Соединенных Штатах Америки не произошло ни аварий, ни инцидентов и не возникло каких-либо известных проблем; </w:t>
      </w:r>
    </w:p>
    <w:p w:rsidR="00043DC8" w:rsidRPr="00043DC8" w:rsidRDefault="00043DC8" w:rsidP="00043DC8">
      <w:pPr>
        <w:pStyle w:val="SingleTxtGR"/>
      </w:pPr>
      <w:r>
        <w:tab/>
      </w:r>
      <w:r w:rsidRPr="00043DC8">
        <w:t>b)</w:t>
      </w:r>
      <w:r w:rsidRPr="00043DC8">
        <w:tab/>
        <w:t xml:space="preserve">в Испании и в других странах, с которыми были проведены консультации, перевозки бутадиенов или смесей бутадиенов, содержащих менее 40% бутадиенов, по всей видимости, не осуществляются. </w:t>
      </w:r>
    </w:p>
    <w:p w:rsidR="00043DC8" w:rsidRPr="00043DC8" w:rsidRDefault="00043DC8" w:rsidP="00043DC8">
      <w:pPr>
        <w:pStyle w:val="SingleTxtGR"/>
      </w:pPr>
      <w:r w:rsidRPr="00043DC8">
        <w:t>9.</w:t>
      </w:r>
      <w:r w:rsidRPr="00043DC8">
        <w:tab/>
        <w:t>Кроме того, в МПОГ/ДОПОГ был включен пункт 2.2.2.2.1 с общим указанием для всех газов, что «химически неустойчивые газы ... допускаются к перевозке в том случае, если приняты необходимые меры предосторожности для предотвращения возможности опасной реакции разложения или полимеризации».</w:t>
      </w:r>
    </w:p>
    <w:p w:rsidR="00043DC8" w:rsidRPr="00043DC8" w:rsidRDefault="00043DC8" w:rsidP="00043DC8">
      <w:pPr>
        <w:pStyle w:val="SingleTxtGR"/>
      </w:pPr>
      <w:r w:rsidRPr="00043DC8">
        <w:t>10.</w:t>
      </w:r>
      <w:r w:rsidRPr="00043DC8">
        <w:tab/>
        <w:t>Это означает, что, даже если будет перевозиться смесь бутадиенов, содержащая менее 40% бутадиенов, необходимые меры предосторожности должны быть приняты независимо от номера ООН, под которым будет перевозиться данная смесь.</w:t>
      </w:r>
    </w:p>
    <w:p w:rsidR="00043DC8" w:rsidRPr="00043DC8" w:rsidRDefault="00043DC8" w:rsidP="00043DC8">
      <w:pPr>
        <w:pStyle w:val="HChGR"/>
      </w:pPr>
      <w:r w:rsidRPr="00043DC8">
        <w:lastRenderedPageBreak/>
        <w:tab/>
      </w:r>
      <w:r w:rsidRPr="00043DC8">
        <w:tab/>
        <w:t>Предложение</w:t>
      </w:r>
    </w:p>
    <w:p w:rsidR="00E12C5F" w:rsidRDefault="00043DC8" w:rsidP="00043DC8">
      <w:pPr>
        <w:pStyle w:val="SingleTxtGR"/>
      </w:pPr>
      <w:r w:rsidRPr="00043DC8">
        <w:t>11.</w:t>
      </w:r>
      <w:r w:rsidRPr="00043DC8">
        <w:tab/>
        <w:t>Испания предлагает изучить возможность согласования наименования и описания позиции под № ООН 1010 с формулировками, содержащимися в Типовых правилах.</w:t>
      </w:r>
    </w:p>
    <w:p w:rsidR="00043DC8" w:rsidRPr="00043DC8" w:rsidRDefault="00043DC8" w:rsidP="00043DC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43DC8" w:rsidRPr="00043DC8" w:rsidSect="00043DC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F31" w:rsidRPr="00A312BC" w:rsidRDefault="00B64F31" w:rsidP="00A312BC"/>
  </w:endnote>
  <w:endnote w:type="continuationSeparator" w:id="0">
    <w:p w:rsidR="00B64F31" w:rsidRPr="00A312BC" w:rsidRDefault="00B64F3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DC8" w:rsidRPr="00043DC8" w:rsidRDefault="00043DC8">
    <w:pPr>
      <w:pStyle w:val="Footer"/>
    </w:pPr>
    <w:r w:rsidRPr="00043DC8">
      <w:rPr>
        <w:b/>
        <w:sz w:val="18"/>
      </w:rPr>
      <w:fldChar w:fldCharType="begin"/>
    </w:r>
    <w:r w:rsidRPr="00043DC8">
      <w:rPr>
        <w:b/>
        <w:sz w:val="18"/>
      </w:rPr>
      <w:instrText xml:space="preserve"> PAGE  \* MERGEFORMAT </w:instrText>
    </w:r>
    <w:r w:rsidRPr="00043DC8">
      <w:rPr>
        <w:b/>
        <w:sz w:val="18"/>
      </w:rPr>
      <w:fldChar w:fldCharType="separate"/>
    </w:r>
    <w:r w:rsidR="00BB697D">
      <w:rPr>
        <w:b/>
        <w:noProof/>
        <w:sz w:val="18"/>
      </w:rPr>
      <w:t>2</w:t>
    </w:r>
    <w:r w:rsidRPr="00043DC8">
      <w:rPr>
        <w:b/>
        <w:sz w:val="18"/>
      </w:rPr>
      <w:fldChar w:fldCharType="end"/>
    </w:r>
    <w:r>
      <w:rPr>
        <w:b/>
        <w:sz w:val="18"/>
      </w:rPr>
      <w:tab/>
    </w:r>
    <w:r>
      <w:t>GE.18-10439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DC8" w:rsidRPr="00043DC8" w:rsidRDefault="00043DC8" w:rsidP="00043DC8">
    <w:pPr>
      <w:pStyle w:val="Footer"/>
      <w:tabs>
        <w:tab w:val="clear" w:pos="9639"/>
        <w:tab w:val="right" w:pos="9638"/>
      </w:tabs>
      <w:rPr>
        <w:b/>
        <w:sz w:val="18"/>
      </w:rPr>
    </w:pPr>
    <w:r>
      <w:t>GE.18-10439</w:t>
    </w:r>
    <w:r>
      <w:tab/>
    </w:r>
    <w:r w:rsidRPr="00043DC8">
      <w:rPr>
        <w:b/>
        <w:sz w:val="18"/>
      </w:rPr>
      <w:fldChar w:fldCharType="begin"/>
    </w:r>
    <w:r w:rsidRPr="00043DC8">
      <w:rPr>
        <w:b/>
        <w:sz w:val="18"/>
      </w:rPr>
      <w:instrText xml:space="preserve"> PAGE  \* MERGEFORMAT </w:instrText>
    </w:r>
    <w:r w:rsidRPr="00043DC8">
      <w:rPr>
        <w:b/>
        <w:sz w:val="18"/>
      </w:rPr>
      <w:fldChar w:fldCharType="separate"/>
    </w:r>
    <w:r w:rsidR="00BB697D">
      <w:rPr>
        <w:b/>
        <w:noProof/>
        <w:sz w:val="18"/>
      </w:rPr>
      <w:t>3</w:t>
    </w:r>
    <w:r w:rsidRPr="00043DC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043DC8" w:rsidRDefault="00043DC8" w:rsidP="00043DC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18-10439  (R)  020718  030718</w:t>
    </w:r>
    <w:r>
      <w:br/>
    </w:r>
    <w:r w:rsidRPr="00043DC8">
      <w:rPr>
        <w:rFonts w:ascii="C39T30Lfz" w:hAnsi="C39T30Lfz"/>
        <w:kern w:val="14"/>
        <w:sz w:val="56"/>
      </w:rPr>
      <w:t></w:t>
    </w:r>
    <w:r w:rsidRPr="00043DC8">
      <w:rPr>
        <w:rFonts w:ascii="C39T30Lfz" w:hAnsi="C39T30Lfz"/>
        <w:kern w:val="14"/>
        <w:sz w:val="56"/>
      </w:rPr>
      <w:t></w:t>
    </w:r>
    <w:r w:rsidRPr="00043DC8">
      <w:rPr>
        <w:rFonts w:ascii="C39T30Lfz" w:hAnsi="C39T30Lfz"/>
        <w:kern w:val="14"/>
        <w:sz w:val="56"/>
      </w:rPr>
      <w:t></w:t>
    </w:r>
    <w:r w:rsidRPr="00043DC8">
      <w:rPr>
        <w:rFonts w:ascii="C39T30Lfz" w:hAnsi="C39T30Lfz"/>
        <w:kern w:val="14"/>
        <w:sz w:val="56"/>
      </w:rPr>
      <w:t></w:t>
    </w:r>
    <w:r w:rsidRPr="00043DC8">
      <w:rPr>
        <w:rFonts w:ascii="C39T30Lfz" w:hAnsi="C39T30Lfz"/>
        <w:kern w:val="14"/>
        <w:sz w:val="56"/>
      </w:rPr>
      <w:t></w:t>
    </w:r>
    <w:r w:rsidRPr="00043DC8">
      <w:rPr>
        <w:rFonts w:ascii="C39T30Lfz" w:hAnsi="C39T30Lfz"/>
        <w:kern w:val="14"/>
        <w:sz w:val="56"/>
      </w:rPr>
      <w:t></w:t>
    </w:r>
    <w:r w:rsidRPr="00043DC8">
      <w:rPr>
        <w:rFonts w:ascii="C39T30Lfz" w:hAnsi="C39T30Lfz"/>
        <w:kern w:val="14"/>
        <w:sz w:val="56"/>
      </w:rPr>
      <w:t></w:t>
    </w:r>
    <w:r w:rsidRPr="00043DC8">
      <w:rPr>
        <w:rFonts w:ascii="C39T30Lfz" w:hAnsi="C39T30Lfz"/>
        <w:kern w:val="14"/>
        <w:sz w:val="56"/>
      </w:rPr>
      <w:t></w:t>
    </w:r>
    <w:r w:rsidRPr="00043DC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8/1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8/1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F31" w:rsidRPr="001075E9" w:rsidRDefault="00B64F3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64F31" w:rsidRDefault="00B64F3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43DC8" w:rsidRPr="00043DC8" w:rsidRDefault="00043DC8">
      <w:pPr>
        <w:pStyle w:val="FootnoteText"/>
        <w:rPr>
          <w:sz w:val="20"/>
        </w:rPr>
      </w:pPr>
      <w:r>
        <w:tab/>
      </w:r>
      <w:r w:rsidRPr="00043DC8">
        <w:rPr>
          <w:rStyle w:val="FootnoteReference"/>
          <w:sz w:val="20"/>
          <w:vertAlign w:val="baseline"/>
        </w:rPr>
        <w:t>*</w:t>
      </w:r>
      <w:r w:rsidRPr="00043DC8">
        <w:rPr>
          <w:rStyle w:val="FootnoteReference"/>
          <w:vertAlign w:val="baseline"/>
        </w:rPr>
        <w:tab/>
      </w:r>
      <w:r w:rsidRPr="00043DC8">
        <w:t>В соответствии с программой работы Комитета по внутреннему транспорту на 2018–2019 годы (ECE/TRANS/2018/21/Add.1, направление деятельности 9 (9.2)).</w:t>
      </w:r>
    </w:p>
  </w:footnote>
  <w:footnote w:id="2">
    <w:p w:rsidR="00043DC8" w:rsidRPr="00043DC8" w:rsidRDefault="00043DC8">
      <w:pPr>
        <w:pStyle w:val="FootnoteText"/>
        <w:rPr>
          <w:sz w:val="20"/>
        </w:rPr>
      </w:pPr>
      <w:r>
        <w:tab/>
      </w:r>
      <w:r w:rsidRPr="00043DC8">
        <w:rPr>
          <w:rStyle w:val="FootnoteReference"/>
          <w:sz w:val="20"/>
          <w:vertAlign w:val="baseline"/>
        </w:rPr>
        <w:t>**</w:t>
      </w:r>
      <w:r w:rsidRPr="00043DC8">
        <w:rPr>
          <w:rStyle w:val="FootnoteReference"/>
          <w:vertAlign w:val="baseline"/>
        </w:rPr>
        <w:tab/>
      </w:r>
      <w:r w:rsidRPr="00043DC8">
        <w:t>Распространено Межправительственной организацией по международным железнодорожным перевозкам (ОТИФ) под условным обозначением OTIF/RID/RC/2018/19.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DC8" w:rsidRPr="00043DC8" w:rsidRDefault="00BB697D">
    <w:pPr>
      <w:pStyle w:val="Header"/>
    </w:pPr>
    <w:fldSimple w:instr=" TITLE  \* MERGEFORMAT ">
      <w:r>
        <w:t>ECE/TRANS/WP.15/AC.1/2018/19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DC8" w:rsidRPr="00043DC8" w:rsidRDefault="00BB697D" w:rsidP="00043DC8">
    <w:pPr>
      <w:pStyle w:val="Header"/>
      <w:jc w:val="right"/>
    </w:pPr>
    <w:fldSimple w:instr=" TITLE  \* MERGEFORMAT ">
      <w:r>
        <w:t>ECE/TRANS/WP.15/AC.1/2018/19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F31"/>
    <w:rsid w:val="00032670"/>
    <w:rsid w:val="00033EE1"/>
    <w:rsid w:val="00042B72"/>
    <w:rsid w:val="00043DC8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2AF8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41720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5F549E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0486"/>
    <w:rsid w:val="00734ACB"/>
    <w:rsid w:val="00757357"/>
    <w:rsid w:val="00792497"/>
    <w:rsid w:val="00806737"/>
    <w:rsid w:val="00825F8D"/>
    <w:rsid w:val="00834B71"/>
    <w:rsid w:val="0086445C"/>
    <w:rsid w:val="0088383D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64F31"/>
    <w:rsid w:val="00B82530"/>
    <w:rsid w:val="00BB697D"/>
    <w:rsid w:val="00BC18B2"/>
    <w:rsid w:val="00BD33EE"/>
    <w:rsid w:val="00BE1CC7"/>
    <w:rsid w:val="00BF0A64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AD36564-66F7-4603-AB8F-12E8A8E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043DC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ECE/TRANS/WP.15/AC.1/2018/19</vt:lpstr>
      <vt:lpstr>ECE/TRANS/WP.15/AC.1/2018/19</vt:lpstr>
      <vt:lpstr>A/</vt:lpstr>
    </vt:vector>
  </TitlesOfParts>
  <Company>DCM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ECE/TRANS/WP.15/AC.1/2018/19</dc:title>
  <dc:subject/>
  <dc:creator>Marina KOROTKOVA</dc:creator>
  <cp:keywords/>
  <cp:lastModifiedBy>Christine Barrio-Champeau</cp:lastModifiedBy>
  <cp:revision>2</cp:revision>
  <cp:lastPrinted>2018-07-03T08:02:00Z</cp:lastPrinted>
  <dcterms:created xsi:type="dcterms:W3CDTF">2018-07-30T14:49:00Z</dcterms:created>
  <dcterms:modified xsi:type="dcterms:W3CDTF">2018-07-30T14:49:00Z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