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046B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046B1" w:rsidP="00D046B1">
            <w:pPr>
              <w:jc w:val="right"/>
            </w:pPr>
            <w:r w:rsidRPr="00D046B1">
              <w:rPr>
                <w:sz w:val="40"/>
              </w:rPr>
              <w:t>ECE</w:t>
            </w:r>
            <w:r>
              <w:t>/TRANS/WP.15/AC.1/2018/22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046B1" w:rsidP="00C97039">
            <w:pPr>
              <w:spacing w:before="240"/>
            </w:pPr>
            <w:proofErr w:type="spellStart"/>
            <w:r>
              <w:t>Distr</w:t>
            </w:r>
            <w:proofErr w:type="spellEnd"/>
            <w:r>
              <w:t xml:space="preserve">. </w:t>
            </w:r>
            <w:proofErr w:type="gramStart"/>
            <w:r>
              <w:t>générale</w:t>
            </w:r>
            <w:proofErr w:type="gramEnd"/>
          </w:p>
          <w:p w:rsidR="00D046B1" w:rsidRDefault="00D046B1" w:rsidP="00D046B1">
            <w:pPr>
              <w:spacing w:line="240" w:lineRule="exact"/>
            </w:pPr>
            <w:r>
              <w:t>26 juin 2018</w:t>
            </w:r>
          </w:p>
          <w:p w:rsidR="00D046B1" w:rsidRDefault="00D046B1" w:rsidP="00D046B1">
            <w:pPr>
              <w:spacing w:line="240" w:lineRule="exact"/>
            </w:pPr>
            <w:r>
              <w:t>Français</w:t>
            </w:r>
          </w:p>
          <w:p w:rsidR="00D046B1" w:rsidRPr="00DB58B5" w:rsidRDefault="00D046B1" w:rsidP="00D046B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046B1" w:rsidRPr="009E01B8" w:rsidRDefault="00D046B1" w:rsidP="00D046B1">
      <w:pPr>
        <w:spacing w:before="120"/>
        <w:rPr>
          <w:b/>
          <w:sz w:val="24"/>
          <w:szCs w:val="24"/>
        </w:rPr>
      </w:pPr>
      <w:r w:rsidRPr="009E01B8">
        <w:rPr>
          <w:b/>
          <w:sz w:val="24"/>
          <w:szCs w:val="24"/>
        </w:rPr>
        <w:t>Groupe de travail des transports de marchandises dangereuses</w:t>
      </w:r>
    </w:p>
    <w:p w:rsidR="00D046B1" w:rsidRPr="00926E87" w:rsidRDefault="00D046B1" w:rsidP="00D046B1">
      <w:pPr>
        <w:spacing w:before="120"/>
        <w:rPr>
          <w:b/>
        </w:rPr>
      </w:pPr>
      <w:r w:rsidRPr="00926E87">
        <w:rPr>
          <w:b/>
        </w:rPr>
        <w:t>Réunion commune de la Commission d</w:t>
      </w:r>
      <w:r>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D046B1" w:rsidRDefault="00D046B1" w:rsidP="000627FB">
      <w:r>
        <w:t xml:space="preserve">Genève, </w:t>
      </w:r>
      <w:r w:rsidRPr="003442EC">
        <w:rPr>
          <w:lang w:val="fr-FR"/>
        </w:rPr>
        <w:t>1</w:t>
      </w:r>
      <w:r>
        <w:rPr>
          <w:lang w:val="fr-FR"/>
        </w:rPr>
        <w:t>7</w:t>
      </w:r>
      <w:r w:rsidRPr="003442EC">
        <w:rPr>
          <w:lang w:val="fr-FR"/>
        </w:rPr>
        <w:t>-</w:t>
      </w:r>
      <w:r>
        <w:rPr>
          <w:lang w:val="fr-FR"/>
        </w:rPr>
        <w:t>21 septembre</w:t>
      </w:r>
      <w:r w:rsidRPr="003442EC">
        <w:rPr>
          <w:lang w:val="fr-FR"/>
        </w:rPr>
        <w:t xml:space="preserve"> 2018</w:t>
      </w:r>
    </w:p>
    <w:p w:rsidR="00D046B1" w:rsidRDefault="00D046B1" w:rsidP="00D046B1">
      <w:r w:rsidRPr="00B93E72">
        <w:t xml:space="preserve">Point </w:t>
      </w:r>
      <w:r>
        <w:t>6</w:t>
      </w:r>
      <w:r w:rsidRPr="00B93E72">
        <w:t xml:space="preserve"> de l</w:t>
      </w:r>
      <w:r>
        <w:t>’</w:t>
      </w:r>
      <w:r w:rsidRPr="00B93E72">
        <w:t>ordre du jour provisoire</w:t>
      </w:r>
    </w:p>
    <w:p w:rsidR="00D046B1" w:rsidRDefault="00D046B1" w:rsidP="00D046B1">
      <w:pPr>
        <w:rPr>
          <w:b/>
          <w:lang w:val="fr-FR"/>
        </w:rPr>
      </w:pPr>
      <w:bookmarkStart w:id="1" w:name="bookmark_18"/>
      <w:r w:rsidRPr="003442EC">
        <w:rPr>
          <w:b/>
          <w:lang w:val="fr-FR"/>
        </w:rPr>
        <w:t>Rapports des groupes de travail informels</w:t>
      </w:r>
      <w:bookmarkEnd w:id="1"/>
    </w:p>
    <w:p w:rsidR="00D046B1" w:rsidRPr="003442EC" w:rsidRDefault="00D046B1" w:rsidP="00D046B1">
      <w:pPr>
        <w:pStyle w:val="HChG"/>
        <w:rPr>
          <w:lang w:val="fr-FR"/>
        </w:rPr>
      </w:pPr>
      <w:r>
        <w:tab/>
      </w:r>
      <w:r>
        <w:tab/>
      </w:r>
      <w:r w:rsidRPr="003442EC">
        <w:rPr>
          <w:lang w:val="fr-FR"/>
        </w:rPr>
        <w:t>Transport de récipients à pression agréés par le Département des transports (</w:t>
      </w:r>
      <w:proofErr w:type="spellStart"/>
      <w:r w:rsidRPr="003442EC">
        <w:rPr>
          <w:lang w:val="fr-FR"/>
        </w:rPr>
        <w:t>DoT</w:t>
      </w:r>
      <w:proofErr w:type="spellEnd"/>
      <w:r w:rsidRPr="003442EC">
        <w:rPr>
          <w:lang w:val="fr-FR"/>
        </w:rPr>
        <w:t>) des États-Unis d</w:t>
      </w:r>
      <w:r>
        <w:rPr>
          <w:lang w:val="fr-FR"/>
        </w:rPr>
        <w:t>’</w:t>
      </w:r>
      <w:r w:rsidRPr="003442EC">
        <w:rPr>
          <w:lang w:val="fr-FR"/>
        </w:rPr>
        <w:t>Amérique</w:t>
      </w:r>
    </w:p>
    <w:p w:rsidR="00D046B1" w:rsidRPr="00D046B1" w:rsidRDefault="00D046B1" w:rsidP="00D046B1">
      <w:pPr>
        <w:pStyle w:val="H1G"/>
        <w:rPr>
          <w:b w:val="0"/>
          <w:spacing w:val="-2"/>
          <w:sz w:val="20"/>
          <w:lang w:val="fr-FR"/>
        </w:rPr>
      </w:pPr>
      <w:bookmarkStart w:id="2" w:name="bookmark_20"/>
      <w:r w:rsidRPr="003442EC">
        <w:rPr>
          <w:lang w:val="fr-FR"/>
        </w:rPr>
        <w:tab/>
      </w:r>
      <w:r w:rsidRPr="003442EC">
        <w:rPr>
          <w:lang w:val="fr-FR"/>
        </w:rPr>
        <w:tab/>
      </w:r>
      <w:r w:rsidRPr="003F3880">
        <w:rPr>
          <w:spacing w:val="-2"/>
          <w:lang w:val="fr-FR"/>
        </w:rPr>
        <w:t>C</w:t>
      </w:r>
      <w:r w:rsidRPr="00D046B1">
        <w:rPr>
          <w:lang w:val="fr-FR"/>
        </w:rPr>
        <w:t xml:space="preserve">ommunication de l’Association européenne </w:t>
      </w:r>
      <w:r w:rsidR="000627FB">
        <w:rPr>
          <w:lang w:val="fr-FR"/>
        </w:rPr>
        <w:br/>
      </w:r>
      <w:r w:rsidRPr="00D046B1">
        <w:rPr>
          <w:lang w:val="fr-FR"/>
        </w:rPr>
        <w:t>des gaz industriels (EIGA)</w:t>
      </w:r>
      <w:r w:rsidRPr="00D046B1">
        <w:rPr>
          <w:rStyle w:val="FootnoteReference"/>
          <w:b w:val="0"/>
          <w:spacing w:val="-2"/>
          <w:sz w:val="20"/>
          <w:vertAlign w:val="baseline"/>
        </w:rPr>
        <w:footnoteReference w:customMarkFollows="1" w:id="2"/>
        <w:t>*</w:t>
      </w:r>
      <w:r w:rsidRPr="00D046B1">
        <w:rPr>
          <w:b w:val="0"/>
          <w:spacing w:val="-2"/>
          <w:position w:val="8"/>
          <w:sz w:val="20"/>
        </w:rPr>
        <w:t>,</w:t>
      </w:r>
      <w:r w:rsidRPr="00D046B1">
        <w:rPr>
          <w:b w:val="0"/>
          <w:spacing w:val="-2"/>
          <w:sz w:val="20"/>
        </w:rPr>
        <w:t xml:space="preserve"> </w:t>
      </w:r>
      <w:r w:rsidRPr="00D046B1">
        <w:rPr>
          <w:rStyle w:val="FootnoteReference"/>
          <w:b w:val="0"/>
          <w:spacing w:val="-2"/>
          <w:sz w:val="20"/>
          <w:vertAlign w:val="baseline"/>
        </w:rPr>
        <w:footnoteReference w:customMarkFollows="1" w:id="3"/>
        <w:t>**</w:t>
      </w:r>
      <w:bookmarkEnd w:id="2"/>
    </w:p>
    <w:p w:rsidR="00D046B1" w:rsidRDefault="00D046B1" w:rsidP="00D046B1">
      <w:pPr>
        <w:pStyle w:val="HChG"/>
        <w:rPr>
          <w:lang w:val="fr-FR"/>
        </w:rPr>
      </w:pPr>
      <w:bookmarkStart w:id="3" w:name="bookmark_22"/>
      <w:r w:rsidRPr="003442EC">
        <w:rPr>
          <w:lang w:val="fr-FR"/>
        </w:rPr>
        <w:tab/>
      </w:r>
      <w:r w:rsidRPr="003442EC">
        <w:rPr>
          <w:lang w:val="fr-FR"/>
        </w:rPr>
        <w:tab/>
      </w:r>
      <w:r w:rsidRPr="003F3880">
        <w:t>Introduction</w:t>
      </w:r>
      <w:bookmarkEnd w:id="3"/>
    </w:p>
    <w:p w:rsidR="00D046B1" w:rsidRPr="003442EC" w:rsidRDefault="00D046B1" w:rsidP="00D046B1">
      <w:pPr>
        <w:pStyle w:val="SingleTxtG"/>
        <w:rPr>
          <w:lang w:val="fr-FR"/>
        </w:rPr>
      </w:pPr>
      <w:bookmarkStart w:id="4" w:name="bookmark_23"/>
      <w:r w:rsidRPr="003442EC">
        <w:rPr>
          <w:lang w:val="fr-FR"/>
        </w:rPr>
        <w:t>1.</w:t>
      </w:r>
      <w:r w:rsidRPr="003442EC">
        <w:rPr>
          <w:lang w:val="fr-FR"/>
        </w:rPr>
        <w:tab/>
        <w:t xml:space="preserve">Lors de la Réunion commune tenue en </w:t>
      </w:r>
      <w:r>
        <w:rPr>
          <w:lang w:val="fr-FR"/>
        </w:rPr>
        <w:t>mars 2018</w:t>
      </w:r>
      <w:r w:rsidRPr="003442EC">
        <w:rPr>
          <w:lang w:val="fr-FR"/>
        </w:rPr>
        <w:t>, le représentant de l</w:t>
      </w:r>
      <w:r>
        <w:rPr>
          <w:lang w:val="fr-FR"/>
        </w:rPr>
        <w:t>’</w:t>
      </w:r>
      <w:r w:rsidRPr="003442EC">
        <w:rPr>
          <w:lang w:val="fr-FR"/>
        </w:rPr>
        <w:t xml:space="preserve">EIGA a soumis le document </w:t>
      </w:r>
      <w:r w:rsidRPr="00B470FB">
        <w:t>ECE/TRANS/WP.15/AC.1/2018/3</w:t>
      </w:r>
      <w:r>
        <w:t>, dans lequel il était proposé</w:t>
      </w:r>
      <w:r w:rsidRPr="00B470FB">
        <w:t xml:space="preserve"> </w:t>
      </w:r>
      <w:r>
        <w:t>de modifier le RID/ADR/ADN</w:t>
      </w:r>
      <w:r>
        <w:rPr>
          <w:lang w:val="fr-FR"/>
        </w:rPr>
        <w:t xml:space="preserve"> </w:t>
      </w:r>
      <w:r w:rsidRPr="003442EC">
        <w:rPr>
          <w:lang w:val="fr-FR"/>
        </w:rPr>
        <w:t xml:space="preserve">et </w:t>
      </w:r>
      <w:r>
        <w:rPr>
          <w:lang w:val="fr-FR"/>
        </w:rPr>
        <w:t>de continuer à</w:t>
      </w:r>
      <w:r w:rsidR="000627FB">
        <w:rPr>
          <w:lang w:val="fr-FR"/>
        </w:rPr>
        <w:t xml:space="preserve"> </w:t>
      </w:r>
      <w:r>
        <w:rPr>
          <w:lang w:val="fr-FR"/>
        </w:rPr>
        <w:t>faire le</w:t>
      </w:r>
      <w:r w:rsidRPr="003442EC">
        <w:rPr>
          <w:lang w:val="fr-FR"/>
        </w:rPr>
        <w:t xml:space="preserve"> point sur les progrès</w:t>
      </w:r>
      <w:r>
        <w:rPr>
          <w:lang w:val="fr-FR"/>
        </w:rPr>
        <w:t xml:space="preserve"> accomplis</w:t>
      </w:r>
      <w:r w:rsidRPr="003442EC">
        <w:rPr>
          <w:lang w:val="fr-FR"/>
        </w:rPr>
        <w:t xml:space="preserve"> concernant la soumission d</w:t>
      </w:r>
      <w:r>
        <w:rPr>
          <w:lang w:val="fr-FR"/>
        </w:rPr>
        <w:t>’</w:t>
      </w:r>
      <w:r w:rsidRPr="003442EC">
        <w:rPr>
          <w:lang w:val="fr-FR"/>
        </w:rPr>
        <w:t>une «</w:t>
      </w:r>
      <w:r>
        <w:rPr>
          <w:lang w:val="fr-FR"/>
        </w:rPr>
        <w:t> </w:t>
      </w:r>
      <w:r w:rsidRPr="003442EC">
        <w:rPr>
          <w:lang w:val="fr-FR"/>
        </w:rPr>
        <w:t>demande de réglementation</w:t>
      </w:r>
      <w:r>
        <w:rPr>
          <w:lang w:val="fr-FR"/>
        </w:rPr>
        <w:t> </w:t>
      </w:r>
      <w:r w:rsidRPr="003442EC">
        <w:rPr>
          <w:lang w:val="fr-FR"/>
        </w:rPr>
        <w:t>» visant à inciter les États</w:t>
      </w:r>
      <w:r>
        <w:rPr>
          <w:lang w:val="fr-FR"/>
        </w:rPr>
        <w:noBreakHyphen/>
      </w:r>
      <w:r w:rsidRPr="003442EC">
        <w:rPr>
          <w:lang w:val="fr-FR"/>
        </w:rPr>
        <w:t>Unis d</w:t>
      </w:r>
      <w:r>
        <w:rPr>
          <w:lang w:val="fr-FR"/>
        </w:rPr>
        <w:t>’</w:t>
      </w:r>
      <w:r w:rsidRPr="003442EC">
        <w:rPr>
          <w:lang w:val="fr-FR"/>
        </w:rPr>
        <w:t>Amérique à autoriser l</w:t>
      </w:r>
      <w:r>
        <w:rPr>
          <w:lang w:val="fr-FR"/>
        </w:rPr>
        <w:t>’</w:t>
      </w:r>
      <w:r w:rsidRPr="003442EC">
        <w:rPr>
          <w:lang w:val="fr-FR"/>
        </w:rPr>
        <w:t xml:space="preserve">importation temporaire sur leur territoire de certains récipients à pression européens. Pour rappel, cette soumission visait à demander des modifications appropriées </w:t>
      </w:r>
      <w:r>
        <w:rPr>
          <w:lang w:val="fr-FR"/>
        </w:rPr>
        <w:t xml:space="preserve">à la disposition </w:t>
      </w:r>
      <w:r w:rsidRPr="003442EC">
        <w:rPr>
          <w:lang w:val="fr-FR"/>
        </w:rPr>
        <w:t>49 du Code des règlements fédéraux pour instituer aux États-Unis d</w:t>
      </w:r>
      <w:r>
        <w:rPr>
          <w:lang w:val="fr-FR"/>
        </w:rPr>
        <w:t>’</w:t>
      </w:r>
      <w:r w:rsidRPr="003442EC">
        <w:rPr>
          <w:lang w:val="fr-FR"/>
        </w:rPr>
        <w:t>Amérique</w:t>
      </w:r>
      <w:r w:rsidR="000627FB">
        <w:rPr>
          <w:lang w:val="fr-FR"/>
        </w:rPr>
        <w:t xml:space="preserve"> </w:t>
      </w:r>
      <w:r>
        <w:rPr>
          <w:lang w:val="fr-FR"/>
        </w:rPr>
        <w:t xml:space="preserve">la </w:t>
      </w:r>
      <w:r w:rsidRPr="003442EC">
        <w:rPr>
          <w:lang w:val="fr-FR"/>
        </w:rPr>
        <w:t>liberté de transporter et d</w:t>
      </w:r>
      <w:r>
        <w:rPr>
          <w:lang w:val="fr-FR"/>
        </w:rPr>
        <w:t>’</w:t>
      </w:r>
      <w:r w:rsidRPr="003442EC">
        <w:rPr>
          <w:lang w:val="fr-FR"/>
        </w:rPr>
        <w:t>utiliser</w:t>
      </w:r>
      <w:r w:rsidR="000627FB">
        <w:rPr>
          <w:lang w:val="fr-FR"/>
        </w:rPr>
        <w:t xml:space="preserve"> </w:t>
      </w:r>
      <w:r>
        <w:rPr>
          <w:lang w:val="fr-FR"/>
        </w:rPr>
        <w:t xml:space="preserve">des </w:t>
      </w:r>
      <w:r w:rsidRPr="00FA6877">
        <w:rPr>
          <w:lang w:val="fr-FR"/>
        </w:rPr>
        <w:t>récipients à pression</w:t>
      </w:r>
      <w:r w:rsidRPr="003442EC">
        <w:rPr>
          <w:lang w:val="fr-FR"/>
        </w:rPr>
        <w:t xml:space="preserve"> conformes au RID/ADR</w:t>
      </w:r>
      <w:r w:rsidR="000627FB">
        <w:rPr>
          <w:lang w:val="fr-FR"/>
        </w:rPr>
        <w:t xml:space="preserve"> </w:t>
      </w:r>
      <w:r>
        <w:rPr>
          <w:lang w:val="fr-FR"/>
        </w:rPr>
        <w:t xml:space="preserve">au même titre que des </w:t>
      </w:r>
      <w:r w:rsidRPr="003442EC">
        <w:rPr>
          <w:lang w:val="fr-FR"/>
        </w:rPr>
        <w:t xml:space="preserve">bouteilles conformes à la réglementation du </w:t>
      </w:r>
      <w:proofErr w:type="spellStart"/>
      <w:r w:rsidRPr="003442EC">
        <w:rPr>
          <w:lang w:val="fr-FR"/>
        </w:rPr>
        <w:t>DoT</w:t>
      </w:r>
      <w:proofErr w:type="spellEnd"/>
      <w:r w:rsidRPr="003442EC">
        <w:rPr>
          <w:lang w:val="fr-FR"/>
        </w:rPr>
        <w:t xml:space="preserve"> en vertu de l</w:t>
      </w:r>
      <w:r>
        <w:rPr>
          <w:lang w:val="fr-FR"/>
        </w:rPr>
        <w:t>’</w:t>
      </w:r>
      <w:r w:rsidRPr="003442EC">
        <w:rPr>
          <w:lang w:val="fr-FR"/>
        </w:rPr>
        <w:t>accord multilatéral M</w:t>
      </w:r>
      <w:r>
        <w:rPr>
          <w:lang w:val="fr-FR"/>
        </w:rPr>
        <w:t> </w:t>
      </w:r>
      <w:r w:rsidRPr="003442EC">
        <w:rPr>
          <w:lang w:val="fr-FR"/>
        </w:rPr>
        <w:t>299.</w:t>
      </w:r>
      <w:bookmarkStart w:id="5" w:name="_Hlk499547472"/>
      <w:bookmarkEnd w:id="4"/>
      <w:bookmarkEnd w:id="5"/>
    </w:p>
    <w:p w:rsidR="00D046B1" w:rsidRPr="003442EC" w:rsidRDefault="00D046B1" w:rsidP="00D046B1">
      <w:pPr>
        <w:pStyle w:val="SingleTxtG"/>
        <w:rPr>
          <w:lang w:val="fr-FR"/>
        </w:rPr>
      </w:pPr>
      <w:bookmarkStart w:id="6" w:name="bookmark_24"/>
      <w:r w:rsidRPr="003442EC">
        <w:rPr>
          <w:lang w:val="fr-FR"/>
        </w:rPr>
        <w:t>2.</w:t>
      </w:r>
      <w:r w:rsidRPr="003442EC">
        <w:rPr>
          <w:lang w:val="fr-FR"/>
        </w:rPr>
        <w:tab/>
      </w:r>
      <w:bookmarkEnd w:id="6"/>
      <w:r>
        <w:rPr>
          <w:lang w:val="fr-FR"/>
        </w:rPr>
        <w:t xml:space="preserve">La proposition contenue dans le document </w:t>
      </w:r>
      <w:r w:rsidRPr="00B470FB">
        <w:t>ECE/TRANS/WP.15/AC.1/2018/</w:t>
      </w:r>
      <w:r>
        <w:t>3 a fait l’objet d’un examen dont il est rendu compte</w:t>
      </w:r>
      <w:r w:rsidR="000627FB">
        <w:t xml:space="preserve"> </w:t>
      </w:r>
      <w:r>
        <w:t xml:space="preserve">aux </w:t>
      </w:r>
      <w:r w:rsidRPr="00FD09C5">
        <w:t>paragraph</w:t>
      </w:r>
      <w:r>
        <w:t>e</w:t>
      </w:r>
      <w:r w:rsidRPr="00FD09C5">
        <w:t>s 55</w:t>
      </w:r>
      <w:r>
        <w:t xml:space="preserve"> à </w:t>
      </w:r>
      <w:r w:rsidRPr="00FD09C5">
        <w:t>57</w:t>
      </w:r>
      <w:r>
        <w:t xml:space="preserve"> du document </w:t>
      </w:r>
      <w:r w:rsidRPr="00FD09C5">
        <w:t xml:space="preserve">ECE/TRANS/WP.15/AC.1/150. </w:t>
      </w:r>
      <w:r>
        <w:t>Dans le rapport, les progrès accomplis en matière d’</w:t>
      </w:r>
      <w:r w:rsidRPr="001E5CAD">
        <w:t>activités de réglementation aux États-Unis d’Amérique</w:t>
      </w:r>
      <w:r>
        <w:t xml:space="preserve"> ont été mis en avant</w:t>
      </w:r>
      <w:r w:rsidRPr="001E5CAD">
        <w:t>.</w:t>
      </w:r>
      <w:r>
        <w:t xml:space="preserve"> </w:t>
      </w:r>
      <w:r w:rsidRPr="00A25994">
        <w:t xml:space="preserve">Certaines délégations </w:t>
      </w:r>
      <w:r>
        <w:t xml:space="preserve">se sont </w:t>
      </w:r>
      <w:proofErr w:type="gramStart"/>
      <w:r>
        <w:t>dites</w:t>
      </w:r>
      <w:proofErr w:type="gramEnd"/>
      <w:r>
        <w:t xml:space="preserve"> préoccupées par un nouveau paragraphe incorporé par </w:t>
      </w:r>
      <w:r w:rsidRPr="003442EC">
        <w:rPr>
          <w:lang w:val="fr-FR"/>
        </w:rPr>
        <w:t>l</w:t>
      </w:r>
      <w:r>
        <w:rPr>
          <w:lang w:val="fr-FR"/>
        </w:rPr>
        <w:t>’</w:t>
      </w:r>
      <w:r w:rsidRPr="003442EC">
        <w:rPr>
          <w:lang w:val="fr-FR"/>
        </w:rPr>
        <w:t>EIGA</w:t>
      </w:r>
      <w:r>
        <w:rPr>
          <w:lang w:val="fr-FR"/>
        </w:rPr>
        <w:t xml:space="preserve"> et qui permettrait d’importer des </w:t>
      </w:r>
      <w:r w:rsidRPr="003442EC">
        <w:rPr>
          <w:lang w:val="fr-FR"/>
        </w:rPr>
        <w:t>bouteilles vides</w:t>
      </w:r>
      <w:r>
        <w:rPr>
          <w:lang w:val="fr-FR"/>
        </w:rPr>
        <w:t xml:space="preserve"> </w:t>
      </w:r>
      <w:r w:rsidRPr="003442EC">
        <w:rPr>
          <w:lang w:val="fr-FR"/>
        </w:rPr>
        <w:t>conforme</w:t>
      </w:r>
      <w:r>
        <w:rPr>
          <w:lang w:val="fr-FR"/>
        </w:rPr>
        <w:t>s</w:t>
      </w:r>
      <w:r w:rsidRPr="003442EC">
        <w:rPr>
          <w:lang w:val="fr-FR"/>
        </w:rPr>
        <w:t xml:space="preserve"> à la réglementation du </w:t>
      </w:r>
      <w:proofErr w:type="spellStart"/>
      <w:r w:rsidRPr="003442EC">
        <w:rPr>
          <w:lang w:val="fr-FR"/>
        </w:rPr>
        <w:t>DoT</w:t>
      </w:r>
      <w:proofErr w:type="spellEnd"/>
      <w:r>
        <w:t xml:space="preserve"> </w:t>
      </w:r>
      <w:r>
        <w:rPr>
          <w:lang w:val="fr-FR"/>
        </w:rPr>
        <w:t xml:space="preserve">au titre du </w:t>
      </w:r>
      <w:r w:rsidRPr="003442EC">
        <w:rPr>
          <w:lang w:val="fr-FR"/>
        </w:rPr>
        <w:t>RID/ADR</w:t>
      </w:r>
      <w:r>
        <w:rPr>
          <w:lang w:val="fr-FR"/>
        </w:rPr>
        <w:t xml:space="preserve">, de les remplir puis de les exporter. À l’issue d’une brève discussion, </w:t>
      </w:r>
      <w:r w:rsidRPr="003442EC">
        <w:rPr>
          <w:lang w:val="fr-FR"/>
        </w:rPr>
        <w:t>l</w:t>
      </w:r>
      <w:r>
        <w:rPr>
          <w:lang w:val="fr-FR"/>
        </w:rPr>
        <w:t>’</w:t>
      </w:r>
      <w:r w:rsidRPr="003442EC">
        <w:rPr>
          <w:lang w:val="fr-FR"/>
        </w:rPr>
        <w:t>EIGA</w:t>
      </w:r>
      <w:r>
        <w:rPr>
          <w:lang w:val="fr-FR"/>
        </w:rPr>
        <w:t xml:space="preserve"> a décidé de retirer ce paragraphe car il n’entrait pas dans le cadre du </w:t>
      </w:r>
      <w:r w:rsidRPr="003442EC">
        <w:rPr>
          <w:lang w:val="fr-FR"/>
        </w:rPr>
        <w:t>M</w:t>
      </w:r>
      <w:r>
        <w:rPr>
          <w:lang w:val="fr-FR"/>
        </w:rPr>
        <w:t> </w:t>
      </w:r>
      <w:r w:rsidRPr="003442EC">
        <w:rPr>
          <w:lang w:val="fr-FR"/>
        </w:rPr>
        <w:t>299</w:t>
      </w:r>
      <w:r>
        <w:rPr>
          <w:lang w:val="fr-FR"/>
        </w:rPr>
        <w:t>.</w:t>
      </w:r>
    </w:p>
    <w:p w:rsidR="00D046B1" w:rsidRPr="003442EC" w:rsidRDefault="00D046B1" w:rsidP="00D046B1">
      <w:pPr>
        <w:pStyle w:val="SingleTxtG"/>
        <w:rPr>
          <w:lang w:val="fr-FR"/>
        </w:rPr>
      </w:pPr>
      <w:bookmarkStart w:id="7" w:name="bookmark_25"/>
      <w:r w:rsidRPr="003442EC">
        <w:rPr>
          <w:lang w:val="fr-FR"/>
        </w:rPr>
        <w:lastRenderedPageBreak/>
        <w:t>3.</w:t>
      </w:r>
      <w:r w:rsidRPr="003442EC">
        <w:rPr>
          <w:lang w:val="fr-FR"/>
        </w:rPr>
        <w:tab/>
      </w:r>
      <w:bookmarkStart w:id="8" w:name="_Hlk499546503"/>
      <w:bookmarkEnd w:id="7"/>
      <w:bookmarkEnd w:id="8"/>
      <w:r>
        <w:rPr>
          <w:lang w:val="fr-FR"/>
        </w:rPr>
        <w:t xml:space="preserve">Lors de l’examen de la proposition de </w:t>
      </w:r>
      <w:r w:rsidRPr="003442EC">
        <w:rPr>
          <w:lang w:val="fr-FR"/>
        </w:rPr>
        <w:t>l</w:t>
      </w:r>
      <w:r>
        <w:rPr>
          <w:lang w:val="fr-FR"/>
        </w:rPr>
        <w:t>’</w:t>
      </w:r>
      <w:r w:rsidRPr="003442EC">
        <w:rPr>
          <w:lang w:val="fr-FR"/>
        </w:rPr>
        <w:t>EIGA</w:t>
      </w:r>
      <w:r>
        <w:rPr>
          <w:lang w:val="fr-FR"/>
        </w:rPr>
        <w:t xml:space="preserve">, les délégations ont demandé un comparatif détaillé des projets de modification de </w:t>
      </w:r>
      <w:r w:rsidRPr="00D73AFF">
        <w:rPr>
          <w:lang w:val="fr-FR"/>
        </w:rPr>
        <w:t>la disposition 49 du Code de réglementation fédérale (CFR49)</w:t>
      </w:r>
      <w:r>
        <w:rPr>
          <w:lang w:val="fr-FR"/>
        </w:rPr>
        <w:t xml:space="preserve"> et des projets de modification du </w:t>
      </w:r>
      <w:r>
        <w:t>RID/de l’ADR/de l’ADN proposés.</w:t>
      </w:r>
    </w:p>
    <w:p w:rsidR="00D046B1" w:rsidRDefault="00D046B1" w:rsidP="00D046B1">
      <w:pPr>
        <w:pStyle w:val="SingleTxtG"/>
        <w:rPr>
          <w:lang w:val="fr-FR"/>
        </w:rPr>
      </w:pPr>
      <w:bookmarkStart w:id="9" w:name="bookmark_26"/>
      <w:r w:rsidRPr="003442EC">
        <w:rPr>
          <w:lang w:val="fr-FR"/>
        </w:rPr>
        <w:t>4.</w:t>
      </w:r>
      <w:r w:rsidRPr="003442EC">
        <w:rPr>
          <w:lang w:val="fr-FR"/>
        </w:rPr>
        <w:tab/>
      </w:r>
      <w:r>
        <w:rPr>
          <w:lang w:val="fr-FR"/>
        </w:rPr>
        <w:t xml:space="preserve">Comme il est indiqué dans le document </w:t>
      </w:r>
      <w:r w:rsidRPr="00B470FB">
        <w:t>ECE/TRANS/WP.15/AC.1/2018/3</w:t>
      </w:r>
      <w:r>
        <w:rPr>
          <w:lang w:val="fr-FR"/>
        </w:rPr>
        <w:t xml:space="preserve">, une observation a été reçue à </w:t>
      </w:r>
      <w:r>
        <w:t xml:space="preserve">l’étape de la consultation publique concernant l’incorporation des </w:t>
      </w:r>
      <w:r w:rsidRPr="003442EC">
        <w:rPr>
          <w:lang w:val="fr-FR"/>
        </w:rPr>
        <w:t>gaz adsorbés de la classe</w:t>
      </w:r>
      <w:r w:rsidR="000627FB">
        <w:rPr>
          <w:lang w:val="fr-FR"/>
        </w:rPr>
        <w:t xml:space="preserve"> </w:t>
      </w:r>
      <w:r w:rsidRPr="003442EC">
        <w:rPr>
          <w:lang w:val="fr-FR"/>
        </w:rPr>
        <w:t xml:space="preserve">2 </w:t>
      </w:r>
      <w:r>
        <w:rPr>
          <w:lang w:val="fr-FR"/>
        </w:rPr>
        <w:t xml:space="preserve">qui relèvent de </w:t>
      </w:r>
      <w:r w:rsidRPr="003442EC">
        <w:rPr>
          <w:lang w:val="fr-FR"/>
        </w:rPr>
        <w:t>l</w:t>
      </w:r>
      <w:r>
        <w:rPr>
          <w:lang w:val="fr-FR"/>
        </w:rPr>
        <w:t>’</w:t>
      </w:r>
      <w:r w:rsidRPr="003442EC">
        <w:rPr>
          <w:lang w:val="fr-FR"/>
        </w:rPr>
        <w:t>instruction d</w:t>
      </w:r>
      <w:r>
        <w:rPr>
          <w:lang w:val="fr-FR"/>
        </w:rPr>
        <w:t>’</w:t>
      </w:r>
      <w:r w:rsidRPr="003442EC">
        <w:rPr>
          <w:lang w:val="fr-FR"/>
        </w:rPr>
        <w:t>emballage P208</w:t>
      </w:r>
      <w:r>
        <w:rPr>
          <w:lang w:val="fr-FR"/>
        </w:rPr>
        <w:t>. L’</w:t>
      </w:r>
      <w:r w:rsidRPr="003442EC">
        <w:rPr>
          <w:lang w:val="fr-FR"/>
        </w:rPr>
        <w:t xml:space="preserve">EIGA </w:t>
      </w:r>
      <w:r>
        <w:rPr>
          <w:lang w:val="fr-FR"/>
        </w:rPr>
        <w:t xml:space="preserve">a inclus cette demande dans sa proposition en précisant l’endroit du </w:t>
      </w:r>
      <w:r w:rsidRPr="00D73AFF">
        <w:rPr>
          <w:lang w:val="fr-FR"/>
        </w:rPr>
        <w:t>C</w:t>
      </w:r>
      <w:r>
        <w:rPr>
          <w:lang w:val="fr-FR"/>
        </w:rPr>
        <w:t xml:space="preserve">FR où elle apparaîtrait. </w:t>
      </w:r>
      <w:r w:rsidRPr="00B10255">
        <w:rPr>
          <w:lang w:val="fr-FR"/>
        </w:rPr>
        <w:t>L’EIGA</w:t>
      </w:r>
      <w:r>
        <w:rPr>
          <w:lang w:val="fr-FR"/>
        </w:rPr>
        <w:t xml:space="preserve"> continue d’</w:t>
      </w:r>
      <w:r w:rsidRPr="00B10255">
        <w:rPr>
          <w:lang w:val="fr-FR"/>
        </w:rPr>
        <w:t>estime</w:t>
      </w:r>
      <w:r>
        <w:rPr>
          <w:lang w:val="fr-FR"/>
        </w:rPr>
        <w:t>r</w:t>
      </w:r>
      <w:r w:rsidRPr="00B10255">
        <w:rPr>
          <w:lang w:val="fr-FR"/>
        </w:rPr>
        <w:t xml:space="preserve"> qu’il s’agit d’une omission qui aurait dû figurer dans l’accord multilatéral M</w:t>
      </w:r>
      <w:r w:rsidR="000627FB">
        <w:rPr>
          <w:lang w:val="fr-FR"/>
        </w:rPr>
        <w:t> </w:t>
      </w:r>
      <w:r w:rsidRPr="00B10255">
        <w:rPr>
          <w:lang w:val="fr-FR"/>
        </w:rPr>
        <w:t xml:space="preserve">299. Il s’agit d’une technologie relativement nouvelle et qui n’est pas largement utilisée, ce qui peut expliquer pourquoi les gaz adsorbés ne sont </w:t>
      </w:r>
      <w:r>
        <w:rPr>
          <w:lang w:val="fr-FR"/>
        </w:rPr>
        <w:t xml:space="preserve">pas </w:t>
      </w:r>
      <w:r w:rsidRPr="00B10255">
        <w:rPr>
          <w:lang w:val="fr-FR"/>
        </w:rPr>
        <w:t>mentionnés dans</w:t>
      </w:r>
      <w:r w:rsidR="000627FB">
        <w:rPr>
          <w:lang w:val="fr-FR"/>
        </w:rPr>
        <w:t xml:space="preserve"> </w:t>
      </w:r>
      <w:r>
        <w:rPr>
          <w:lang w:val="fr-FR"/>
        </w:rPr>
        <w:t>la proposition initiale de modification du</w:t>
      </w:r>
      <w:r w:rsidR="000627FB">
        <w:rPr>
          <w:lang w:val="fr-FR"/>
        </w:rPr>
        <w:t xml:space="preserve"> </w:t>
      </w:r>
      <w:r>
        <w:t>RID/ADR ou</w:t>
      </w:r>
      <w:r w:rsidR="000627FB">
        <w:t xml:space="preserve"> </w:t>
      </w:r>
      <w:r>
        <w:rPr>
          <w:lang w:val="fr-FR"/>
        </w:rPr>
        <w:t xml:space="preserve">du </w:t>
      </w:r>
      <w:r w:rsidRPr="00D73AFF">
        <w:rPr>
          <w:lang w:val="fr-FR"/>
        </w:rPr>
        <w:t>CFR49</w:t>
      </w:r>
      <w:r w:rsidRPr="00B10255">
        <w:rPr>
          <w:lang w:val="fr-FR"/>
        </w:rPr>
        <w:t>.</w:t>
      </w:r>
    </w:p>
    <w:p w:rsidR="00D046B1" w:rsidRDefault="00D046B1" w:rsidP="00D046B1">
      <w:pPr>
        <w:pStyle w:val="SingleTxtG"/>
        <w:rPr>
          <w:lang w:val="fr-FR"/>
        </w:rPr>
      </w:pPr>
      <w:r>
        <w:rPr>
          <w:lang w:val="fr-FR"/>
        </w:rPr>
        <w:t>5.</w:t>
      </w:r>
      <w:r>
        <w:rPr>
          <w:lang w:val="fr-FR"/>
        </w:rPr>
        <w:tab/>
        <w:t xml:space="preserve">On trouvera des précisions sur la demande de réglementation, et notamment des observations relatives aux gaz adsorbés, à l’adresse suivante : </w:t>
      </w:r>
      <w:r w:rsidRPr="005E0E4E">
        <w:rPr>
          <w:lang w:val="fr-FR"/>
        </w:rPr>
        <w:t>www.regulations.gov/</w:t>
      </w:r>
      <w:r w:rsidR="000627FB">
        <w:rPr>
          <w:lang w:val="fr-FR"/>
        </w:rPr>
        <w:t xml:space="preserve"> </w:t>
      </w:r>
      <w:proofErr w:type="spellStart"/>
      <w:proofErr w:type="gramStart"/>
      <w:r w:rsidRPr="005E0E4E">
        <w:rPr>
          <w:lang w:val="fr-FR"/>
        </w:rPr>
        <w:t>docket?D</w:t>
      </w:r>
      <w:proofErr w:type="spellEnd"/>
      <w:proofErr w:type="gramEnd"/>
      <w:r w:rsidRPr="005E0E4E">
        <w:rPr>
          <w:lang w:val="fr-FR"/>
        </w:rPr>
        <w:t>=PHMSA-2017-0026.</w:t>
      </w:r>
    </w:p>
    <w:p w:rsidR="00D046B1" w:rsidRDefault="00D046B1" w:rsidP="00D046B1">
      <w:pPr>
        <w:pStyle w:val="SingleTxtG"/>
        <w:rPr>
          <w:lang w:val="fr-FR"/>
        </w:rPr>
      </w:pPr>
      <w:r>
        <w:rPr>
          <w:lang w:val="fr-FR"/>
        </w:rPr>
        <w:t>6.</w:t>
      </w:r>
      <w:r>
        <w:rPr>
          <w:lang w:val="fr-FR"/>
        </w:rPr>
        <w:tab/>
        <w:t>Le tableau contenu dans</w:t>
      </w:r>
      <w:r w:rsidR="000627FB">
        <w:rPr>
          <w:lang w:val="fr-FR"/>
        </w:rPr>
        <w:t xml:space="preserve"> </w:t>
      </w:r>
      <w:r>
        <w:rPr>
          <w:lang w:val="fr-FR"/>
        </w:rPr>
        <w:t xml:space="preserve">l’annexe du présent document place chaque partie de la proposition de modification du </w:t>
      </w:r>
      <w:r>
        <w:t xml:space="preserve">RID/ADR/ADN en regard de son équivalent dans la </w:t>
      </w:r>
      <w:r>
        <w:rPr>
          <w:lang w:val="fr-FR"/>
        </w:rPr>
        <w:t xml:space="preserve">demande de réglementation visant à modifier le </w:t>
      </w:r>
      <w:r w:rsidRPr="00D73AFF">
        <w:rPr>
          <w:lang w:val="fr-FR"/>
        </w:rPr>
        <w:t>CFR</w:t>
      </w:r>
      <w:r>
        <w:rPr>
          <w:lang w:val="fr-FR"/>
        </w:rPr>
        <w:t>.</w:t>
      </w:r>
    </w:p>
    <w:p w:rsidR="00D046B1" w:rsidRDefault="00D046B1" w:rsidP="00D046B1">
      <w:pPr>
        <w:pStyle w:val="SingleTxtG"/>
        <w:rPr>
          <w:lang w:val="fr-FR"/>
        </w:rPr>
      </w:pPr>
      <w:bookmarkStart w:id="10" w:name="bookmark_27"/>
      <w:bookmarkEnd w:id="9"/>
      <w:r>
        <w:rPr>
          <w:lang w:val="fr-FR"/>
        </w:rPr>
        <w:t>7</w:t>
      </w:r>
      <w:r w:rsidRPr="003442EC">
        <w:rPr>
          <w:lang w:val="fr-FR"/>
        </w:rPr>
        <w:t>.</w:t>
      </w:r>
      <w:r w:rsidRPr="003442EC">
        <w:rPr>
          <w:lang w:val="fr-FR"/>
        </w:rPr>
        <w:tab/>
        <w:t>Des progrès substantiels ayant été accomplis en ce qui concerne la soumission de la demande de réglemen</w:t>
      </w:r>
      <w:r>
        <w:rPr>
          <w:lang w:val="fr-FR"/>
        </w:rPr>
        <w:t>t</w:t>
      </w:r>
      <w:r w:rsidRPr="003442EC">
        <w:rPr>
          <w:lang w:val="fr-FR"/>
        </w:rPr>
        <w:t>ation, l</w:t>
      </w:r>
      <w:r>
        <w:rPr>
          <w:lang w:val="fr-FR"/>
        </w:rPr>
        <w:t>’</w:t>
      </w:r>
      <w:r w:rsidRPr="003442EC">
        <w:rPr>
          <w:lang w:val="fr-FR"/>
        </w:rPr>
        <w:t>EIGA souhaiterait maintenant faire une proposition officielle visant à modifier l</w:t>
      </w:r>
      <w:r>
        <w:rPr>
          <w:lang w:val="fr-FR"/>
        </w:rPr>
        <w:t>’édition de 2021 du</w:t>
      </w:r>
      <w:r w:rsidRPr="003442EC">
        <w:rPr>
          <w:lang w:val="fr-FR"/>
        </w:rPr>
        <w:t xml:space="preserve"> RID/ADR/ADN.</w:t>
      </w:r>
      <w:bookmarkEnd w:id="10"/>
    </w:p>
    <w:p w:rsidR="00D046B1" w:rsidRPr="003442EC" w:rsidRDefault="00D046B1" w:rsidP="00D046B1">
      <w:pPr>
        <w:pStyle w:val="SingleTxtG"/>
        <w:rPr>
          <w:lang w:val="fr-FR"/>
        </w:rPr>
      </w:pPr>
      <w:r>
        <w:rPr>
          <w:lang w:val="fr-FR"/>
        </w:rPr>
        <w:t>8.</w:t>
      </w:r>
      <w:r>
        <w:rPr>
          <w:lang w:val="fr-FR"/>
        </w:rPr>
        <w:tab/>
        <w:t xml:space="preserve">En outre, étant donné qu’aucune proposition ne sera incorporée dans les éditions de 2019 du </w:t>
      </w:r>
      <w:r w:rsidRPr="003442EC">
        <w:rPr>
          <w:lang w:val="fr-FR"/>
        </w:rPr>
        <w:t>RID/ADR/ADN</w:t>
      </w:r>
      <w:r>
        <w:rPr>
          <w:lang w:val="fr-FR"/>
        </w:rPr>
        <w:t>, et comme il a été relevé à la session du printemps 2018 de la Réunion commune, l’</w:t>
      </w:r>
      <w:r w:rsidRPr="003442EC">
        <w:rPr>
          <w:lang w:val="fr-FR"/>
        </w:rPr>
        <w:t>EIGA</w:t>
      </w:r>
      <w:r>
        <w:rPr>
          <w:lang w:val="fr-FR"/>
        </w:rPr>
        <w:t xml:space="preserve"> propose qu’un nouvel accord multilatéral soit élaboré de façon à pouvoir remplacer immédiatement le </w:t>
      </w:r>
      <w:r w:rsidRPr="00B10255">
        <w:rPr>
          <w:lang w:val="fr-FR"/>
        </w:rPr>
        <w:t>M</w:t>
      </w:r>
      <w:r w:rsidR="000627FB">
        <w:rPr>
          <w:lang w:val="fr-FR"/>
        </w:rPr>
        <w:t> </w:t>
      </w:r>
      <w:r w:rsidRPr="00B10255">
        <w:rPr>
          <w:lang w:val="fr-FR"/>
        </w:rPr>
        <w:t>299</w:t>
      </w:r>
      <w:r>
        <w:rPr>
          <w:lang w:val="fr-FR"/>
        </w:rPr>
        <w:t>, qui expire le 1</w:t>
      </w:r>
      <w:r w:rsidRPr="00111784">
        <w:rPr>
          <w:vertAlign w:val="superscript"/>
          <w:lang w:val="fr-FR"/>
        </w:rPr>
        <w:t>er</w:t>
      </w:r>
      <w:r w:rsidR="000627FB">
        <w:rPr>
          <w:lang w:val="fr-FR"/>
        </w:rPr>
        <w:t> </w:t>
      </w:r>
      <w:r>
        <w:rPr>
          <w:lang w:val="fr-FR"/>
        </w:rPr>
        <w:t>juin 2019. Ce nouvel accord multilatéral porterait sur la période allant du 1</w:t>
      </w:r>
      <w:r w:rsidRPr="00111784">
        <w:rPr>
          <w:vertAlign w:val="superscript"/>
          <w:lang w:val="fr-FR"/>
        </w:rPr>
        <w:t>er</w:t>
      </w:r>
      <w:r w:rsidR="000627FB">
        <w:rPr>
          <w:lang w:val="fr-FR"/>
        </w:rPr>
        <w:t> </w:t>
      </w:r>
      <w:r>
        <w:rPr>
          <w:lang w:val="fr-FR"/>
        </w:rPr>
        <w:t>juin 2019 au 1</w:t>
      </w:r>
      <w:r w:rsidRPr="00111784">
        <w:rPr>
          <w:vertAlign w:val="superscript"/>
          <w:lang w:val="fr-FR"/>
        </w:rPr>
        <w:t>er</w:t>
      </w:r>
      <w:r w:rsidR="000627FB">
        <w:rPr>
          <w:lang w:val="fr-FR"/>
        </w:rPr>
        <w:t> </w:t>
      </w:r>
      <w:r>
        <w:rPr>
          <w:lang w:val="fr-FR"/>
        </w:rPr>
        <w:t>janvier 2021, date à laquelle, si tout se passe comme prévu, les règlements auront été modifiés.</w:t>
      </w:r>
    </w:p>
    <w:p w:rsidR="00D046B1" w:rsidRPr="00ED3669" w:rsidRDefault="00D046B1" w:rsidP="00D046B1">
      <w:pPr>
        <w:pStyle w:val="HChG"/>
      </w:pPr>
      <w:bookmarkStart w:id="11" w:name="bookmark_28"/>
      <w:r w:rsidRPr="003442EC">
        <w:rPr>
          <w:lang w:val="fr-FR"/>
        </w:rPr>
        <w:tab/>
      </w:r>
      <w:r>
        <w:rPr>
          <w:lang w:val="fr-FR"/>
        </w:rPr>
        <w:tab/>
      </w:r>
      <w:r w:rsidRPr="003442EC">
        <w:rPr>
          <w:lang w:val="fr-FR"/>
        </w:rPr>
        <w:t>Projet de proposition</w:t>
      </w:r>
      <w:bookmarkEnd w:id="11"/>
    </w:p>
    <w:p w:rsidR="00D046B1" w:rsidRPr="003442EC" w:rsidRDefault="00D046B1" w:rsidP="00D046B1">
      <w:pPr>
        <w:pStyle w:val="SingleTxtG"/>
        <w:rPr>
          <w:lang w:val="fr-FR"/>
        </w:rPr>
      </w:pPr>
      <w:bookmarkStart w:id="12" w:name="bookmark_29"/>
      <w:r>
        <w:rPr>
          <w:lang w:val="fr-FR"/>
        </w:rPr>
        <w:t>9</w:t>
      </w:r>
      <w:r w:rsidRPr="003442EC">
        <w:rPr>
          <w:lang w:val="fr-FR"/>
        </w:rPr>
        <w:t>.</w:t>
      </w:r>
      <w:r w:rsidRPr="003442EC">
        <w:rPr>
          <w:lang w:val="fr-FR"/>
        </w:rPr>
        <w:tab/>
        <w:t>Le texte ci-après est fondé sur l</w:t>
      </w:r>
      <w:r>
        <w:rPr>
          <w:lang w:val="fr-FR"/>
        </w:rPr>
        <w:t>’accord multilatéral M </w:t>
      </w:r>
      <w:r w:rsidRPr="003442EC">
        <w:rPr>
          <w:lang w:val="fr-FR"/>
        </w:rPr>
        <w:t>299 de l</w:t>
      </w:r>
      <w:r>
        <w:rPr>
          <w:lang w:val="fr-FR"/>
        </w:rPr>
        <w:t>’</w:t>
      </w:r>
      <w:r w:rsidRPr="003442EC">
        <w:rPr>
          <w:lang w:val="fr-FR"/>
        </w:rPr>
        <w:t>ADR par l</w:t>
      </w:r>
      <w:r>
        <w:rPr>
          <w:lang w:val="fr-FR"/>
        </w:rPr>
        <w:t>’</w:t>
      </w:r>
      <w:r w:rsidRPr="003442EC">
        <w:rPr>
          <w:lang w:val="fr-FR"/>
        </w:rPr>
        <w:t>inclusion des gaz de la classe</w:t>
      </w:r>
      <w:r w:rsidR="000627FB">
        <w:rPr>
          <w:lang w:val="fr-FR"/>
        </w:rPr>
        <w:t xml:space="preserve"> </w:t>
      </w:r>
      <w:r w:rsidRPr="003442EC">
        <w:rPr>
          <w:lang w:val="fr-FR"/>
        </w:rPr>
        <w:t>2 de l</w:t>
      </w:r>
      <w:r>
        <w:rPr>
          <w:lang w:val="fr-FR"/>
        </w:rPr>
        <w:t>’</w:t>
      </w:r>
      <w:r w:rsidRPr="003442EC">
        <w:rPr>
          <w:lang w:val="fr-FR"/>
        </w:rPr>
        <w:t>instruction d</w:t>
      </w:r>
      <w:r>
        <w:rPr>
          <w:lang w:val="fr-FR"/>
        </w:rPr>
        <w:t>’</w:t>
      </w:r>
      <w:r w:rsidRPr="003442EC">
        <w:rPr>
          <w:lang w:val="fr-FR"/>
        </w:rPr>
        <w:t>emballage P208.</w:t>
      </w:r>
      <w:bookmarkEnd w:id="12"/>
    </w:p>
    <w:p w:rsidR="00D046B1" w:rsidRPr="003442EC" w:rsidRDefault="00D046B1" w:rsidP="00D046B1">
      <w:pPr>
        <w:pStyle w:val="SingleTxtG"/>
        <w:rPr>
          <w:lang w:val="fr-FR"/>
        </w:rPr>
      </w:pPr>
      <w:bookmarkStart w:id="13" w:name="bookmark_30"/>
      <w:r>
        <w:rPr>
          <w:lang w:val="fr-FR"/>
        </w:rPr>
        <w:t>10</w:t>
      </w:r>
      <w:r w:rsidRPr="003442EC">
        <w:rPr>
          <w:lang w:val="fr-FR"/>
        </w:rPr>
        <w:t>.</w:t>
      </w:r>
      <w:r w:rsidRPr="003442EC">
        <w:rPr>
          <w:lang w:val="fr-FR"/>
        </w:rPr>
        <w:tab/>
        <w:t>La proposition a été rédigée en vue de son inclusion dans l</w:t>
      </w:r>
      <w:r>
        <w:rPr>
          <w:lang w:val="fr-FR"/>
        </w:rPr>
        <w:t>’</w:t>
      </w:r>
      <w:r w:rsidRPr="003442EC">
        <w:rPr>
          <w:lang w:val="fr-FR"/>
        </w:rPr>
        <w:t>ADN ainsi que dans le RID et l</w:t>
      </w:r>
      <w:r>
        <w:rPr>
          <w:lang w:val="fr-FR"/>
        </w:rPr>
        <w:t>’</w:t>
      </w:r>
      <w:r w:rsidRPr="003442EC">
        <w:rPr>
          <w:lang w:val="fr-FR"/>
        </w:rPr>
        <w:t>ADR. L</w:t>
      </w:r>
      <w:r>
        <w:rPr>
          <w:lang w:val="fr-FR"/>
        </w:rPr>
        <w:t>’</w:t>
      </w:r>
      <w:r w:rsidRPr="003442EC">
        <w:rPr>
          <w:lang w:val="fr-FR"/>
        </w:rPr>
        <w:t>EIGA n</w:t>
      </w:r>
      <w:r>
        <w:rPr>
          <w:lang w:val="fr-FR"/>
        </w:rPr>
        <w:t>’</w:t>
      </w:r>
      <w:r w:rsidRPr="003442EC">
        <w:rPr>
          <w:lang w:val="fr-FR"/>
        </w:rPr>
        <w:t>a connaissance d</w:t>
      </w:r>
      <w:r>
        <w:rPr>
          <w:lang w:val="fr-FR"/>
        </w:rPr>
        <w:t>’</w:t>
      </w:r>
      <w:r w:rsidRPr="003442EC">
        <w:rPr>
          <w:lang w:val="fr-FR"/>
        </w:rPr>
        <w:t>aucune nécessité de transporter de</w:t>
      </w:r>
      <w:r>
        <w:rPr>
          <w:lang w:val="fr-FR"/>
        </w:rPr>
        <w:t>s</w:t>
      </w:r>
      <w:r w:rsidRPr="003442EC">
        <w:rPr>
          <w:lang w:val="fr-FR"/>
        </w:rPr>
        <w:t xml:space="preserve"> bouteilles conformes à la réglementation du </w:t>
      </w:r>
      <w:proofErr w:type="spellStart"/>
      <w:r w:rsidRPr="003442EC">
        <w:rPr>
          <w:lang w:val="fr-FR"/>
        </w:rPr>
        <w:t>DoT</w:t>
      </w:r>
      <w:proofErr w:type="spellEnd"/>
      <w:r w:rsidRPr="003442EC">
        <w:rPr>
          <w:lang w:val="fr-FR"/>
        </w:rPr>
        <w:t xml:space="preserve"> par voie navigable</w:t>
      </w:r>
      <w:r>
        <w:rPr>
          <w:lang w:val="fr-FR"/>
        </w:rPr>
        <w:t xml:space="preserve"> intérieure</w:t>
      </w:r>
      <w:r w:rsidRPr="003442EC">
        <w:rPr>
          <w:lang w:val="fr-FR"/>
        </w:rPr>
        <w:t>, mais a inclus cette option dans le souci de préserver l</w:t>
      </w:r>
      <w:r>
        <w:rPr>
          <w:lang w:val="fr-FR"/>
        </w:rPr>
        <w:t>’</w:t>
      </w:r>
      <w:r w:rsidRPr="003442EC">
        <w:rPr>
          <w:lang w:val="fr-FR"/>
        </w:rPr>
        <w:t>harmonisation des différents modes de transport.</w:t>
      </w:r>
      <w:bookmarkEnd w:id="13"/>
    </w:p>
    <w:p w:rsidR="00D046B1" w:rsidRPr="00ED3669" w:rsidRDefault="00D046B1" w:rsidP="00D046B1">
      <w:pPr>
        <w:pStyle w:val="SingleTxtG"/>
        <w:spacing w:before="120"/>
        <w:rPr>
          <w:lang w:val="fr-FR"/>
        </w:rPr>
      </w:pPr>
      <w:bookmarkStart w:id="14" w:name="bookmark_31"/>
      <w:r>
        <w:rPr>
          <w:lang w:val="fr-FR"/>
        </w:rPr>
        <w:t>11</w:t>
      </w:r>
      <w:r w:rsidRPr="003442EC">
        <w:rPr>
          <w:lang w:val="fr-FR"/>
        </w:rPr>
        <w:t>.</w:t>
      </w:r>
      <w:r w:rsidRPr="003442EC">
        <w:rPr>
          <w:lang w:val="fr-FR"/>
        </w:rPr>
        <w:tab/>
        <w:t>L</w:t>
      </w:r>
      <w:r>
        <w:rPr>
          <w:lang w:val="fr-FR"/>
        </w:rPr>
        <w:t>’</w:t>
      </w:r>
      <w:r w:rsidRPr="003442EC">
        <w:rPr>
          <w:lang w:val="fr-FR"/>
        </w:rPr>
        <w:t>EIGA</w:t>
      </w:r>
      <w:r w:rsidR="000627FB">
        <w:rPr>
          <w:lang w:val="fr-FR"/>
        </w:rPr>
        <w:t xml:space="preserve"> </w:t>
      </w:r>
      <w:r>
        <w:rPr>
          <w:lang w:val="fr-FR"/>
        </w:rPr>
        <w:t xml:space="preserve">est d’avis </w:t>
      </w:r>
      <w:r w:rsidRPr="003442EC">
        <w:rPr>
          <w:lang w:val="fr-FR"/>
        </w:rPr>
        <w:t>que le lieu le plus approprié pour ce texte est la section</w:t>
      </w:r>
      <w:r w:rsidR="000627FB">
        <w:rPr>
          <w:lang w:val="fr-FR"/>
        </w:rPr>
        <w:t xml:space="preserve"> </w:t>
      </w:r>
      <w:r w:rsidRPr="003442EC">
        <w:rPr>
          <w:lang w:val="fr-FR"/>
        </w:rPr>
        <w:t xml:space="preserve">1.1.4 du RID/ADR/ADN </w:t>
      </w:r>
      <w:r>
        <w:rPr>
          <w:lang w:val="fr-FR"/>
        </w:rPr>
        <w:t>(</w:t>
      </w:r>
      <w:r w:rsidRPr="00111784">
        <w:rPr>
          <w:b/>
          <w:i/>
          <w:lang w:val="fr-FR"/>
        </w:rPr>
        <w:t>Applicabilité d’autres règlements</w:t>
      </w:r>
      <w:r>
        <w:rPr>
          <w:lang w:val="fr-FR"/>
        </w:rPr>
        <w:t>)</w:t>
      </w:r>
      <w:r w:rsidRPr="003442EC">
        <w:rPr>
          <w:lang w:val="fr-FR"/>
        </w:rPr>
        <w:t>.</w:t>
      </w:r>
      <w:bookmarkEnd w:id="14"/>
    </w:p>
    <w:p w:rsidR="00D046B1" w:rsidRPr="003442EC" w:rsidRDefault="00D046B1" w:rsidP="00D046B1">
      <w:pPr>
        <w:spacing w:before="120" w:after="120"/>
        <w:ind w:left="2268" w:right="1134" w:hanging="1134"/>
        <w:jc w:val="both"/>
        <w:rPr>
          <w:lang w:val="fr-FR"/>
        </w:rPr>
      </w:pPr>
      <w:bookmarkStart w:id="15" w:name="bookmark_32"/>
      <w:r w:rsidRPr="003442EC">
        <w:rPr>
          <w:lang w:val="fr-FR"/>
        </w:rPr>
        <w:t>«</w:t>
      </w:r>
      <w:r>
        <w:rPr>
          <w:lang w:val="fr-FR"/>
        </w:rPr>
        <w:t> </w:t>
      </w:r>
      <w:r w:rsidRPr="003442EC">
        <w:rPr>
          <w:lang w:val="fr-FR"/>
        </w:rPr>
        <w:t>1.1.4.6</w:t>
      </w:r>
      <w:r w:rsidRPr="003442EC">
        <w:rPr>
          <w:lang w:val="fr-FR"/>
        </w:rPr>
        <w:tab/>
      </w:r>
      <w:r w:rsidRPr="00636052">
        <w:rPr>
          <w:lang w:val="fr-FR"/>
        </w:rPr>
        <w:tab/>
      </w:r>
      <w:r w:rsidRPr="00636052">
        <w:rPr>
          <w:iCs/>
          <w:lang w:val="fr-FR"/>
        </w:rPr>
        <w:t>(</w:t>
      </w:r>
      <w:r w:rsidRPr="003442EC">
        <w:rPr>
          <w:i/>
          <w:iCs/>
          <w:lang w:val="fr-FR"/>
        </w:rPr>
        <w:t>Réservé</w:t>
      </w:r>
      <w:r w:rsidRPr="00636052">
        <w:rPr>
          <w:iCs/>
          <w:lang w:val="fr-FR"/>
        </w:rPr>
        <w:t>)</w:t>
      </w:r>
      <w:r w:rsidRPr="003442EC">
        <w:rPr>
          <w:lang w:val="fr-FR"/>
        </w:rPr>
        <w:tab/>
        <w:t>(ADR uniquement)</w:t>
      </w:r>
      <w:bookmarkEnd w:id="15"/>
    </w:p>
    <w:p w:rsidR="00D046B1" w:rsidRPr="003442EC" w:rsidRDefault="00D046B1" w:rsidP="00D046B1">
      <w:pPr>
        <w:spacing w:before="120" w:after="120"/>
        <w:ind w:left="2268" w:right="1134" w:hanging="1134"/>
        <w:jc w:val="both"/>
        <w:rPr>
          <w:lang w:val="fr-FR"/>
        </w:rPr>
      </w:pPr>
      <w:bookmarkStart w:id="16" w:name="bookmark_33"/>
      <w:r w:rsidRPr="003442EC">
        <w:rPr>
          <w:lang w:val="fr-FR"/>
        </w:rPr>
        <w:t>1.1.4.7</w:t>
      </w:r>
      <w:r w:rsidRPr="003442EC">
        <w:rPr>
          <w:lang w:val="fr-FR"/>
        </w:rPr>
        <w:tab/>
      </w:r>
      <w:r w:rsidRPr="003442EC">
        <w:rPr>
          <w:lang w:val="fr-FR"/>
        </w:rPr>
        <w:tab/>
        <w:t xml:space="preserve">En dérogation aux dispositions des </w:t>
      </w:r>
      <w:r>
        <w:rPr>
          <w:lang w:val="fr-FR"/>
        </w:rPr>
        <w:t xml:space="preserve">paragraphes </w:t>
      </w:r>
      <w:r w:rsidRPr="003442EC">
        <w:rPr>
          <w:lang w:val="fr-FR"/>
        </w:rPr>
        <w:t>6.2.3.4, 6.2.3.5, 6.2.3.6, 6.2.3.7, 6.2.3.8 et 6.2.3.9 de l</w:t>
      </w:r>
      <w:r>
        <w:rPr>
          <w:lang w:val="fr-FR"/>
        </w:rPr>
        <w:t>’</w:t>
      </w:r>
      <w:r w:rsidRPr="003442EC">
        <w:rPr>
          <w:lang w:val="fr-FR"/>
        </w:rPr>
        <w:t>ADR/RID, les gaz et les liquides mentionnés dans les tableaux des instructions d</w:t>
      </w:r>
      <w:r>
        <w:rPr>
          <w:lang w:val="fr-FR"/>
        </w:rPr>
        <w:t>’</w:t>
      </w:r>
      <w:r w:rsidRPr="003442EC">
        <w:rPr>
          <w:lang w:val="fr-FR"/>
        </w:rPr>
        <w:t xml:space="preserve">emballage P200 et P208 du </w:t>
      </w:r>
      <w:r>
        <w:rPr>
          <w:lang w:val="fr-FR"/>
        </w:rPr>
        <w:t xml:space="preserve">paragraphe </w:t>
      </w:r>
      <w:r w:rsidRPr="003442EC">
        <w:rPr>
          <w:lang w:val="fr-FR"/>
        </w:rPr>
        <w:t>4.1.4.1 de l</w:t>
      </w:r>
      <w:r>
        <w:rPr>
          <w:lang w:val="fr-FR"/>
        </w:rPr>
        <w:t>’</w:t>
      </w:r>
      <w:r w:rsidRPr="003442EC">
        <w:rPr>
          <w:lang w:val="fr-FR"/>
        </w:rPr>
        <w:t xml:space="preserve">ADR/RID et importés conformément au </w:t>
      </w:r>
      <w:r>
        <w:rPr>
          <w:lang w:val="fr-FR"/>
        </w:rPr>
        <w:t xml:space="preserve">paragraphe </w:t>
      </w:r>
      <w:r w:rsidRPr="003442EC">
        <w:rPr>
          <w:lang w:val="fr-FR"/>
        </w:rPr>
        <w:t>1.1.4.2 dans des récipients à pression rechargeables agréés par le Département des transports des États-Unis d</w:t>
      </w:r>
      <w:r>
        <w:rPr>
          <w:lang w:val="fr-FR"/>
        </w:rPr>
        <w:t>’</w:t>
      </w:r>
      <w:r w:rsidRPr="003442EC">
        <w:rPr>
          <w:lang w:val="fr-FR"/>
        </w:rPr>
        <w:t>Amérique peuvent être transportés depuis leur emplacement d</w:t>
      </w:r>
      <w:r>
        <w:rPr>
          <w:lang w:val="fr-FR"/>
        </w:rPr>
        <w:t>’</w:t>
      </w:r>
      <w:r w:rsidRPr="003442EC">
        <w:rPr>
          <w:lang w:val="fr-FR"/>
        </w:rPr>
        <w:t>entreposage temporaire jusqu</w:t>
      </w:r>
      <w:r>
        <w:rPr>
          <w:lang w:val="fr-FR"/>
        </w:rPr>
        <w:t>’</w:t>
      </w:r>
      <w:r w:rsidRPr="003442EC">
        <w:rPr>
          <w:lang w:val="fr-FR"/>
        </w:rPr>
        <w:t>aux utilisateurs finaux, en respectant les conditions suivantes</w:t>
      </w:r>
      <w:r>
        <w:rPr>
          <w:lang w:val="fr-FR"/>
        </w:rPr>
        <w:t> </w:t>
      </w:r>
      <w:r w:rsidRPr="003442EC">
        <w:rPr>
          <w:lang w:val="fr-FR"/>
        </w:rPr>
        <w:t>:</w:t>
      </w:r>
      <w:bookmarkEnd w:id="16"/>
    </w:p>
    <w:p w:rsidR="00D046B1" w:rsidRPr="003442EC" w:rsidRDefault="00D046B1" w:rsidP="00D046B1">
      <w:pPr>
        <w:pStyle w:val="SingleTxtG"/>
        <w:ind w:left="2835" w:hanging="567"/>
        <w:rPr>
          <w:lang w:val="fr-FR"/>
        </w:rPr>
      </w:pPr>
      <w:bookmarkStart w:id="17" w:name="bookmark_34"/>
      <w:r w:rsidRPr="003442EC">
        <w:rPr>
          <w:lang w:val="fr-FR"/>
        </w:rPr>
        <w:t>a)</w:t>
      </w:r>
      <w:r w:rsidRPr="003442EC">
        <w:rPr>
          <w:lang w:val="fr-FR"/>
        </w:rPr>
        <w:tab/>
        <w:t>Si les récipients à pression sont importés d</w:t>
      </w:r>
      <w:r>
        <w:rPr>
          <w:lang w:val="fr-FR"/>
        </w:rPr>
        <w:t>’</w:t>
      </w:r>
      <w:r w:rsidRPr="003442EC">
        <w:rPr>
          <w:lang w:val="fr-FR"/>
        </w:rPr>
        <w:t>un État qui n</w:t>
      </w:r>
      <w:r>
        <w:rPr>
          <w:lang w:val="fr-FR"/>
        </w:rPr>
        <w:t>’</w:t>
      </w:r>
      <w:r w:rsidRPr="003442EC">
        <w:rPr>
          <w:lang w:val="fr-FR"/>
        </w:rPr>
        <w:t>a adhéré ni à l</w:t>
      </w:r>
      <w:r>
        <w:rPr>
          <w:lang w:val="fr-FR"/>
        </w:rPr>
        <w:t>’</w:t>
      </w:r>
      <w:r w:rsidRPr="003442EC">
        <w:rPr>
          <w:lang w:val="fr-FR"/>
        </w:rPr>
        <w:t>ADR, ni au RID</w:t>
      </w:r>
      <w:r>
        <w:rPr>
          <w:lang w:val="fr-FR"/>
        </w:rPr>
        <w:t>,</w:t>
      </w:r>
      <w:r w:rsidRPr="003442EC">
        <w:rPr>
          <w:lang w:val="fr-FR"/>
        </w:rPr>
        <w:t xml:space="preserve"> ni à l</w:t>
      </w:r>
      <w:r>
        <w:rPr>
          <w:lang w:val="fr-FR"/>
        </w:rPr>
        <w:t>’</w:t>
      </w:r>
      <w:r w:rsidRPr="003442EC">
        <w:rPr>
          <w:lang w:val="fr-FR"/>
        </w:rPr>
        <w:t>ADN, leur conformité au présent Accord doit être vérifiée et consignée par l</w:t>
      </w:r>
      <w:r>
        <w:rPr>
          <w:lang w:val="fr-FR"/>
        </w:rPr>
        <w:t>’</w:t>
      </w:r>
      <w:r w:rsidRPr="003442EC">
        <w:rPr>
          <w:lang w:val="fr-FR"/>
        </w:rPr>
        <w:t>expéditeur. La fiche de vérification doit être conservée pendant cinq ans, de façon à permettre à l</w:t>
      </w:r>
      <w:r>
        <w:rPr>
          <w:lang w:val="fr-FR"/>
        </w:rPr>
        <w:t>’</w:t>
      </w:r>
      <w:r w:rsidRPr="003442EC">
        <w:rPr>
          <w:lang w:val="fr-FR"/>
        </w:rPr>
        <w:t>autorité compétente d</w:t>
      </w:r>
      <w:r>
        <w:rPr>
          <w:lang w:val="fr-FR"/>
        </w:rPr>
        <w:t>’</w:t>
      </w:r>
      <w:r w:rsidRPr="003442EC">
        <w:rPr>
          <w:lang w:val="fr-FR"/>
        </w:rPr>
        <w:t xml:space="preserve">effectuer un contrôle, et doit comporter le numéro </w:t>
      </w:r>
      <w:r w:rsidRPr="003442EC">
        <w:rPr>
          <w:lang w:val="fr-FR"/>
        </w:rPr>
        <w:lastRenderedPageBreak/>
        <w:t>d</w:t>
      </w:r>
      <w:r>
        <w:rPr>
          <w:lang w:val="fr-FR"/>
        </w:rPr>
        <w:t>’</w:t>
      </w:r>
      <w:r w:rsidRPr="003442EC">
        <w:rPr>
          <w:lang w:val="fr-FR"/>
        </w:rPr>
        <w:t xml:space="preserve">identification du récipient à pression, le nom de la personne </w:t>
      </w:r>
      <w:r>
        <w:rPr>
          <w:lang w:val="fr-FR"/>
        </w:rPr>
        <w:t>l’</w:t>
      </w:r>
      <w:r w:rsidRPr="003442EC">
        <w:rPr>
          <w:lang w:val="fr-FR"/>
        </w:rPr>
        <w:t>ayant vérifié</w:t>
      </w:r>
      <w:r w:rsidR="000627FB">
        <w:rPr>
          <w:lang w:val="fr-FR"/>
        </w:rPr>
        <w:t xml:space="preserve"> </w:t>
      </w:r>
      <w:r w:rsidRPr="003442EC">
        <w:rPr>
          <w:lang w:val="fr-FR"/>
        </w:rPr>
        <w:t>et la date de la vérification</w:t>
      </w:r>
      <w:bookmarkEnd w:id="17"/>
      <w:r w:rsidRPr="003442EC">
        <w:rPr>
          <w:lang w:val="fr-FR"/>
        </w:rPr>
        <w:t> ;</w:t>
      </w:r>
    </w:p>
    <w:p w:rsidR="00D046B1" w:rsidRPr="003442EC" w:rsidRDefault="00D046B1" w:rsidP="00D046B1">
      <w:pPr>
        <w:pStyle w:val="SingleTxtG"/>
        <w:ind w:left="2835" w:hanging="567"/>
        <w:rPr>
          <w:lang w:val="fr-FR"/>
        </w:rPr>
      </w:pPr>
      <w:bookmarkStart w:id="18" w:name="bookmark_35"/>
      <w:r w:rsidRPr="003442EC">
        <w:rPr>
          <w:lang w:val="fr-FR"/>
        </w:rPr>
        <w:t>b)</w:t>
      </w:r>
      <w:r w:rsidRPr="003442EC">
        <w:rPr>
          <w:lang w:val="fr-FR"/>
        </w:rPr>
        <w:tab/>
        <w:t>Les récipients à pression doivent être marqués et étiquetés conforméme</w:t>
      </w:r>
      <w:r>
        <w:rPr>
          <w:lang w:val="fr-FR"/>
        </w:rPr>
        <w:t>nt aux dispositions du chapitre</w:t>
      </w:r>
      <w:r w:rsidR="000627FB">
        <w:rPr>
          <w:lang w:val="fr-FR"/>
        </w:rPr>
        <w:t xml:space="preserve"> </w:t>
      </w:r>
      <w:r w:rsidRPr="003442EC">
        <w:rPr>
          <w:lang w:val="fr-FR"/>
        </w:rPr>
        <w:t>5.2 du RID</w:t>
      </w:r>
      <w:r>
        <w:rPr>
          <w:lang w:val="fr-FR"/>
        </w:rPr>
        <w:t>/</w:t>
      </w:r>
      <w:r w:rsidRPr="003442EC">
        <w:rPr>
          <w:lang w:val="fr-FR"/>
        </w:rPr>
        <w:t>ADR</w:t>
      </w:r>
      <w:r>
        <w:rPr>
          <w:lang w:val="fr-FR"/>
        </w:rPr>
        <w:t>/</w:t>
      </w:r>
      <w:r w:rsidRPr="003442EC">
        <w:rPr>
          <w:lang w:val="fr-FR"/>
        </w:rPr>
        <w:t>ADN</w:t>
      </w:r>
      <w:bookmarkEnd w:id="18"/>
      <w:r w:rsidRPr="003442EC">
        <w:rPr>
          <w:lang w:val="fr-FR"/>
        </w:rPr>
        <w:t> ;</w:t>
      </w:r>
    </w:p>
    <w:p w:rsidR="00D046B1" w:rsidRPr="003442EC" w:rsidRDefault="00D046B1" w:rsidP="00D046B1">
      <w:pPr>
        <w:pStyle w:val="SingleTxtG"/>
        <w:ind w:left="2835" w:hanging="567"/>
        <w:rPr>
          <w:lang w:val="fr-FR"/>
        </w:rPr>
      </w:pPr>
      <w:bookmarkStart w:id="19" w:name="bookmark_36"/>
      <w:r w:rsidRPr="003442EC">
        <w:rPr>
          <w:lang w:val="fr-FR"/>
        </w:rPr>
        <w:t>c)</w:t>
      </w:r>
      <w:r w:rsidRPr="003442EC">
        <w:rPr>
          <w:lang w:val="fr-FR"/>
        </w:rPr>
        <w:tab/>
        <w:t>Toutes les prescriptions pertinentes du RID</w:t>
      </w:r>
      <w:r>
        <w:rPr>
          <w:lang w:val="fr-FR"/>
        </w:rPr>
        <w:t>/</w:t>
      </w:r>
      <w:r w:rsidRPr="003442EC">
        <w:rPr>
          <w:lang w:val="fr-FR"/>
        </w:rPr>
        <w:t>ADR</w:t>
      </w:r>
      <w:r>
        <w:rPr>
          <w:lang w:val="fr-FR"/>
        </w:rPr>
        <w:t>/</w:t>
      </w:r>
      <w:r w:rsidRPr="003442EC">
        <w:rPr>
          <w:lang w:val="fr-FR"/>
        </w:rPr>
        <w:t>ADN relatives au taux de remplissage et à la périodicité des épreuves doivent être observées</w:t>
      </w:r>
      <w:bookmarkEnd w:id="19"/>
      <w:r w:rsidRPr="003442EC">
        <w:rPr>
          <w:lang w:val="fr-FR"/>
        </w:rPr>
        <w:t> ;</w:t>
      </w:r>
    </w:p>
    <w:p w:rsidR="00D7768B" w:rsidRDefault="00D046B1" w:rsidP="00D046B1">
      <w:pPr>
        <w:pStyle w:val="SingleTxtG"/>
        <w:ind w:left="2835" w:hanging="567"/>
        <w:rPr>
          <w:lang w:val="fr-FR"/>
        </w:rPr>
      </w:pPr>
      <w:bookmarkStart w:id="20" w:name="bookmark_37"/>
      <w:r w:rsidRPr="003442EC">
        <w:rPr>
          <w:lang w:val="fr-FR"/>
        </w:rPr>
        <w:t>d)</w:t>
      </w:r>
      <w:r w:rsidRPr="003442EC">
        <w:rPr>
          <w:lang w:val="fr-FR"/>
        </w:rPr>
        <w:tab/>
        <w:t>Lorsqu</w:t>
      </w:r>
      <w:r>
        <w:rPr>
          <w:lang w:val="fr-FR"/>
        </w:rPr>
        <w:t>’</w:t>
      </w:r>
      <w:r w:rsidRPr="003442EC">
        <w:rPr>
          <w:lang w:val="fr-FR"/>
        </w:rPr>
        <w:t>ils sont vides ou que l</w:t>
      </w:r>
      <w:r>
        <w:rPr>
          <w:lang w:val="fr-FR"/>
        </w:rPr>
        <w:t>’</w:t>
      </w:r>
      <w:r w:rsidRPr="003442EC">
        <w:rPr>
          <w:lang w:val="fr-FR"/>
        </w:rPr>
        <w:t>utilisateur final n</w:t>
      </w:r>
      <w:r>
        <w:rPr>
          <w:lang w:val="fr-FR"/>
        </w:rPr>
        <w:t>’</w:t>
      </w:r>
      <w:r w:rsidRPr="003442EC">
        <w:rPr>
          <w:lang w:val="fr-FR"/>
        </w:rPr>
        <w:t>a plus l</w:t>
      </w:r>
      <w:r>
        <w:rPr>
          <w:lang w:val="fr-FR"/>
        </w:rPr>
        <w:t>’</w:t>
      </w:r>
      <w:r w:rsidRPr="003442EC">
        <w:rPr>
          <w:lang w:val="fr-FR"/>
        </w:rPr>
        <w:t>usage du gaz ou du liquide qu</w:t>
      </w:r>
      <w:r>
        <w:rPr>
          <w:lang w:val="fr-FR"/>
        </w:rPr>
        <w:t>’</w:t>
      </w:r>
      <w:r w:rsidRPr="003442EC">
        <w:rPr>
          <w:lang w:val="fr-FR"/>
        </w:rPr>
        <w:t xml:space="preserve">ils contiennent, </w:t>
      </w:r>
      <w:bookmarkEnd w:id="20"/>
      <w:r w:rsidRPr="003442EC">
        <w:rPr>
          <w:lang w:val="fr-FR"/>
        </w:rPr>
        <w:t>les récipients à pression ne doivent pas être remplis à nouveau et doivent être réexportés vers le pays d</w:t>
      </w:r>
      <w:r>
        <w:rPr>
          <w:lang w:val="fr-FR"/>
        </w:rPr>
        <w:t>’</w:t>
      </w:r>
      <w:r w:rsidRPr="003442EC">
        <w:rPr>
          <w:lang w:val="fr-FR"/>
        </w:rPr>
        <w:t>origine ;</w:t>
      </w:r>
      <w:bookmarkStart w:id="21" w:name="bookmark_39"/>
      <w:r w:rsidR="00427C6B">
        <w:rPr>
          <w:lang w:val="fr-FR"/>
        </w:rPr>
        <w:t xml:space="preserve"> </w:t>
      </w:r>
    </w:p>
    <w:p w:rsidR="00D046B1" w:rsidRPr="003442EC" w:rsidRDefault="00D046B1" w:rsidP="00D046B1">
      <w:pPr>
        <w:pStyle w:val="SingleTxtG"/>
        <w:ind w:left="2835" w:hanging="567"/>
        <w:rPr>
          <w:lang w:val="fr-FR"/>
        </w:rPr>
      </w:pPr>
      <w:r>
        <w:rPr>
          <w:lang w:val="fr-FR"/>
        </w:rPr>
        <w:t>e</w:t>
      </w:r>
      <w:r w:rsidRPr="003442EC">
        <w:rPr>
          <w:lang w:val="fr-FR"/>
        </w:rPr>
        <w:t>)</w:t>
      </w:r>
      <w:r w:rsidRPr="003442EC">
        <w:rPr>
          <w:lang w:val="fr-FR"/>
        </w:rPr>
        <w:tab/>
        <w:t>L</w:t>
      </w:r>
      <w:r>
        <w:rPr>
          <w:lang w:val="fr-FR"/>
        </w:rPr>
        <w:t>’</w:t>
      </w:r>
      <w:r w:rsidRPr="003442EC">
        <w:rPr>
          <w:lang w:val="fr-FR"/>
        </w:rPr>
        <w:t>expéditeur chargé du trajet ADR/</w:t>
      </w:r>
      <w:r>
        <w:rPr>
          <w:lang w:val="fr-FR"/>
        </w:rPr>
        <w:t>RID/</w:t>
      </w:r>
      <w:r w:rsidRPr="003442EC">
        <w:rPr>
          <w:lang w:val="fr-FR"/>
        </w:rPr>
        <w:t>ADN doit inscrire la mention suivante dans le document de transport</w:t>
      </w:r>
      <w:bookmarkEnd w:id="21"/>
      <w:r>
        <w:rPr>
          <w:lang w:val="fr-FR"/>
        </w:rPr>
        <w:t> :</w:t>
      </w:r>
    </w:p>
    <w:p w:rsidR="00D046B1" w:rsidRDefault="00D046B1" w:rsidP="00D046B1">
      <w:pPr>
        <w:pStyle w:val="SingleTxtG"/>
        <w:ind w:left="3402"/>
        <w:rPr>
          <w:lang w:val="fr-FR"/>
        </w:rPr>
      </w:pPr>
      <w:bookmarkStart w:id="22" w:name="bookmark_40"/>
      <w:r w:rsidRPr="00A65BFD">
        <w:t>“</w:t>
      </w:r>
      <w:r w:rsidRPr="003442EC">
        <w:rPr>
          <w:lang w:val="fr-FR"/>
        </w:rPr>
        <w:t>Transport conformément au paragraphe 1.1.4.7</w:t>
      </w:r>
      <w:r w:rsidRPr="00A65BFD">
        <w:t>”</w:t>
      </w:r>
      <w:r w:rsidRPr="003442EC">
        <w:rPr>
          <w:lang w:val="fr-FR"/>
        </w:rPr>
        <w:t>.</w:t>
      </w:r>
      <w:r>
        <w:rPr>
          <w:lang w:val="fr-FR"/>
        </w:rPr>
        <w:t> </w:t>
      </w:r>
      <w:r w:rsidRPr="003442EC">
        <w:rPr>
          <w:lang w:val="fr-FR"/>
        </w:rPr>
        <w:t>».</w:t>
      </w:r>
      <w:bookmarkEnd w:id="22"/>
    </w:p>
    <w:p w:rsidR="00D046B1" w:rsidRDefault="00D046B1" w:rsidP="00D046B1">
      <w:pPr>
        <w:pStyle w:val="HChG"/>
        <w:rPr>
          <w:lang w:val="fr-FR"/>
        </w:rPr>
      </w:pPr>
      <w:r>
        <w:rPr>
          <w:lang w:val="fr-FR"/>
        </w:rPr>
        <w:br w:type="page"/>
      </w:r>
      <w:r>
        <w:rPr>
          <w:lang w:val="fr-FR"/>
        </w:rPr>
        <w:lastRenderedPageBreak/>
        <w:t>Annexe</w:t>
      </w:r>
    </w:p>
    <w:p w:rsidR="00D046B1" w:rsidRDefault="00D046B1" w:rsidP="00D046B1">
      <w:pPr>
        <w:pStyle w:val="SingleTxtG"/>
        <w:ind w:firstLine="567"/>
        <w:rPr>
          <w:lang w:val="fr-FR"/>
        </w:rPr>
      </w:pPr>
      <w:r>
        <w:rPr>
          <w:lang w:val="fr-FR"/>
        </w:rPr>
        <w:t xml:space="preserve">Les observations qui ne font pas partie des textes proposés apparaissent en </w:t>
      </w:r>
      <w:r w:rsidRPr="00111784">
        <w:rPr>
          <w:i/>
          <w:lang w:val="fr-FR"/>
        </w:rPr>
        <w:t>italique</w:t>
      </w:r>
      <w:r>
        <w:rPr>
          <w:lang w:val="fr-FR"/>
        </w:rPr>
        <w:t xml:space="preserve">. Les ajouts apportés à la suite de </w:t>
      </w:r>
      <w:r w:rsidRPr="00D046B1">
        <w:t>la</w:t>
      </w:r>
      <w:r>
        <w:rPr>
          <w:lang w:val="fr-FR"/>
        </w:rPr>
        <w:t xml:space="preserve"> phase de présentation d’observations prévue dans le cadre du DOT sont encadrés par des crochets.</w:t>
      </w:r>
    </w:p>
    <w:tbl>
      <w:tblPr>
        <w:tblStyle w:val="TableGrid"/>
        <w:tblW w:w="0" w:type="auto"/>
        <w:tblLook w:val="04A0" w:firstRow="1" w:lastRow="0" w:firstColumn="1" w:lastColumn="0" w:noHBand="0" w:noVBand="1"/>
      </w:tblPr>
      <w:tblGrid>
        <w:gridCol w:w="766"/>
        <w:gridCol w:w="4416"/>
        <w:gridCol w:w="4440"/>
      </w:tblGrid>
      <w:tr w:rsidR="00D046B1" w:rsidRPr="00242603" w:rsidTr="00B832D3">
        <w:tc>
          <w:tcPr>
            <w:tcW w:w="766" w:type="dxa"/>
            <w:tcBorders>
              <w:right w:val="nil"/>
            </w:tcBorders>
          </w:tcPr>
          <w:p w:rsidR="00D046B1" w:rsidRPr="00B470FB" w:rsidRDefault="00D046B1" w:rsidP="000627FB">
            <w:pPr>
              <w:spacing w:line="230" w:lineRule="exact"/>
            </w:pPr>
          </w:p>
        </w:tc>
        <w:tc>
          <w:tcPr>
            <w:tcW w:w="4416" w:type="dxa"/>
            <w:tcBorders>
              <w:left w:val="nil"/>
              <w:right w:val="double" w:sz="4" w:space="0" w:color="auto"/>
            </w:tcBorders>
          </w:tcPr>
          <w:p w:rsidR="00D046B1" w:rsidRPr="00111784" w:rsidRDefault="00D046B1" w:rsidP="000627FB">
            <w:pPr>
              <w:spacing w:before="80" w:after="80" w:line="230" w:lineRule="exact"/>
              <w:ind w:left="113" w:right="113"/>
            </w:pPr>
            <w:r w:rsidRPr="00111784">
              <w:rPr>
                <w:b/>
                <w:sz w:val="24"/>
              </w:rPr>
              <w:t xml:space="preserve">Proposition de modifications </w:t>
            </w:r>
            <w:r w:rsidR="000627FB">
              <w:rPr>
                <w:b/>
                <w:sz w:val="24"/>
              </w:rPr>
              <w:br/>
            </w:r>
            <w:r w:rsidRPr="005857E2">
              <w:rPr>
                <w:b/>
                <w:sz w:val="24"/>
              </w:rPr>
              <w:t>d</w:t>
            </w:r>
            <w:r w:rsidRPr="00111784">
              <w:rPr>
                <w:b/>
                <w:sz w:val="24"/>
              </w:rPr>
              <w:t>u RID/</w:t>
            </w:r>
            <w:r>
              <w:rPr>
                <w:b/>
                <w:sz w:val="24"/>
              </w:rPr>
              <w:t>de l’</w:t>
            </w:r>
            <w:r w:rsidRPr="00111784">
              <w:rPr>
                <w:b/>
                <w:sz w:val="24"/>
              </w:rPr>
              <w:t>ADR/</w:t>
            </w:r>
            <w:r>
              <w:rPr>
                <w:b/>
                <w:sz w:val="24"/>
              </w:rPr>
              <w:t>de l’</w:t>
            </w:r>
            <w:r w:rsidRPr="00111784">
              <w:rPr>
                <w:b/>
                <w:sz w:val="24"/>
              </w:rPr>
              <w:t>ADN</w:t>
            </w:r>
          </w:p>
        </w:tc>
        <w:tc>
          <w:tcPr>
            <w:tcW w:w="4440" w:type="dxa"/>
            <w:tcBorders>
              <w:top w:val="single" w:sz="4" w:space="0" w:color="auto"/>
              <w:left w:val="double" w:sz="4" w:space="0" w:color="auto"/>
              <w:bottom w:val="single" w:sz="4" w:space="0" w:color="auto"/>
              <w:right w:val="single" w:sz="4" w:space="0" w:color="auto"/>
            </w:tcBorders>
          </w:tcPr>
          <w:p w:rsidR="00D046B1" w:rsidRPr="00111784" w:rsidRDefault="00D046B1" w:rsidP="000627FB">
            <w:pPr>
              <w:spacing w:before="80" w:after="80" w:line="230" w:lineRule="exact"/>
              <w:ind w:left="113" w:right="113"/>
            </w:pPr>
            <w:r w:rsidRPr="007F6540">
              <w:rPr>
                <w:b/>
                <w:sz w:val="24"/>
              </w:rPr>
              <w:t xml:space="preserve">Proposition de modifications </w:t>
            </w:r>
            <w:r w:rsidR="000627FB">
              <w:rPr>
                <w:b/>
                <w:sz w:val="24"/>
              </w:rPr>
              <w:br/>
            </w:r>
            <w:r w:rsidRPr="005857E2">
              <w:rPr>
                <w:b/>
                <w:sz w:val="24"/>
              </w:rPr>
              <w:t>d</w:t>
            </w:r>
            <w:r w:rsidRPr="007F6540">
              <w:rPr>
                <w:b/>
                <w:sz w:val="24"/>
              </w:rPr>
              <w:t>u</w:t>
            </w:r>
            <w:r w:rsidRPr="00111784" w:rsidDel="00242603">
              <w:rPr>
                <w:b/>
                <w:sz w:val="24"/>
              </w:rPr>
              <w:t xml:space="preserve"> </w:t>
            </w:r>
            <w:r w:rsidRPr="007F6540">
              <w:rPr>
                <w:b/>
                <w:sz w:val="24"/>
              </w:rPr>
              <w:t>§171.23(a)</w:t>
            </w:r>
            <w:r>
              <w:rPr>
                <w:b/>
                <w:sz w:val="24"/>
              </w:rPr>
              <w:t xml:space="preserve"> du </w:t>
            </w:r>
            <w:r w:rsidRPr="00111784">
              <w:rPr>
                <w:b/>
                <w:sz w:val="24"/>
              </w:rPr>
              <w:t>C</w:t>
            </w:r>
            <w:r>
              <w:rPr>
                <w:b/>
                <w:sz w:val="24"/>
              </w:rPr>
              <w:t>F</w:t>
            </w:r>
            <w:r w:rsidRPr="00111784">
              <w:rPr>
                <w:b/>
                <w:sz w:val="24"/>
              </w:rPr>
              <w:t xml:space="preserve">R </w:t>
            </w:r>
          </w:p>
        </w:tc>
      </w:tr>
      <w:tr w:rsidR="00D046B1" w:rsidRPr="0068550F" w:rsidTr="00B832D3">
        <w:tc>
          <w:tcPr>
            <w:tcW w:w="766" w:type="dxa"/>
          </w:tcPr>
          <w:p w:rsidR="00D046B1" w:rsidRPr="00B470FB" w:rsidRDefault="00D046B1" w:rsidP="00D7768B">
            <w:pPr>
              <w:spacing w:before="60" w:after="60" w:line="230" w:lineRule="exact"/>
              <w:ind w:left="113" w:right="6"/>
            </w:pPr>
            <w:r w:rsidRPr="00B470FB">
              <w:t>1.1.4.7</w:t>
            </w:r>
          </w:p>
        </w:tc>
        <w:tc>
          <w:tcPr>
            <w:tcW w:w="4416" w:type="dxa"/>
            <w:tcBorders>
              <w:right w:val="double" w:sz="4" w:space="0" w:color="auto"/>
            </w:tcBorders>
          </w:tcPr>
          <w:p w:rsidR="00D046B1" w:rsidRPr="00111784" w:rsidRDefault="00D046B1" w:rsidP="000627FB">
            <w:pPr>
              <w:spacing w:before="60" w:after="60" w:line="230" w:lineRule="exact"/>
              <w:ind w:left="113" w:right="113"/>
              <w:jc w:val="both"/>
            </w:pPr>
            <w:r w:rsidRPr="00111784">
              <w:t>En dérogation aux dispositions des 6.2.3.4, 6.2.3.5, 6.2.3.6, 6.2.3.7, 6.2.3.8 et 6.2.3.9 de l’ADR/du RID, les gaz et les liquides mentionnés dans les tableaux des instructions d’emballage P200 et P208 du 4.1.4.1 de l’ADR/du RID et importés conformément au 1.1.4.2 dans des récipients à pression rechargeables agréés par le Département des transports des États-Unis d’Amérique peuvent être transportés depuis leur emplacement d’entreposage temporaire jusqu’aux utilisateurs finaux, en respectant les conditions suivantes</w:t>
            </w:r>
            <w:r w:rsidR="000627FB">
              <w:t> </w:t>
            </w:r>
            <w:r w:rsidRPr="00111784">
              <w:t>:</w:t>
            </w:r>
          </w:p>
        </w:tc>
        <w:tc>
          <w:tcPr>
            <w:tcW w:w="4440" w:type="dxa"/>
            <w:tcBorders>
              <w:top w:val="single" w:sz="4" w:space="0" w:color="auto"/>
              <w:left w:val="double" w:sz="4" w:space="0" w:color="auto"/>
              <w:bottom w:val="single" w:sz="4" w:space="0" w:color="auto"/>
              <w:right w:val="single" w:sz="4" w:space="0" w:color="auto"/>
            </w:tcBorders>
          </w:tcPr>
          <w:p w:rsidR="00D046B1" w:rsidRPr="00111784" w:rsidRDefault="00D046B1" w:rsidP="00B832D3">
            <w:pPr>
              <w:spacing w:before="60" w:line="230" w:lineRule="exact"/>
              <w:ind w:left="113" w:right="113"/>
              <w:jc w:val="both"/>
              <w:rPr>
                <w:lang w:val="fr-FR"/>
              </w:rPr>
            </w:pPr>
            <w:r w:rsidRPr="00111784">
              <w:rPr>
                <w:lang w:val="fr-FR"/>
              </w:rPr>
              <w:t>3)</w:t>
            </w:r>
            <w:r w:rsidR="000627FB">
              <w:rPr>
                <w:lang w:val="fr-FR"/>
              </w:rPr>
              <w:tab/>
            </w:r>
            <w:r w:rsidRPr="00111784">
              <w:rPr>
                <w:lang w:val="fr-FR"/>
              </w:rPr>
              <w:t xml:space="preserve">Les </w:t>
            </w:r>
            <w:r w:rsidRPr="000627FB">
              <w:t>récipients</w:t>
            </w:r>
            <w:r w:rsidRPr="00111784">
              <w:rPr>
                <w:lang w:val="fr-FR"/>
              </w:rPr>
              <w:t xml:space="preserve"> à pression marqués d’un pi en application de la directive européenne 2010/35/EU relative aux équipements sous pression transportables (TPED) qui respectent les prescriptions de l'instruction d'emballage P200 [ou P208] et la disposition </w:t>
            </w:r>
            <w:r>
              <w:rPr>
                <w:lang w:val="fr-FR"/>
              </w:rPr>
              <w:t xml:space="preserve">du </w:t>
            </w:r>
            <w:r w:rsidRPr="00111784">
              <w:rPr>
                <w:lang w:val="fr-FR"/>
              </w:rPr>
              <w:t xml:space="preserve">6.2.2 de l’ADR concernant l’emploi du dispositif de décompression, la période d’essai, les taux de remplissage, la pression d'épreuve, la pression de service maximale, et la compatibilité des matériaux avec la matière transportée ou le gaz dont sont remplis les récipients, sont autorisés </w:t>
            </w:r>
            <w:r>
              <w:rPr>
                <w:lang w:val="fr-FR"/>
              </w:rPr>
              <w:t>s’il s’agit de :</w:t>
            </w:r>
          </w:p>
          <w:p w:rsidR="00D046B1" w:rsidRPr="00111784" w:rsidRDefault="00D046B1" w:rsidP="00B832D3">
            <w:pPr>
              <w:tabs>
                <w:tab w:val="left" w:pos="512"/>
              </w:tabs>
              <w:spacing w:after="60" w:line="230" w:lineRule="exact"/>
              <w:ind w:left="113" w:right="113"/>
              <w:jc w:val="both"/>
              <w:rPr>
                <w:lang w:val="fr-FR"/>
              </w:rPr>
            </w:pPr>
            <w:r w:rsidRPr="00111784">
              <w:rPr>
                <w:lang w:val="fr-FR"/>
              </w:rPr>
              <w:t>i)</w:t>
            </w:r>
            <w:r w:rsidR="000627FB">
              <w:rPr>
                <w:lang w:val="fr-FR"/>
              </w:rPr>
              <w:tab/>
            </w:r>
            <w:r>
              <w:rPr>
                <w:lang w:val="fr-FR"/>
              </w:rPr>
              <w:t>R</w:t>
            </w:r>
            <w:r w:rsidRPr="00111784">
              <w:rPr>
                <w:lang w:val="fr-FR"/>
              </w:rPr>
              <w:t>écipients à pression remplis</w:t>
            </w:r>
            <w:r w:rsidRPr="0068550F">
              <w:rPr>
                <w:lang w:val="fr-FR"/>
              </w:rPr>
              <w:t xml:space="preserve"> importés</w:t>
            </w:r>
            <w:r w:rsidRPr="00111784">
              <w:rPr>
                <w:lang w:val="fr-FR"/>
              </w:rPr>
              <w:t xml:space="preserve"> à des fins d’entreposage intermédiaire, </w:t>
            </w:r>
            <w:r>
              <w:rPr>
                <w:lang w:val="fr-FR"/>
              </w:rPr>
              <w:t>de transport jusqu’au point d’utilisation</w:t>
            </w:r>
            <w:r w:rsidRPr="00111784">
              <w:rPr>
                <w:lang w:val="fr-FR"/>
              </w:rPr>
              <w:t xml:space="preserve">, </w:t>
            </w:r>
            <w:r>
              <w:rPr>
                <w:lang w:val="fr-FR"/>
              </w:rPr>
              <w:t>de décharge</w:t>
            </w:r>
            <w:r w:rsidRPr="00111784">
              <w:rPr>
                <w:lang w:val="fr-FR"/>
              </w:rPr>
              <w:t xml:space="preserve"> </w:t>
            </w:r>
            <w:r>
              <w:rPr>
                <w:lang w:val="fr-FR"/>
              </w:rPr>
              <w:t>et d’exportation sans être rempli à nouveau ; et</w:t>
            </w:r>
          </w:p>
        </w:tc>
      </w:tr>
      <w:tr w:rsidR="00D046B1" w:rsidRPr="00D14A7B" w:rsidTr="00B832D3">
        <w:tc>
          <w:tcPr>
            <w:tcW w:w="766" w:type="dxa"/>
          </w:tcPr>
          <w:p w:rsidR="00D046B1" w:rsidRPr="00111784" w:rsidRDefault="00D046B1" w:rsidP="000627FB">
            <w:pPr>
              <w:spacing w:before="60" w:after="60" w:line="230" w:lineRule="exact"/>
              <w:ind w:left="4" w:right="4"/>
              <w:rPr>
                <w:lang w:val="fr-FR"/>
              </w:rPr>
            </w:pPr>
          </w:p>
        </w:tc>
        <w:tc>
          <w:tcPr>
            <w:tcW w:w="4416" w:type="dxa"/>
            <w:tcBorders>
              <w:right w:val="double" w:sz="4" w:space="0" w:color="auto"/>
            </w:tcBorders>
          </w:tcPr>
          <w:p w:rsidR="00D046B1" w:rsidRPr="00111784" w:rsidRDefault="00D046B1" w:rsidP="000627FB">
            <w:pPr>
              <w:spacing w:before="60" w:after="60" w:line="230" w:lineRule="exact"/>
              <w:ind w:left="113" w:right="113"/>
              <w:jc w:val="both"/>
              <w:rPr>
                <w:i/>
              </w:rPr>
            </w:pPr>
            <w:r w:rsidRPr="00111784">
              <w:rPr>
                <w:i/>
              </w:rPr>
              <w:t>Il n’y a pas de proposition de l’EIGA</w:t>
            </w:r>
            <w:r>
              <w:rPr>
                <w:i/>
              </w:rPr>
              <w:t xml:space="preserve"> équivalente à</w:t>
            </w:r>
            <w:r w:rsidR="000627FB">
              <w:rPr>
                <w:i/>
              </w:rPr>
              <w:t> </w:t>
            </w:r>
            <w:r>
              <w:rPr>
                <w:i/>
              </w:rPr>
              <w:t>ce texte du</w:t>
            </w:r>
            <w:r w:rsidRPr="00111784">
              <w:rPr>
                <w:i/>
              </w:rPr>
              <w:t xml:space="preserve"> C</w:t>
            </w:r>
            <w:r>
              <w:rPr>
                <w:i/>
              </w:rPr>
              <w:t>F</w:t>
            </w:r>
            <w:r w:rsidRPr="00111784">
              <w:rPr>
                <w:i/>
              </w:rPr>
              <w:t xml:space="preserve">R </w:t>
            </w:r>
          </w:p>
        </w:tc>
        <w:tc>
          <w:tcPr>
            <w:tcW w:w="4440" w:type="dxa"/>
            <w:tcBorders>
              <w:top w:val="single" w:sz="4" w:space="0" w:color="auto"/>
              <w:left w:val="double" w:sz="4" w:space="0" w:color="auto"/>
              <w:bottom w:val="single" w:sz="4" w:space="0" w:color="auto"/>
              <w:right w:val="single" w:sz="4" w:space="0" w:color="auto"/>
            </w:tcBorders>
          </w:tcPr>
          <w:p w:rsidR="00D046B1" w:rsidRPr="00111784" w:rsidRDefault="00D046B1" w:rsidP="00B832D3">
            <w:pPr>
              <w:tabs>
                <w:tab w:val="left" w:pos="512"/>
              </w:tabs>
              <w:spacing w:before="60" w:after="60" w:line="230" w:lineRule="exact"/>
              <w:ind w:left="113" w:right="113"/>
              <w:jc w:val="both"/>
            </w:pPr>
            <w:r w:rsidRPr="00111784">
              <w:t>ii)</w:t>
            </w:r>
            <w:r w:rsidR="000627FB">
              <w:tab/>
            </w:r>
            <w:r>
              <w:t>Ré</w:t>
            </w:r>
            <w:r w:rsidRPr="00111784">
              <w:t xml:space="preserve">cipients à pression importés [ou fabriqués localement] </w:t>
            </w:r>
            <w:r>
              <w:t>à des fins de remplissage</w:t>
            </w:r>
            <w:r w:rsidRPr="00111784">
              <w:t xml:space="preserve">, </w:t>
            </w:r>
            <w:r w:rsidRPr="007F6540">
              <w:rPr>
                <w:lang w:val="fr-FR"/>
              </w:rPr>
              <w:t>d’entreposage intermédiaire</w:t>
            </w:r>
            <w:r>
              <w:t xml:space="preserve"> et d’</w:t>
            </w:r>
            <w:r w:rsidRPr="00111784">
              <w:t>export</w:t>
            </w:r>
            <w:r>
              <w:t>ation</w:t>
            </w:r>
            <w:r w:rsidRPr="00111784">
              <w:t>.</w:t>
            </w:r>
          </w:p>
        </w:tc>
      </w:tr>
      <w:tr w:rsidR="00D046B1" w:rsidRPr="00E14E4A" w:rsidTr="00B832D3">
        <w:tc>
          <w:tcPr>
            <w:tcW w:w="766" w:type="dxa"/>
          </w:tcPr>
          <w:p w:rsidR="00D046B1" w:rsidRPr="00111784" w:rsidRDefault="00D046B1" w:rsidP="000627FB">
            <w:pPr>
              <w:spacing w:before="60" w:after="60" w:line="230" w:lineRule="exact"/>
              <w:ind w:left="4" w:right="4"/>
            </w:pPr>
          </w:p>
        </w:tc>
        <w:tc>
          <w:tcPr>
            <w:tcW w:w="4416" w:type="dxa"/>
            <w:tcBorders>
              <w:right w:val="double" w:sz="4" w:space="0" w:color="auto"/>
            </w:tcBorders>
          </w:tcPr>
          <w:p w:rsidR="00D046B1" w:rsidRPr="00A65BFD" w:rsidRDefault="00D046B1" w:rsidP="00B832D3">
            <w:pPr>
              <w:tabs>
                <w:tab w:val="left" w:pos="512"/>
              </w:tabs>
              <w:spacing w:before="60" w:after="60" w:line="230" w:lineRule="exact"/>
              <w:ind w:left="113" w:right="113"/>
              <w:jc w:val="both"/>
            </w:pPr>
            <w:r w:rsidRPr="00111784">
              <w:t>a)</w:t>
            </w:r>
            <w:r w:rsidR="000627FB">
              <w:tab/>
            </w:r>
            <w:r w:rsidRPr="00854D44">
              <w:t xml:space="preserve">Si les récipients à pression sont importés d’un État qui n’a adhéré ni à l’ADR, ni au RID, ni à l’ADN, leur conformité au présent Accord doit être vérifiée et consignée par l’expéditeur. </w:t>
            </w:r>
            <w:r w:rsidRPr="0029088B">
              <w:t>La fiche de vérification doit être conservée pendant cinq ans, de façon à permettre à l’autorité compétente d’effectuer un contrôle, et doit comporter le numéro d’identification du récipient à pression, le nom de la personne ayant vérifié le récipient et la date de la vérification</w:t>
            </w:r>
            <w:r w:rsidR="000627FB">
              <w:t> </w:t>
            </w:r>
            <w:r w:rsidRPr="0029088B">
              <w:t xml:space="preserve">; </w:t>
            </w:r>
          </w:p>
        </w:tc>
        <w:tc>
          <w:tcPr>
            <w:tcW w:w="4440" w:type="dxa"/>
            <w:tcBorders>
              <w:top w:val="single" w:sz="4" w:space="0" w:color="auto"/>
              <w:left w:val="double" w:sz="4" w:space="0" w:color="auto"/>
              <w:bottom w:val="single" w:sz="4" w:space="0" w:color="auto"/>
              <w:right w:val="single" w:sz="4" w:space="0" w:color="auto"/>
            </w:tcBorders>
          </w:tcPr>
          <w:p w:rsidR="00D046B1" w:rsidRPr="00111784" w:rsidRDefault="00D046B1" w:rsidP="000627FB">
            <w:pPr>
              <w:spacing w:before="60" w:after="60" w:line="230" w:lineRule="exact"/>
              <w:ind w:left="113" w:right="113"/>
              <w:jc w:val="both"/>
              <w:rPr>
                <w:i/>
              </w:rPr>
            </w:pPr>
            <w:r w:rsidRPr="00B832D3">
              <w:rPr>
                <w:i/>
                <w:spacing w:val="-4"/>
              </w:rPr>
              <w:t>Le CFR ne prévoit aucune obligation de</w:t>
            </w:r>
            <w:r w:rsidRPr="00B832D3">
              <w:rPr>
                <w:i/>
                <w:spacing w:val="-2"/>
              </w:rPr>
              <w:t xml:space="preserve"> consignation</w:t>
            </w:r>
            <w:r w:rsidRPr="00111784">
              <w:rPr>
                <w:i/>
              </w:rPr>
              <w:t xml:space="preserve"> </w:t>
            </w:r>
            <w:r>
              <w:rPr>
                <w:i/>
              </w:rPr>
              <w:t>selon les modalités proposées</w:t>
            </w:r>
            <w:r w:rsidRPr="00111784">
              <w:rPr>
                <w:i/>
              </w:rPr>
              <w:t xml:space="preserve"> </w:t>
            </w:r>
            <w:r>
              <w:rPr>
                <w:i/>
              </w:rPr>
              <w:t xml:space="preserve">par </w:t>
            </w:r>
            <w:r w:rsidRPr="00111784">
              <w:rPr>
                <w:i/>
              </w:rPr>
              <w:t>l’EIGA.</w:t>
            </w:r>
          </w:p>
        </w:tc>
      </w:tr>
      <w:tr w:rsidR="00D046B1" w:rsidRPr="00C8527E" w:rsidTr="00B832D3">
        <w:tc>
          <w:tcPr>
            <w:tcW w:w="766" w:type="dxa"/>
          </w:tcPr>
          <w:p w:rsidR="00D046B1" w:rsidRPr="00111784" w:rsidRDefault="00D046B1" w:rsidP="000627FB">
            <w:pPr>
              <w:spacing w:before="60" w:after="60" w:line="230" w:lineRule="exact"/>
              <w:ind w:left="4" w:right="4"/>
            </w:pPr>
          </w:p>
        </w:tc>
        <w:tc>
          <w:tcPr>
            <w:tcW w:w="4416" w:type="dxa"/>
            <w:tcBorders>
              <w:right w:val="double" w:sz="4" w:space="0" w:color="auto"/>
            </w:tcBorders>
          </w:tcPr>
          <w:p w:rsidR="00D046B1" w:rsidRPr="00111784" w:rsidRDefault="00D046B1" w:rsidP="00B832D3">
            <w:pPr>
              <w:tabs>
                <w:tab w:val="left" w:pos="512"/>
              </w:tabs>
              <w:spacing w:before="60" w:after="60" w:line="230" w:lineRule="exact"/>
              <w:ind w:left="113" w:right="113"/>
              <w:jc w:val="both"/>
            </w:pPr>
            <w:r w:rsidRPr="00111784">
              <w:t>b)</w:t>
            </w:r>
            <w:r w:rsidR="000627FB">
              <w:tab/>
            </w:r>
            <w:r w:rsidRPr="003442EC">
              <w:rPr>
                <w:lang w:val="fr-FR"/>
              </w:rPr>
              <w:t>Les récipients à pression doivent être marqués et étiquetés conforméme</w:t>
            </w:r>
            <w:r>
              <w:rPr>
                <w:lang w:val="fr-FR"/>
              </w:rPr>
              <w:t>nt aux dispositions du chapitre </w:t>
            </w:r>
            <w:r w:rsidRPr="003442EC">
              <w:rPr>
                <w:lang w:val="fr-FR"/>
              </w:rPr>
              <w:t xml:space="preserve">5.2 du RID, de </w:t>
            </w:r>
            <w:r w:rsidRPr="000627FB">
              <w:t>l’ADR</w:t>
            </w:r>
            <w:r w:rsidRPr="003442EC">
              <w:rPr>
                <w:lang w:val="fr-FR"/>
              </w:rPr>
              <w:t xml:space="preserve"> ou de l</w:t>
            </w:r>
            <w:r>
              <w:rPr>
                <w:lang w:val="fr-FR"/>
              </w:rPr>
              <w:t>’</w:t>
            </w:r>
            <w:r w:rsidRPr="003442EC">
              <w:rPr>
                <w:lang w:val="fr-FR"/>
              </w:rPr>
              <w:t>ADN</w:t>
            </w:r>
            <w:r>
              <w:rPr>
                <w:lang w:val="fr-FR"/>
              </w:rPr>
              <w:t> ;</w:t>
            </w:r>
          </w:p>
        </w:tc>
        <w:tc>
          <w:tcPr>
            <w:tcW w:w="4440" w:type="dxa"/>
            <w:tcBorders>
              <w:top w:val="single" w:sz="4" w:space="0" w:color="auto"/>
              <w:left w:val="double" w:sz="4" w:space="0" w:color="auto"/>
              <w:bottom w:val="single" w:sz="4" w:space="0" w:color="auto"/>
              <w:right w:val="single" w:sz="4" w:space="0" w:color="auto"/>
            </w:tcBorders>
          </w:tcPr>
          <w:p w:rsidR="00D046B1" w:rsidRPr="00111784" w:rsidRDefault="00D046B1" w:rsidP="000627FB">
            <w:pPr>
              <w:spacing w:before="60" w:after="60" w:line="230" w:lineRule="exact"/>
              <w:ind w:left="113" w:right="113"/>
              <w:jc w:val="both"/>
              <w:rPr>
                <w:i/>
              </w:rPr>
            </w:pPr>
            <w:r w:rsidRPr="00111784">
              <w:rPr>
                <w:i/>
              </w:rPr>
              <w:t xml:space="preserve">Le </w:t>
            </w:r>
            <w:r w:rsidRPr="00E14E4A">
              <w:rPr>
                <w:i/>
              </w:rPr>
              <w:t>CFR</w:t>
            </w:r>
            <w:r>
              <w:rPr>
                <w:i/>
              </w:rPr>
              <w:t xml:space="preserve"> contient des obligations en matière d’étiquetage.</w:t>
            </w:r>
          </w:p>
        </w:tc>
      </w:tr>
      <w:tr w:rsidR="00D046B1" w:rsidRPr="00332839" w:rsidTr="00B832D3">
        <w:tc>
          <w:tcPr>
            <w:tcW w:w="766" w:type="dxa"/>
          </w:tcPr>
          <w:p w:rsidR="00D046B1" w:rsidRPr="00111784" w:rsidRDefault="00D046B1" w:rsidP="000627FB">
            <w:pPr>
              <w:spacing w:before="60" w:after="60" w:line="230" w:lineRule="exact"/>
              <w:ind w:left="4" w:right="4"/>
            </w:pPr>
          </w:p>
        </w:tc>
        <w:tc>
          <w:tcPr>
            <w:tcW w:w="4416" w:type="dxa"/>
            <w:tcBorders>
              <w:right w:val="double" w:sz="4" w:space="0" w:color="auto"/>
            </w:tcBorders>
          </w:tcPr>
          <w:p w:rsidR="00D046B1" w:rsidRPr="00111784" w:rsidRDefault="00D046B1" w:rsidP="00B832D3">
            <w:pPr>
              <w:tabs>
                <w:tab w:val="left" w:pos="512"/>
              </w:tabs>
              <w:spacing w:before="60" w:after="60" w:line="230" w:lineRule="exact"/>
              <w:ind w:left="113" w:right="113"/>
              <w:jc w:val="both"/>
            </w:pPr>
            <w:r w:rsidRPr="00111784">
              <w:t>c)</w:t>
            </w:r>
            <w:r w:rsidR="000627FB">
              <w:tab/>
            </w:r>
            <w:r w:rsidRPr="003442EC">
              <w:rPr>
                <w:lang w:val="fr-FR"/>
              </w:rPr>
              <w:t>Toutes les prescriptions pertinentes du RID, de l</w:t>
            </w:r>
            <w:r>
              <w:rPr>
                <w:lang w:val="fr-FR"/>
              </w:rPr>
              <w:t>’</w:t>
            </w:r>
            <w:r w:rsidRPr="003442EC">
              <w:rPr>
                <w:lang w:val="fr-FR"/>
              </w:rPr>
              <w:t>ADR ou de l</w:t>
            </w:r>
            <w:r>
              <w:rPr>
                <w:lang w:val="fr-FR"/>
              </w:rPr>
              <w:t>’</w:t>
            </w:r>
            <w:r w:rsidRPr="003442EC">
              <w:rPr>
                <w:lang w:val="fr-FR"/>
              </w:rPr>
              <w:t>ADN relatives au taux de remplissage et à la périodicité des épreuves doivent être observées</w:t>
            </w:r>
            <w:r>
              <w:rPr>
                <w:lang w:val="fr-FR"/>
              </w:rPr>
              <w:t> ;</w:t>
            </w:r>
          </w:p>
        </w:tc>
        <w:tc>
          <w:tcPr>
            <w:tcW w:w="4440" w:type="dxa"/>
            <w:tcBorders>
              <w:top w:val="single" w:sz="4" w:space="0" w:color="auto"/>
              <w:left w:val="double" w:sz="4" w:space="0" w:color="auto"/>
              <w:bottom w:val="single" w:sz="4" w:space="0" w:color="auto"/>
              <w:right w:val="single" w:sz="4" w:space="0" w:color="auto"/>
            </w:tcBorders>
          </w:tcPr>
          <w:p w:rsidR="00D046B1" w:rsidRPr="00111784" w:rsidRDefault="00D046B1" w:rsidP="000627FB">
            <w:pPr>
              <w:spacing w:before="60" w:after="60" w:line="230" w:lineRule="exact"/>
              <w:ind w:left="113" w:right="113"/>
              <w:jc w:val="both"/>
              <w:rPr>
                <w:i/>
              </w:rPr>
            </w:pPr>
            <w:r w:rsidRPr="00332839">
              <w:rPr>
                <w:i/>
              </w:rPr>
              <w:t xml:space="preserve">La demande vise le respect </w:t>
            </w:r>
            <w:r w:rsidRPr="00111784">
              <w:rPr>
                <w:i/>
              </w:rPr>
              <w:t>des instructions d’emballage P200 et pas du CFR, même s’il y a peu de différence.</w:t>
            </w:r>
          </w:p>
        </w:tc>
      </w:tr>
      <w:tr w:rsidR="00D046B1" w:rsidRPr="005F57E3" w:rsidTr="00B832D3">
        <w:tc>
          <w:tcPr>
            <w:tcW w:w="766" w:type="dxa"/>
          </w:tcPr>
          <w:p w:rsidR="00D046B1" w:rsidRPr="00111784" w:rsidRDefault="00D046B1" w:rsidP="000627FB">
            <w:pPr>
              <w:spacing w:before="60" w:after="60" w:line="230" w:lineRule="exact"/>
              <w:ind w:left="4" w:right="4"/>
            </w:pPr>
          </w:p>
        </w:tc>
        <w:tc>
          <w:tcPr>
            <w:tcW w:w="4416" w:type="dxa"/>
            <w:tcBorders>
              <w:right w:val="double" w:sz="4" w:space="0" w:color="auto"/>
            </w:tcBorders>
          </w:tcPr>
          <w:p w:rsidR="00D046B1" w:rsidRPr="00111784" w:rsidRDefault="00D046B1" w:rsidP="00B832D3">
            <w:pPr>
              <w:tabs>
                <w:tab w:val="left" w:pos="512"/>
              </w:tabs>
              <w:spacing w:before="60" w:after="60" w:line="230" w:lineRule="exact"/>
              <w:ind w:left="113" w:right="113"/>
              <w:jc w:val="both"/>
            </w:pPr>
            <w:r w:rsidRPr="00111784">
              <w:t>d)</w:t>
            </w:r>
            <w:r w:rsidR="000627FB">
              <w:tab/>
            </w:r>
            <w:r w:rsidRPr="003442EC">
              <w:rPr>
                <w:lang w:val="fr-FR"/>
              </w:rPr>
              <w:t>Lorsqu</w:t>
            </w:r>
            <w:r>
              <w:rPr>
                <w:lang w:val="fr-FR"/>
              </w:rPr>
              <w:t>’</w:t>
            </w:r>
            <w:r w:rsidRPr="003442EC">
              <w:rPr>
                <w:lang w:val="fr-FR"/>
              </w:rPr>
              <w:t>ils sont vides ou que l</w:t>
            </w:r>
            <w:r>
              <w:rPr>
                <w:lang w:val="fr-FR"/>
              </w:rPr>
              <w:t>’</w:t>
            </w:r>
            <w:r w:rsidRPr="003442EC">
              <w:rPr>
                <w:lang w:val="fr-FR"/>
              </w:rPr>
              <w:t>utilisateur final n</w:t>
            </w:r>
            <w:r>
              <w:rPr>
                <w:lang w:val="fr-FR"/>
              </w:rPr>
              <w:t>’</w:t>
            </w:r>
            <w:r w:rsidRPr="003442EC">
              <w:rPr>
                <w:lang w:val="fr-FR"/>
              </w:rPr>
              <w:t>a plus l</w:t>
            </w:r>
            <w:r>
              <w:rPr>
                <w:lang w:val="fr-FR"/>
              </w:rPr>
              <w:t>’</w:t>
            </w:r>
            <w:r w:rsidRPr="003442EC">
              <w:rPr>
                <w:lang w:val="fr-FR"/>
              </w:rPr>
              <w:t>usage du gaz ou du liquide qu</w:t>
            </w:r>
            <w:r>
              <w:rPr>
                <w:lang w:val="fr-FR"/>
              </w:rPr>
              <w:t>’</w:t>
            </w:r>
            <w:r w:rsidRPr="003442EC">
              <w:rPr>
                <w:lang w:val="fr-FR"/>
              </w:rPr>
              <w:t>ils contiennent, les récipients à pression ne doivent pas être remplis à nouveau et doivent être réexportés vers le pays d</w:t>
            </w:r>
            <w:r>
              <w:rPr>
                <w:lang w:val="fr-FR"/>
              </w:rPr>
              <w:t>’</w:t>
            </w:r>
            <w:r w:rsidRPr="003442EC">
              <w:rPr>
                <w:lang w:val="fr-FR"/>
              </w:rPr>
              <w:t>origine ;</w:t>
            </w:r>
          </w:p>
        </w:tc>
        <w:tc>
          <w:tcPr>
            <w:tcW w:w="4440" w:type="dxa"/>
            <w:tcBorders>
              <w:top w:val="single" w:sz="4" w:space="0" w:color="auto"/>
              <w:left w:val="double" w:sz="4" w:space="0" w:color="auto"/>
              <w:bottom w:val="single" w:sz="4" w:space="0" w:color="auto"/>
              <w:right w:val="single" w:sz="4" w:space="0" w:color="auto"/>
            </w:tcBorders>
          </w:tcPr>
          <w:p w:rsidR="00D046B1" w:rsidRPr="00111784" w:rsidRDefault="00D046B1" w:rsidP="00B832D3">
            <w:pPr>
              <w:spacing w:before="60" w:line="230" w:lineRule="exact"/>
              <w:ind w:left="113" w:right="113"/>
              <w:jc w:val="both"/>
              <w:rPr>
                <w:i/>
              </w:rPr>
            </w:pPr>
            <w:r w:rsidRPr="00111784">
              <w:rPr>
                <w:i/>
              </w:rPr>
              <w:t xml:space="preserve">Le point i) </w:t>
            </w:r>
            <w:proofErr w:type="gramStart"/>
            <w:r w:rsidRPr="00111784">
              <w:rPr>
                <w:i/>
              </w:rPr>
              <w:t>de la demande exposé</w:t>
            </w:r>
            <w:proofErr w:type="gramEnd"/>
            <w:r w:rsidRPr="00111784">
              <w:rPr>
                <w:i/>
              </w:rPr>
              <w:t xml:space="preserve"> ci-dessus et</w:t>
            </w:r>
            <w:r>
              <w:rPr>
                <w:i/>
              </w:rPr>
              <w:t xml:space="preserve"> reproduit ci-après porte sur cet aspect</w:t>
            </w:r>
            <w:r w:rsidR="000627FB">
              <w:rPr>
                <w:i/>
              </w:rPr>
              <w:t> </w:t>
            </w:r>
            <w:r>
              <w:rPr>
                <w:i/>
              </w:rPr>
              <w:t>:</w:t>
            </w:r>
          </w:p>
          <w:p w:rsidR="00D046B1" w:rsidRPr="00111784" w:rsidRDefault="00D046B1" w:rsidP="00B832D3">
            <w:pPr>
              <w:tabs>
                <w:tab w:val="left" w:pos="512"/>
              </w:tabs>
              <w:spacing w:after="60" w:line="230" w:lineRule="exact"/>
              <w:ind w:left="113" w:right="113"/>
              <w:jc w:val="both"/>
            </w:pPr>
            <w:r w:rsidRPr="00111784">
              <w:t>i)</w:t>
            </w:r>
            <w:r w:rsidR="000627FB">
              <w:tab/>
            </w:r>
            <w:r>
              <w:t>R</w:t>
            </w:r>
            <w:proofErr w:type="spellStart"/>
            <w:r w:rsidRPr="007F6540">
              <w:rPr>
                <w:lang w:val="fr-FR"/>
              </w:rPr>
              <w:t>écipients</w:t>
            </w:r>
            <w:proofErr w:type="spellEnd"/>
            <w:r w:rsidRPr="007F6540">
              <w:rPr>
                <w:lang w:val="fr-FR"/>
              </w:rPr>
              <w:t xml:space="preserve"> à pression remplis</w:t>
            </w:r>
            <w:r w:rsidRPr="0068550F">
              <w:rPr>
                <w:lang w:val="fr-FR"/>
              </w:rPr>
              <w:t xml:space="preserve"> importés</w:t>
            </w:r>
            <w:r w:rsidRPr="007F6540">
              <w:rPr>
                <w:lang w:val="fr-FR"/>
              </w:rPr>
              <w:t xml:space="preserve"> à des fins d’entreposage intermédiaire, </w:t>
            </w:r>
            <w:r>
              <w:rPr>
                <w:lang w:val="fr-FR"/>
              </w:rPr>
              <w:t>de transport jusqu’au point d’utilisation</w:t>
            </w:r>
            <w:r w:rsidRPr="007F6540">
              <w:rPr>
                <w:lang w:val="fr-FR"/>
              </w:rPr>
              <w:t xml:space="preserve">, </w:t>
            </w:r>
            <w:r>
              <w:rPr>
                <w:lang w:val="fr-FR"/>
              </w:rPr>
              <w:t>de décharge</w:t>
            </w:r>
            <w:r w:rsidRPr="007F6540">
              <w:rPr>
                <w:lang w:val="fr-FR"/>
              </w:rPr>
              <w:t xml:space="preserve"> </w:t>
            </w:r>
            <w:r>
              <w:rPr>
                <w:lang w:val="fr-FR"/>
              </w:rPr>
              <w:t>et d’exportation sans être rempli à nouveau ;</w:t>
            </w:r>
          </w:p>
        </w:tc>
      </w:tr>
      <w:tr w:rsidR="00D046B1" w:rsidRPr="00B470FB" w:rsidTr="00B832D3">
        <w:tc>
          <w:tcPr>
            <w:tcW w:w="766" w:type="dxa"/>
          </w:tcPr>
          <w:p w:rsidR="00D046B1" w:rsidRPr="00111784" w:rsidRDefault="00D046B1" w:rsidP="000627FB">
            <w:pPr>
              <w:spacing w:before="60" w:after="60" w:line="230" w:lineRule="exact"/>
              <w:ind w:left="4" w:right="4"/>
            </w:pPr>
          </w:p>
        </w:tc>
        <w:tc>
          <w:tcPr>
            <w:tcW w:w="4416" w:type="dxa"/>
            <w:tcBorders>
              <w:right w:val="double" w:sz="4" w:space="0" w:color="auto"/>
            </w:tcBorders>
          </w:tcPr>
          <w:p w:rsidR="00D046B1" w:rsidRPr="00111784" w:rsidRDefault="00D046B1" w:rsidP="00B832D3">
            <w:pPr>
              <w:tabs>
                <w:tab w:val="left" w:pos="512"/>
              </w:tabs>
              <w:spacing w:before="60" w:line="230" w:lineRule="exact"/>
              <w:ind w:left="113" w:right="113"/>
              <w:jc w:val="both"/>
            </w:pPr>
            <w:r w:rsidRPr="00111784">
              <w:t>e)</w:t>
            </w:r>
            <w:r w:rsidR="000627FB">
              <w:tab/>
            </w:r>
            <w:r w:rsidRPr="00111784">
              <w:t>L’expéditeur chargé du trajet ADR/RID/ADN doit inscrire la mention suivante dans le document de transport</w:t>
            </w:r>
            <w:r w:rsidR="000627FB">
              <w:t> </w:t>
            </w:r>
            <w:r w:rsidRPr="00111784">
              <w:t>:</w:t>
            </w:r>
          </w:p>
          <w:p w:rsidR="00D046B1" w:rsidRPr="00B470FB" w:rsidRDefault="00D046B1" w:rsidP="00B832D3">
            <w:pPr>
              <w:spacing w:after="60" w:line="230" w:lineRule="exact"/>
              <w:ind w:left="113" w:right="113"/>
              <w:jc w:val="both"/>
            </w:pPr>
            <w:r>
              <w:t>« </w:t>
            </w:r>
            <w:r w:rsidRPr="00111784">
              <w:t>Transport conformément au paragraphe 1.1.4.7</w:t>
            </w:r>
            <w:r>
              <w:t> ».</w:t>
            </w:r>
          </w:p>
        </w:tc>
        <w:tc>
          <w:tcPr>
            <w:tcW w:w="4440" w:type="dxa"/>
            <w:tcBorders>
              <w:top w:val="single" w:sz="4" w:space="0" w:color="auto"/>
              <w:left w:val="double" w:sz="4" w:space="0" w:color="auto"/>
              <w:bottom w:val="single" w:sz="4" w:space="0" w:color="auto"/>
              <w:right w:val="single" w:sz="4" w:space="0" w:color="auto"/>
            </w:tcBorders>
          </w:tcPr>
          <w:p w:rsidR="00D046B1" w:rsidRPr="001F1554" w:rsidRDefault="00D046B1" w:rsidP="000627FB">
            <w:pPr>
              <w:spacing w:before="60" w:after="60" w:line="230" w:lineRule="exact"/>
              <w:ind w:left="113" w:right="113"/>
              <w:jc w:val="both"/>
              <w:rPr>
                <w:i/>
              </w:rPr>
            </w:pPr>
            <w:r>
              <w:rPr>
                <w:i/>
              </w:rPr>
              <w:t>Sans objet dans le cas du CFR</w:t>
            </w:r>
            <w:r w:rsidRPr="001F1554">
              <w:rPr>
                <w:i/>
              </w:rPr>
              <w:t>.</w:t>
            </w:r>
          </w:p>
        </w:tc>
      </w:tr>
    </w:tbl>
    <w:p w:rsidR="00F9573C" w:rsidRPr="000627FB" w:rsidRDefault="000627FB" w:rsidP="00B832D3">
      <w:pPr>
        <w:pStyle w:val="SingleTxtG"/>
        <w:spacing w:before="160" w:after="0"/>
        <w:jc w:val="center"/>
        <w:rPr>
          <w:u w:val="single"/>
        </w:rPr>
      </w:pPr>
      <w:r>
        <w:rPr>
          <w:u w:val="single"/>
        </w:rPr>
        <w:tab/>
      </w:r>
      <w:r>
        <w:rPr>
          <w:u w:val="single"/>
        </w:rPr>
        <w:tab/>
      </w:r>
      <w:r>
        <w:rPr>
          <w:u w:val="single"/>
        </w:rPr>
        <w:tab/>
      </w:r>
    </w:p>
    <w:sectPr w:rsidR="00F9573C" w:rsidRPr="000627FB" w:rsidSect="00D046B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01" w:rsidRDefault="00680301" w:rsidP="00F95C08">
      <w:pPr>
        <w:spacing w:line="240" w:lineRule="auto"/>
      </w:pPr>
    </w:p>
  </w:endnote>
  <w:endnote w:type="continuationSeparator" w:id="0">
    <w:p w:rsidR="00680301" w:rsidRPr="00AC3823" w:rsidRDefault="00680301" w:rsidP="00AC3823">
      <w:pPr>
        <w:pStyle w:val="Footer"/>
      </w:pPr>
    </w:p>
  </w:endnote>
  <w:endnote w:type="continuationNotice" w:id="1">
    <w:p w:rsidR="00680301" w:rsidRDefault="006803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B1" w:rsidRPr="00D046B1" w:rsidRDefault="00D046B1" w:rsidP="00D046B1">
    <w:pPr>
      <w:pStyle w:val="Footer"/>
      <w:tabs>
        <w:tab w:val="right" w:pos="9638"/>
      </w:tabs>
    </w:pPr>
    <w:r w:rsidRPr="00D046B1">
      <w:rPr>
        <w:b/>
        <w:sz w:val="18"/>
      </w:rPr>
      <w:fldChar w:fldCharType="begin"/>
    </w:r>
    <w:r w:rsidRPr="00D046B1">
      <w:rPr>
        <w:b/>
        <w:sz w:val="18"/>
      </w:rPr>
      <w:instrText xml:space="preserve"> PAGE  \* MERGEFORMAT </w:instrText>
    </w:r>
    <w:r w:rsidRPr="00D046B1">
      <w:rPr>
        <w:b/>
        <w:sz w:val="18"/>
      </w:rPr>
      <w:fldChar w:fldCharType="separate"/>
    </w:r>
    <w:r w:rsidR="00B2044B">
      <w:rPr>
        <w:b/>
        <w:noProof/>
        <w:sz w:val="18"/>
      </w:rPr>
      <w:t>2</w:t>
    </w:r>
    <w:r w:rsidRPr="00D046B1">
      <w:rPr>
        <w:b/>
        <w:sz w:val="18"/>
      </w:rPr>
      <w:fldChar w:fldCharType="end"/>
    </w:r>
    <w:r>
      <w:rPr>
        <w:b/>
        <w:sz w:val="18"/>
      </w:rPr>
      <w:tab/>
    </w:r>
    <w:r>
      <w:t>GE.18-10449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B1" w:rsidRPr="00D046B1" w:rsidRDefault="00D046B1" w:rsidP="00D046B1">
    <w:pPr>
      <w:pStyle w:val="Footer"/>
      <w:tabs>
        <w:tab w:val="right" w:pos="9638"/>
      </w:tabs>
      <w:rPr>
        <w:b/>
        <w:sz w:val="18"/>
      </w:rPr>
    </w:pPr>
    <w:r>
      <w:t>GE.18-10449</w:t>
    </w:r>
    <w:r>
      <w:tab/>
    </w:r>
    <w:r w:rsidRPr="00D046B1">
      <w:rPr>
        <w:b/>
        <w:sz w:val="18"/>
      </w:rPr>
      <w:fldChar w:fldCharType="begin"/>
    </w:r>
    <w:r w:rsidRPr="00D046B1">
      <w:rPr>
        <w:b/>
        <w:sz w:val="18"/>
      </w:rPr>
      <w:instrText xml:space="preserve"> PAGE  \* MERGEFORMAT </w:instrText>
    </w:r>
    <w:r w:rsidRPr="00D046B1">
      <w:rPr>
        <w:b/>
        <w:sz w:val="18"/>
      </w:rPr>
      <w:fldChar w:fldCharType="separate"/>
    </w:r>
    <w:r w:rsidR="00B2044B">
      <w:rPr>
        <w:b/>
        <w:noProof/>
        <w:sz w:val="18"/>
      </w:rPr>
      <w:t>3</w:t>
    </w:r>
    <w:r w:rsidRPr="00D046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046B1" w:rsidRDefault="00D046B1" w:rsidP="00D046B1">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10449</w:t>
    </w:r>
    <w:r w:rsidR="000627FB">
      <w:rPr>
        <w:sz w:val="20"/>
      </w:rPr>
      <w:t xml:space="preserve">  </w:t>
    </w:r>
    <w:r>
      <w:rPr>
        <w:sz w:val="20"/>
      </w:rPr>
      <w:t>(</w:t>
    </w:r>
    <w:proofErr w:type="gramEnd"/>
    <w:r>
      <w:rPr>
        <w:sz w:val="20"/>
      </w:rPr>
      <w:t>F)</w:t>
    </w:r>
    <w:r w:rsidR="00D7768B">
      <w:rPr>
        <w:sz w:val="20"/>
      </w:rPr>
      <w:t xml:space="preserve">    120718    06</w:t>
    </w:r>
    <w:r w:rsidR="000627FB">
      <w:rPr>
        <w:sz w:val="20"/>
      </w:rPr>
      <w:t>0818</w:t>
    </w:r>
    <w:r>
      <w:rPr>
        <w:sz w:val="20"/>
      </w:rPr>
      <w:br/>
    </w:r>
    <w:r w:rsidRPr="00D046B1">
      <w:rPr>
        <w:rFonts w:ascii="C39T30Lfz" w:hAnsi="C39T30Lfz"/>
        <w:sz w:val="56"/>
      </w:rPr>
      <w:t></w:t>
    </w:r>
    <w:r w:rsidRPr="00D046B1">
      <w:rPr>
        <w:rFonts w:ascii="C39T30Lfz" w:hAnsi="C39T30Lfz"/>
        <w:sz w:val="56"/>
      </w:rPr>
      <w:t></w:t>
    </w:r>
    <w:r w:rsidRPr="00D046B1">
      <w:rPr>
        <w:rFonts w:ascii="C39T30Lfz" w:hAnsi="C39T30Lfz"/>
        <w:sz w:val="56"/>
      </w:rPr>
      <w:t></w:t>
    </w:r>
    <w:r w:rsidRPr="00D046B1">
      <w:rPr>
        <w:rFonts w:ascii="C39T30Lfz" w:hAnsi="C39T30Lfz"/>
        <w:sz w:val="56"/>
      </w:rPr>
      <w:t></w:t>
    </w:r>
    <w:r w:rsidRPr="00D046B1">
      <w:rPr>
        <w:rFonts w:ascii="C39T30Lfz" w:hAnsi="C39T30Lfz"/>
        <w:sz w:val="56"/>
      </w:rPr>
      <w:t></w:t>
    </w:r>
    <w:r w:rsidRPr="00D046B1">
      <w:rPr>
        <w:rFonts w:ascii="C39T30Lfz" w:hAnsi="C39T30Lfz"/>
        <w:sz w:val="56"/>
      </w:rPr>
      <w:t></w:t>
    </w:r>
    <w:r w:rsidRPr="00D046B1">
      <w:rPr>
        <w:rFonts w:ascii="C39T30Lfz" w:hAnsi="C39T30Lfz"/>
        <w:sz w:val="56"/>
      </w:rPr>
      <w:t></w:t>
    </w:r>
    <w:r w:rsidRPr="00D046B1">
      <w:rPr>
        <w:rFonts w:ascii="C39T30Lfz" w:hAnsi="C39T30Lfz"/>
        <w:sz w:val="56"/>
      </w:rPr>
      <w:t></w:t>
    </w:r>
    <w:r w:rsidRPr="00D046B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8/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01" w:rsidRPr="00AC3823" w:rsidRDefault="00680301" w:rsidP="00AC3823">
      <w:pPr>
        <w:pStyle w:val="Footer"/>
        <w:tabs>
          <w:tab w:val="right" w:pos="2155"/>
        </w:tabs>
        <w:spacing w:after="80" w:line="240" w:lineRule="atLeast"/>
        <w:ind w:left="680"/>
        <w:rPr>
          <w:u w:val="single"/>
        </w:rPr>
      </w:pPr>
      <w:r>
        <w:rPr>
          <w:u w:val="single"/>
        </w:rPr>
        <w:tab/>
      </w:r>
    </w:p>
  </w:footnote>
  <w:footnote w:type="continuationSeparator" w:id="0">
    <w:p w:rsidR="00680301" w:rsidRPr="00AC3823" w:rsidRDefault="00680301" w:rsidP="00AC3823">
      <w:pPr>
        <w:pStyle w:val="Footer"/>
        <w:tabs>
          <w:tab w:val="right" w:pos="2155"/>
        </w:tabs>
        <w:spacing w:after="80" w:line="240" w:lineRule="atLeast"/>
        <w:ind w:left="680"/>
        <w:rPr>
          <w:u w:val="single"/>
        </w:rPr>
      </w:pPr>
      <w:r>
        <w:rPr>
          <w:u w:val="single"/>
        </w:rPr>
        <w:tab/>
      </w:r>
    </w:p>
  </w:footnote>
  <w:footnote w:type="continuationNotice" w:id="1">
    <w:p w:rsidR="00680301" w:rsidRPr="00AC3823" w:rsidRDefault="00680301">
      <w:pPr>
        <w:spacing w:line="240" w:lineRule="auto"/>
        <w:rPr>
          <w:sz w:val="2"/>
          <w:szCs w:val="2"/>
        </w:rPr>
      </w:pPr>
    </w:p>
  </w:footnote>
  <w:footnote w:id="2">
    <w:p w:rsidR="00D046B1" w:rsidRPr="00D046B1" w:rsidRDefault="00D046B1">
      <w:pPr>
        <w:pStyle w:val="FootnoteText"/>
      </w:pPr>
      <w:r>
        <w:rPr>
          <w:rStyle w:val="FootnoteReference"/>
        </w:rPr>
        <w:tab/>
      </w:r>
      <w:r w:rsidRPr="00D046B1">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w:t>
      </w:r>
      <w:r w:rsidRPr="005F1C6B">
        <w:rPr>
          <w:color w:val="000000"/>
          <w:lang w:eastAsia="en-GB"/>
        </w:rPr>
        <w:t>ECE/TRANS/</w:t>
      </w:r>
      <w:r>
        <w:rPr>
          <w:color w:val="000000"/>
          <w:lang w:eastAsia="en-GB"/>
        </w:rPr>
        <w:t>2018/21/Add.1,</w:t>
      </w:r>
      <w:r>
        <w:rPr>
          <w:lang w:val="fr-FR"/>
        </w:rPr>
        <w:t xml:space="preserve"> module 9 (9.2)).</w:t>
      </w:r>
    </w:p>
  </w:footnote>
  <w:footnote w:id="3">
    <w:p w:rsidR="00D046B1" w:rsidRPr="00D046B1" w:rsidRDefault="00D046B1">
      <w:pPr>
        <w:pStyle w:val="FootnoteText"/>
      </w:pPr>
      <w:r>
        <w:rPr>
          <w:rStyle w:val="FootnoteReference"/>
        </w:rPr>
        <w:tab/>
      </w:r>
      <w:r w:rsidRPr="00D046B1">
        <w:rPr>
          <w:rStyle w:val="FootnoteReference"/>
          <w:sz w:val="20"/>
          <w:vertAlign w:val="baseline"/>
        </w:rPr>
        <w:t>**</w:t>
      </w:r>
      <w:r>
        <w:rPr>
          <w:rStyle w:val="FootnoteReference"/>
          <w:sz w:val="20"/>
          <w:vertAlign w:val="baseline"/>
        </w:rPr>
        <w:tab/>
      </w:r>
      <w:r w:rsidRPr="00A64446">
        <w:t>Diffusée par l’</w:t>
      </w:r>
      <w:r w:rsidRPr="00F941B8">
        <w:t xml:space="preserve">Organisation intergouvernementale pour les transports internationaux ferroviaires </w:t>
      </w:r>
      <w:r w:rsidRPr="00A64446">
        <w:t>(OTIF) sous la cote OTIF/RID/RC/2018/22.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B1" w:rsidRPr="00D046B1" w:rsidRDefault="004711BE">
    <w:pPr>
      <w:pStyle w:val="Header"/>
    </w:pPr>
    <w:r>
      <w:fldChar w:fldCharType="begin"/>
    </w:r>
    <w:r>
      <w:instrText xml:space="preserve"> TITLE  \* MERGEFORMAT </w:instrText>
    </w:r>
    <w:r>
      <w:fldChar w:fldCharType="separate"/>
    </w:r>
    <w:r w:rsidR="00D046B1">
      <w:t>ECE/TRANS/WP.15/AC.1/2018/22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B1" w:rsidRPr="00D046B1" w:rsidRDefault="004711BE" w:rsidP="00D046B1">
    <w:pPr>
      <w:pStyle w:val="Header"/>
      <w:jc w:val="right"/>
    </w:pPr>
    <w:r>
      <w:fldChar w:fldCharType="begin"/>
    </w:r>
    <w:r>
      <w:instrText xml:space="preserve"> TITLE  \* MERGEFORMAT </w:instrText>
    </w:r>
    <w:r>
      <w:fldChar w:fldCharType="separate"/>
    </w:r>
    <w:r w:rsidR="00D046B1">
      <w:t>ECE/TRANS/WP.15/AC.1/2018/22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01"/>
    <w:rsid w:val="00017F94"/>
    <w:rsid w:val="00023842"/>
    <w:rsid w:val="000334F9"/>
    <w:rsid w:val="00045FEB"/>
    <w:rsid w:val="000627F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7C6B"/>
    <w:rsid w:val="00441C3B"/>
    <w:rsid w:val="00446FE5"/>
    <w:rsid w:val="00452396"/>
    <w:rsid w:val="004711BE"/>
    <w:rsid w:val="004837D8"/>
    <w:rsid w:val="004E468C"/>
    <w:rsid w:val="005505B7"/>
    <w:rsid w:val="00573BE5"/>
    <w:rsid w:val="00586ED3"/>
    <w:rsid w:val="00596AA9"/>
    <w:rsid w:val="00680301"/>
    <w:rsid w:val="0071601D"/>
    <w:rsid w:val="007A62E6"/>
    <w:rsid w:val="007F20FA"/>
    <w:rsid w:val="0080684C"/>
    <w:rsid w:val="00871C75"/>
    <w:rsid w:val="008776DC"/>
    <w:rsid w:val="009446C0"/>
    <w:rsid w:val="009705C8"/>
    <w:rsid w:val="009C1CF4"/>
    <w:rsid w:val="009F6B74"/>
    <w:rsid w:val="00A25FD8"/>
    <w:rsid w:val="00A30353"/>
    <w:rsid w:val="00AC3823"/>
    <w:rsid w:val="00AE323C"/>
    <w:rsid w:val="00AF0CB5"/>
    <w:rsid w:val="00B00181"/>
    <w:rsid w:val="00B00B0D"/>
    <w:rsid w:val="00B2044B"/>
    <w:rsid w:val="00B765F7"/>
    <w:rsid w:val="00B832D3"/>
    <w:rsid w:val="00BA0CA9"/>
    <w:rsid w:val="00C02897"/>
    <w:rsid w:val="00C97039"/>
    <w:rsid w:val="00D046B1"/>
    <w:rsid w:val="00D3439C"/>
    <w:rsid w:val="00D7768B"/>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A8CDEC-4E32-4AAA-B039-EBD360D3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D046B1"/>
    <w:rPr>
      <w:rFonts w:ascii="Times New Roman" w:eastAsiaTheme="minorHAnsi" w:hAnsi="Times New Roman" w:cs="Times New Roman"/>
      <w:b/>
      <w:sz w:val="24"/>
      <w:szCs w:val="20"/>
      <w:lang w:eastAsia="en-US"/>
    </w:rPr>
  </w:style>
  <w:style w:type="character" w:customStyle="1" w:styleId="HChGChar">
    <w:name w:val="_ H _Ch_G Char"/>
    <w:link w:val="HChG"/>
    <w:rsid w:val="00D046B1"/>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D046B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8686</Characters>
  <Application>Microsoft Office Word</Application>
  <DocSecurity>4</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ECE/TRANS/WP.15/AC.1/2018/22</vt:lpstr>
      <vt:lpstr>ECE/TRANS/WP.15/AC.1/2018/22</vt:lpstr>
    </vt:vector>
  </TitlesOfParts>
  <Company>DCM</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ECE/TRANS/WP.15/AC.1/2018/22</dc:title>
  <dc:subject/>
  <dc:creator>Fabienne CRELIER</dc:creator>
  <cp:keywords/>
  <cp:lastModifiedBy>Christine Barrio-Champeau</cp:lastModifiedBy>
  <cp:revision>2</cp:revision>
  <cp:lastPrinted>2014-05-14T10:59:00Z</cp:lastPrinted>
  <dcterms:created xsi:type="dcterms:W3CDTF">2018-08-06T09:21:00Z</dcterms:created>
  <dcterms:modified xsi:type="dcterms:W3CDTF">2018-08-06T09:21:00Z</dcterms:modified>
</cp:coreProperties>
</file>