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F1481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F1481" w:rsidP="007F1481">
            <w:pPr>
              <w:jc w:val="right"/>
            </w:pPr>
            <w:r w:rsidRPr="007F1481">
              <w:rPr>
                <w:sz w:val="40"/>
              </w:rPr>
              <w:t>ECE</w:t>
            </w:r>
            <w:r>
              <w:t>/TRANS/WP.15/AC.1/2018/5</w:t>
            </w:r>
          </w:p>
        </w:tc>
      </w:tr>
      <w:tr w:rsidR="002D5AAC" w:rsidRPr="005D2EB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F148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F1481" w:rsidRDefault="007F1481" w:rsidP="007F14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December 2017</w:t>
            </w:r>
          </w:p>
          <w:p w:rsidR="007F1481" w:rsidRDefault="007F1481" w:rsidP="007F14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F1481" w:rsidRPr="008D53B6" w:rsidRDefault="007F1481" w:rsidP="007F14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69701D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F1481" w:rsidRPr="007F1481" w:rsidRDefault="007F1481" w:rsidP="0069701D">
      <w:pPr>
        <w:pStyle w:val="SingleTxtGR"/>
        <w:spacing w:before="120"/>
        <w:ind w:left="0"/>
        <w:jc w:val="left"/>
        <w:rPr>
          <w:sz w:val="28"/>
          <w:szCs w:val="28"/>
        </w:rPr>
      </w:pPr>
      <w:bookmarkStart w:id="1" w:name="bookmark_10"/>
      <w:r w:rsidRPr="007F1481">
        <w:rPr>
          <w:sz w:val="28"/>
          <w:szCs w:val="28"/>
        </w:rPr>
        <w:t>Комитет по внутреннему транспорту</w:t>
      </w:r>
      <w:bookmarkEnd w:id="1"/>
    </w:p>
    <w:p w:rsidR="007F1481" w:rsidRPr="007F1481" w:rsidRDefault="007F1481" w:rsidP="0069701D">
      <w:pPr>
        <w:pStyle w:val="SingleTxtGR"/>
        <w:ind w:left="0"/>
        <w:jc w:val="left"/>
        <w:rPr>
          <w:b/>
          <w:sz w:val="24"/>
          <w:szCs w:val="24"/>
        </w:rPr>
      </w:pPr>
      <w:bookmarkStart w:id="2" w:name="bookmark_11"/>
      <w:r w:rsidRPr="007F1481">
        <w:rPr>
          <w:b/>
          <w:sz w:val="24"/>
          <w:szCs w:val="24"/>
        </w:rPr>
        <w:t>Рабочая группа по перевозкам опасных грузов</w:t>
      </w:r>
      <w:bookmarkEnd w:id="2"/>
    </w:p>
    <w:p w:rsidR="007F1481" w:rsidRPr="0069701D" w:rsidRDefault="007F1481" w:rsidP="0069701D">
      <w:pPr>
        <w:pStyle w:val="SingleTxtGR"/>
        <w:spacing w:after="0"/>
        <w:ind w:left="0"/>
        <w:jc w:val="left"/>
        <w:rPr>
          <w:b/>
        </w:rPr>
      </w:pPr>
      <w:bookmarkStart w:id="3" w:name="bookmark_12"/>
      <w:r w:rsidRPr="0069701D">
        <w:rPr>
          <w:b/>
        </w:rPr>
        <w:t>Совместное совещание Комиссии экспертов МПОГ</w:t>
      </w:r>
      <w:bookmarkStart w:id="4" w:name="bookmark_13"/>
      <w:bookmarkEnd w:id="3"/>
      <w:r w:rsidR="0069701D" w:rsidRPr="0069701D">
        <w:rPr>
          <w:b/>
        </w:rPr>
        <w:br/>
      </w:r>
      <w:r w:rsidRPr="0069701D">
        <w:rPr>
          <w:b/>
        </w:rPr>
        <w:t>и Рабочей группы по перевозкам опасных грузов</w:t>
      </w:r>
      <w:bookmarkEnd w:id="4"/>
    </w:p>
    <w:p w:rsidR="007F1481" w:rsidRPr="0069701D" w:rsidRDefault="007F1481" w:rsidP="0069701D">
      <w:pPr>
        <w:pStyle w:val="SingleTxtGR"/>
        <w:spacing w:after="0"/>
        <w:ind w:left="0"/>
        <w:jc w:val="left"/>
      </w:pPr>
      <w:bookmarkStart w:id="5" w:name="bookmark_14"/>
      <w:r w:rsidRPr="0069701D">
        <w:t>Берн, 12–16 марта 2018</w:t>
      </w:r>
      <w:r w:rsidR="004D40A4">
        <w:t> год</w:t>
      </w:r>
      <w:r w:rsidRPr="0069701D">
        <w:t>а</w:t>
      </w:r>
      <w:bookmarkEnd w:id="5"/>
    </w:p>
    <w:p w:rsidR="007F1481" w:rsidRPr="00DC5401" w:rsidRDefault="007F1481" w:rsidP="0069701D">
      <w:pPr>
        <w:pStyle w:val="SingleTxtGR"/>
        <w:spacing w:after="0"/>
        <w:ind w:left="0"/>
        <w:jc w:val="left"/>
      </w:pPr>
      <w:bookmarkStart w:id="6" w:name="bookmark_15"/>
      <w:r w:rsidRPr="00DC5401">
        <w:t>Пункт 5 a) предварительной повестки дня</w:t>
      </w:r>
      <w:bookmarkEnd w:id="6"/>
    </w:p>
    <w:p w:rsidR="007F1481" w:rsidRPr="0069701D" w:rsidRDefault="007F1481" w:rsidP="0069701D">
      <w:pPr>
        <w:pStyle w:val="SingleTxtGR"/>
        <w:spacing w:after="0"/>
        <w:ind w:left="0"/>
        <w:jc w:val="left"/>
        <w:rPr>
          <w:b/>
        </w:rPr>
      </w:pPr>
      <w:bookmarkStart w:id="7" w:name="bookmark_16"/>
      <w:r w:rsidRPr="0069701D">
        <w:rPr>
          <w:b/>
        </w:rPr>
        <w:t xml:space="preserve">Предложения о внесении поправок в МПОГ/ДОПОГ/ВОПОГ: </w:t>
      </w:r>
      <w:r w:rsidR="0069701D" w:rsidRPr="0069701D">
        <w:rPr>
          <w:b/>
        </w:rPr>
        <w:br/>
      </w:r>
      <w:r w:rsidRPr="0069701D">
        <w:rPr>
          <w:b/>
        </w:rPr>
        <w:t>нерассмотренные вопросы</w:t>
      </w:r>
      <w:bookmarkEnd w:id="7"/>
    </w:p>
    <w:p w:rsidR="007F1481" w:rsidRPr="007F1481" w:rsidRDefault="007F1481" w:rsidP="0069701D">
      <w:pPr>
        <w:pStyle w:val="HChGR"/>
      </w:pPr>
      <w:bookmarkStart w:id="8" w:name="bookmark_17"/>
      <w:r w:rsidRPr="007F1481">
        <w:tab/>
      </w:r>
      <w:r w:rsidRPr="007F1481">
        <w:tab/>
        <w:t>Применение специального положения CW24/CV24</w:t>
      </w:r>
      <w:bookmarkEnd w:id="8"/>
    </w:p>
    <w:p w:rsidR="007F1481" w:rsidRPr="005D2EB0" w:rsidRDefault="007F1481" w:rsidP="0069701D">
      <w:pPr>
        <w:pStyle w:val="H1GR"/>
        <w:rPr>
          <w:b w:val="0"/>
          <w:sz w:val="20"/>
        </w:rPr>
      </w:pPr>
      <w:bookmarkStart w:id="9" w:name="bookmark_18"/>
      <w:r w:rsidRPr="007F1481">
        <w:tab/>
      </w:r>
      <w:r w:rsidRPr="007F1481">
        <w:tab/>
        <w:t>Передано правительством Польши</w:t>
      </w:r>
      <w:r w:rsidRPr="0069701D">
        <w:rPr>
          <w:b w:val="0"/>
          <w:sz w:val="20"/>
        </w:rPr>
        <w:footnoteReference w:customMarkFollows="1" w:id="1"/>
        <w:t>*</w:t>
      </w:r>
      <w:bookmarkEnd w:id="9"/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1C6E75" w:rsidRPr="001C6E75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1C6E75" w:rsidRPr="001C6E75" w:rsidRDefault="001C6E7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C6E75">
              <w:rPr>
                <w:rFonts w:cs="Times New Roman"/>
              </w:rPr>
              <w:tab/>
            </w:r>
            <w:r w:rsidRPr="001C6E7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C6E75" w:rsidRPr="001C6E75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1C6E75" w:rsidRPr="001C6E75" w:rsidRDefault="001C6E75" w:rsidP="005F161A">
            <w:pPr>
              <w:pStyle w:val="SingleTxtGR"/>
              <w:ind w:left="3969" w:hanging="2835"/>
            </w:pPr>
            <w:r w:rsidRPr="00DC5401">
              <w:rPr>
                <w:b/>
              </w:rPr>
              <w:t>Существо предложения</w:t>
            </w:r>
            <w:r w:rsidRPr="007F1481">
              <w:t>:</w:t>
            </w:r>
            <w:r w:rsidRPr="007F1481">
              <w:tab/>
            </w:r>
            <w:r w:rsidR="004D40A4">
              <w:tab/>
            </w:r>
            <w:r w:rsidRPr="007F1481">
              <w:t xml:space="preserve">Цель настоящего предложения состоит в том, чтобы i) прояснить значение термина </w:t>
            </w:r>
            <w:r w:rsidR="004D40A4">
              <w:t>«</w:t>
            </w:r>
            <w:r w:rsidRPr="007F1481">
              <w:t>легковоспламеняющиеся материалы</w:t>
            </w:r>
            <w:r w:rsidR="004D40A4">
              <w:t>»</w:t>
            </w:r>
            <w:r w:rsidRPr="007F1481">
              <w:t xml:space="preserve"> в специальном положении CW24/CV24 в разделе 7.5.11 применительно к органическим пероксидам и ii) изучить различия в МПОГ и ДОПОГ в присвоении этого специального положения для веществ класса 8</w:t>
            </w:r>
            <w:r w:rsidR="005F161A">
              <w:t xml:space="preserve"> </w:t>
            </w:r>
            <w:r w:rsidRPr="007F1481">
              <w:t>с</w:t>
            </w:r>
            <w:r w:rsidR="005F161A">
              <w:t> </w:t>
            </w:r>
            <w:r w:rsidRPr="007F1481">
              <w:t>дополнительной опасностью 5.1 в таблице A.</w:t>
            </w:r>
          </w:p>
        </w:tc>
      </w:tr>
      <w:tr w:rsidR="001C6E75" w:rsidRPr="001C6E75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1C6E75" w:rsidRPr="001C6E75" w:rsidRDefault="001C6E75" w:rsidP="004D40A4">
            <w:pPr>
              <w:pStyle w:val="SingleTxtGR"/>
              <w:ind w:left="3969" w:hanging="2835"/>
            </w:pPr>
            <w:bookmarkStart w:id="11" w:name="bookmark_22"/>
            <w:r w:rsidRPr="00DC5401">
              <w:rPr>
                <w:b/>
              </w:rPr>
              <w:t>Предлагаемое решение</w:t>
            </w:r>
            <w:r w:rsidRPr="007F1481">
              <w:t>:</w:t>
            </w:r>
            <w:r w:rsidRPr="007F1481">
              <w:tab/>
            </w:r>
            <w:r w:rsidR="004D40A4">
              <w:tab/>
            </w:r>
            <w:r w:rsidRPr="007F1481">
              <w:t>Толкование и рекомендации относительно следующего: i) необходимо ли уточнить специальное положение CW24/CV24 применительно к органическим пероксидам, ii) требуется ли согласовать МПОГ с ДОПОГ в том, что касается присвоения CW24/CV24.</w:t>
            </w:r>
            <w:bookmarkEnd w:id="11"/>
          </w:p>
        </w:tc>
      </w:tr>
      <w:tr w:rsidR="001C6E75" w:rsidRPr="001C6E75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1C6E75" w:rsidRPr="001C6E75" w:rsidRDefault="001C6E75" w:rsidP="00850215">
            <w:pPr>
              <w:rPr>
                <w:rFonts w:cs="Times New Roman"/>
              </w:rPr>
            </w:pPr>
          </w:p>
        </w:tc>
      </w:tr>
    </w:tbl>
    <w:p w:rsidR="001C6E75" w:rsidRPr="001C6E75" w:rsidRDefault="001C6E75" w:rsidP="001C6E75">
      <w:pPr>
        <w:rPr>
          <w:lang w:eastAsia="ru-RU"/>
        </w:rPr>
      </w:pPr>
    </w:p>
    <w:p w:rsidR="007F1481" w:rsidRPr="007F1481" w:rsidRDefault="001C6E75" w:rsidP="001C6E75">
      <w:pPr>
        <w:pStyle w:val="HChGR"/>
      </w:pPr>
      <w:bookmarkStart w:id="12" w:name="bookmark_23"/>
      <w:r>
        <w:br w:type="page"/>
      </w:r>
      <w:r w:rsidRPr="001C6E75">
        <w:lastRenderedPageBreak/>
        <w:tab/>
      </w:r>
      <w:r w:rsidRPr="004D40A4">
        <w:tab/>
      </w:r>
      <w:r w:rsidR="007F1481" w:rsidRPr="007F1481">
        <w:t>Введение</w:t>
      </w:r>
      <w:bookmarkEnd w:id="12"/>
    </w:p>
    <w:p w:rsidR="007F1481" w:rsidRPr="007F1481" w:rsidRDefault="007F1481" w:rsidP="007F1481">
      <w:pPr>
        <w:pStyle w:val="SingleTxtGR"/>
      </w:pPr>
      <w:bookmarkStart w:id="13" w:name="bookmark_24"/>
      <w:r w:rsidRPr="007F1481">
        <w:t>1.</w:t>
      </w:r>
      <w:r w:rsidRPr="007F1481">
        <w:tab/>
        <w:t xml:space="preserve">Согласно специальному положению CW24/CV 24 (7.5.11 Дополнительные положения, применимые к некоторым классам или к определенным грузам) </w:t>
      </w:r>
      <w:r w:rsidR="004D40A4">
        <w:t>«</w:t>
      </w:r>
      <w:r w:rsidRPr="007F1481">
        <w:t>перед загрузкой транспортные средства и контейнеры должны быть тщательно очищены, особенно от всех горючих отходов (солома, сено, бумага и т.д.)</w:t>
      </w:r>
      <w:r w:rsidR="004D40A4">
        <w:t>»</w:t>
      </w:r>
      <w:r w:rsidRPr="007F1481">
        <w:t xml:space="preserve">. Кроме того, в нем указано, что </w:t>
      </w:r>
      <w:r w:rsidR="004D40A4">
        <w:t>«</w:t>
      </w:r>
      <w:r w:rsidRPr="007F1481">
        <w:t>при укладке упаковок запрещается использовать легковоспламеняющиеся материалы</w:t>
      </w:r>
      <w:r w:rsidR="004D40A4">
        <w:t>»</w:t>
      </w:r>
      <w:r w:rsidRPr="007F1481">
        <w:t>.</w:t>
      </w:r>
      <w:bookmarkEnd w:id="13"/>
    </w:p>
    <w:p w:rsidR="007F1481" w:rsidRPr="007F1481" w:rsidRDefault="007F1481" w:rsidP="007F1481">
      <w:pPr>
        <w:pStyle w:val="SingleTxtGR"/>
      </w:pPr>
      <w:bookmarkStart w:id="14" w:name="bookmark_25"/>
      <w:r w:rsidRPr="007F1481">
        <w:t>2.</w:t>
      </w:r>
      <w:r w:rsidRPr="007F1481">
        <w:tab/>
        <w:t>Это специальное положение включено в колонку 18 таблицы А для класса 5.1 Окисляющие вещества (за исключением № ООН 2426, которое может перевозиться только в цистернах), для всех номеров ООН класса 5.2 Органические пероксиды и номеров ООН класса 8 Коррозионные вещества, для которых предусмотрена дополнительная опасность класса 5.1 (и требуется знак образца</w:t>
      </w:r>
      <w:r w:rsidR="00DC5401">
        <w:t> </w:t>
      </w:r>
      <w:r w:rsidRPr="007F1481">
        <w:t>№ 5.1), за некоторыми исключениями, о которых говорится ниже. В случае классов 2 и 6.1, когда требуется знак образца № 5.1, CW24/CV24 в колонке</w:t>
      </w:r>
      <w:r w:rsidR="004D40A4">
        <w:t> </w:t>
      </w:r>
      <w:r w:rsidRPr="007F1481">
        <w:t>18 таблицы A не предписано ни для одной позиции.</w:t>
      </w:r>
      <w:bookmarkEnd w:id="14"/>
    </w:p>
    <w:p w:rsidR="007F1481" w:rsidRPr="007F1481" w:rsidRDefault="007F1481" w:rsidP="007F1481">
      <w:pPr>
        <w:pStyle w:val="SingleTxtGR"/>
      </w:pPr>
      <w:bookmarkStart w:id="15" w:name="bookmark_26"/>
      <w:r w:rsidRPr="007F1481">
        <w:t>3.</w:t>
      </w:r>
      <w:r w:rsidRPr="007F1481">
        <w:tab/>
        <w:t>В последнее время в связи со специальным положением CW24/CV24 возник вопрос о том, могут ли органические пероксиды (класс 5.2), упакованные в соответствии с МПОГ/ДОПОГ (инструкция по упаковке Р520 или IBC520), перевозиться на деревянных поддонах.</w:t>
      </w:r>
      <w:bookmarkEnd w:id="15"/>
    </w:p>
    <w:p w:rsidR="007F1481" w:rsidRPr="007F1481" w:rsidRDefault="007F1481" w:rsidP="007F1481">
      <w:pPr>
        <w:pStyle w:val="SingleTxtGR"/>
      </w:pPr>
      <w:bookmarkStart w:id="16" w:name="bookmark_27"/>
      <w:r w:rsidRPr="007F1481">
        <w:t>4.</w:t>
      </w:r>
      <w:r w:rsidRPr="007F1481">
        <w:tab/>
        <w:t xml:space="preserve">Четкий ответ на этот вопрос невозможно получить из-за отсутствия ясного понимания того, что означает выражение </w:t>
      </w:r>
      <w:r w:rsidR="004D40A4">
        <w:t>«</w:t>
      </w:r>
      <w:r w:rsidRPr="007F1481">
        <w:t>легковоспламеняющиеся материалы</w:t>
      </w:r>
      <w:r w:rsidR="004D40A4">
        <w:t>»</w:t>
      </w:r>
      <w:r w:rsidRPr="007F1481">
        <w:t xml:space="preserve">. В МПОГ/ДОПОГ не указано, какие материалы могут быть квалифицированы как </w:t>
      </w:r>
      <w:r w:rsidR="004D40A4">
        <w:t>«</w:t>
      </w:r>
      <w:r w:rsidRPr="007F1481">
        <w:t>легковоспламеняющиеся</w:t>
      </w:r>
      <w:r w:rsidR="004D40A4">
        <w:t>»</w:t>
      </w:r>
      <w:r w:rsidRPr="007F1481">
        <w:t>. Они также не содержат ссылки на какой-либо стандарт, на основе которого можно было бы оценить их воспламеняемость для целей этого положения. С другой стороны, довольно сложно выделить один стандарт или параметр для использования в качестве единственного критерия с точки зрения определения воспламеняемости поддонов из различных материалов, из которых они могут быть изготовлены.</w:t>
      </w:r>
      <w:bookmarkEnd w:id="16"/>
    </w:p>
    <w:p w:rsidR="007F1481" w:rsidRPr="007F1481" w:rsidRDefault="007F1481" w:rsidP="007F1481">
      <w:pPr>
        <w:pStyle w:val="SingleTxtGR"/>
      </w:pPr>
      <w:bookmarkStart w:id="17" w:name="bookmark_28"/>
      <w:r w:rsidRPr="007F1481">
        <w:t>5.</w:t>
      </w:r>
      <w:r w:rsidRPr="007F1481">
        <w:tab/>
        <w:t>В то же время имеются руководящие принципы надлежащей практики, в которых прямо указано, что органические пероксиды должны быть уложены на пластмассовые или деревянные поддоны при условии, что они являются чистыми и не имеют никаких выступающих частей (например, гвоздей), которые могут повредить тару. С другой стороны, в ряде директивных записок по вопросам охраны здоровья и безопасности указывается, что деревянные поддоны не должны использоваться, однако в данном случае речь идет о хранении органических пероксидов, а не об их укладке на поддоны для перевозки.</w:t>
      </w:r>
      <w:bookmarkEnd w:id="17"/>
    </w:p>
    <w:p w:rsidR="007F1481" w:rsidRPr="007F1481" w:rsidRDefault="007F1481" w:rsidP="007F1481">
      <w:pPr>
        <w:pStyle w:val="SingleTxtGR"/>
      </w:pPr>
      <w:bookmarkStart w:id="18" w:name="bookmark_29"/>
      <w:r w:rsidRPr="007F1481">
        <w:t>6.</w:t>
      </w:r>
      <w:r w:rsidRPr="007F1481">
        <w:tab/>
        <w:t>Как уже упоминалось в пункте 2 выше, в отношении номеров ООН класса 8, для которых указана дополнительная опасность класса 5.1 и для которых в МПОГ/ДОПОГ предусматривается знак опасности образца № 5.1, необходимо применять специальное положение CW24/CV24, за некоторыми исключениями.</w:t>
      </w:r>
      <w:bookmarkEnd w:id="18"/>
    </w:p>
    <w:p w:rsidR="007F1481" w:rsidRPr="007F1481" w:rsidRDefault="007F1481" w:rsidP="007F1481">
      <w:pPr>
        <w:pStyle w:val="SingleTxtGR"/>
      </w:pPr>
      <w:bookmarkStart w:id="19" w:name="bookmark_30"/>
      <w:r w:rsidRPr="007F1481">
        <w:t>7.</w:t>
      </w:r>
      <w:r w:rsidRPr="007F1481">
        <w:tab/>
        <w:t xml:space="preserve">В МПОГ для двух веществ, а именно № ООН 1796 СМЕСЬ КИСЛОТНАЯ НИТРУЮЩАЯ с содержанием азотной кислоты не более 50% (ГУ II) и </w:t>
      </w:r>
      <w:r w:rsidR="00DC5401">
        <w:br/>
      </w:r>
      <w:r w:rsidRPr="007F1481">
        <w:t>№ ООН 1826 СМЕСЬ КИСЛОТНАЯ НИТРУЮЩАЯ, ОТРАБОТАННАЯ, с содержанием азотной кислоты не более 50% (ГУ II), которые являются окислителями, знак образца № 5.1 не требуется, однако применяется специальное положение CW24. В то же время для этих же позиций CV24 в колонке 18 в ДОПОГ не упоминается. Третьей позицией, которая не соответствует этому правилу, является № ООН 2031 КИСЛОТА АЗОТНАЯ, кроме красной дымящей, с не менее</w:t>
      </w:r>
      <w:r w:rsidR="004D40A4">
        <w:t> </w:t>
      </w:r>
      <w:r w:rsidRPr="007F1481">
        <w:t>65%, но не более 70% азотной кислоты. Для данного номера ООН знак образца № 5.1 требуется (как в МПОГ, так и в ДОПОГ), но CW24/CV24 в колонку</w:t>
      </w:r>
      <w:r w:rsidR="00965107">
        <w:t> </w:t>
      </w:r>
      <w:r w:rsidRPr="007F1481">
        <w:t>18 не включено. Для удобства использования таблица А с указанием всех веществ класса 8, о которых говорилось выше, воспроизводится в неофициальном документе INF.3. Различия между МПОГ и ДОПОГ отмечены подчеркива</w:t>
      </w:r>
      <w:r w:rsidRPr="007F1481">
        <w:lastRenderedPageBreak/>
        <w:t xml:space="preserve">нием и разным цветом, при этом соответствующие графы в таблице А надлежащим образом выделены. </w:t>
      </w:r>
      <w:bookmarkEnd w:id="19"/>
    </w:p>
    <w:p w:rsidR="007F1481" w:rsidRPr="007F1481" w:rsidRDefault="007F1481" w:rsidP="007F1481">
      <w:pPr>
        <w:pStyle w:val="SingleTxtGR"/>
      </w:pPr>
      <w:bookmarkStart w:id="20" w:name="bookmark_31"/>
      <w:r w:rsidRPr="007F1481">
        <w:t>8.</w:t>
      </w:r>
      <w:r w:rsidRPr="007F1481">
        <w:tab/>
        <w:t>Вопросы, касающиеся применения CW24/CV24 к органическим пероксидам и коррозионным веществам класса 8, для которых предусмотрена дополнительная опасность класса 5.1, были подняты на восьмой сессии постоянной рабочей группы Комиссии экспертов МПОГ (Утрехт, 20–24 ноября 2017</w:t>
      </w:r>
      <w:r w:rsidR="004D40A4">
        <w:t> год</w:t>
      </w:r>
      <w:r w:rsidRPr="007F1481">
        <w:t xml:space="preserve">а). Делегации, которые выразили свое мнение по первому вопросу (значение термина </w:t>
      </w:r>
      <w:r w:rsidR="004D40A4">
        <w:t>«</w:t>
      </w:r>
      <w:r w:rsidRPr="007F1481">
        <w:t>легковоспламеняющиеся материалы</w:t>
      </w:r>
      <w:r w:rsidR="004D40A4">
        <w:t>»</w:t>
      </w:r>
      <w:r w:rsidRPr="007F1481">
        <w:t xml:space="preserve">), не видели какой-либо проблемы в использовании деревянных поддонов для укладки органических пероксидов, поскольку эти вещества укладываются на деревянные поддоны в тех случаях, когда они уже упакованы, и поэтому не вступают в прямой контакт с ними. Было также отмечено, что в случае исключения деревянных поддонов необходимо было бы также отказаться от использования вагонов и контейнеров с деревянными полами. Вместе с тем после краткого обсуждения постоянная рабочая группа сочла, что этот вопрос следует рассмотреть Совместному совещанию. </w:t>
      </w:r>
      <w:bookmarkEnd w:id="20"/>
    </w:p>
    <w:p w:rsidR="007F1481" w:rsidRPr="007F1481" w:rsidRDefault="007F1481" w:rsidP="007F1481">
      <w:pPr>
        <w:pStyle w:val="SingleTxtGR"/>
      </w:pPr>
      <w:bookmarkStart w:id="21" w:name="bookmark_32"/>
      <w:r w:rsidRPr="007F1481">
        <w:t>9.</w:t>
      </w:r>
      <w:r w:rsidRPr="007F1481">
        <w:tab/>
        <w:t>Кроме того, постоянная рабочая группа Комиссии экспертов МПОГ приняла решение о том, что вопрос о возможном согласовании МПОГ с ДОПОГ применительно к назначению специального положения CW24/CV24 должен быть рассмотрен лишь после его обсуждения Совместным совещанием.</w:t>
      </w:r>
      <w:bookmarkEnd w:id="21"/>
    </w:p>
    <w:p w:rsidR="007F1481" w:rsidRPr="007F1481" w:rsidRDefault="007F1481" w:rsidP="007F1481">
      <w:pPr>
        <w:pStyle w:val="SingleTxtGR"/>
      </w:pPr>
      <w:bookmarkStart w:id="22" w:name="bookmark_33"/>
      <w:r w:rsidRPr="007F1481">
        <w:t>10.</w:t>
      </w:r>
      <w:r w:rsidRPr="007F1481">
        <w:tab/>
        <w:t>С учетом вышеизложенного представитель Польши хотел бы просить Совместное совещание высказать свое мнение относительно следующего:</w:t>
      </w:r>
      <w:bookmarkEnd w:id="22"/>
    </w:p>
    <w:p w:rsidR="007F1481" w:rsidRPr="007F1481" w:rsidRDefault="007F1481" w:rsidP="007F1481">
      <w:pPr>
        <w:pStyle w:val="SingleTxtGR"/>
      </w:pPr>
      <w:bookmarkStart w:id="23" w:name="bookmark_34"/>
      <w:r w:rsidRPr="007F1481">
        <w:tab/>
        <w:t>a)</w:t>
      </w:r>
      <w:r w:rsidRPr="007F1481">
        <w:tab/>
        <w:t>могут ли деревянные поддоны использоваться для укладки органических пероксидов (класс 5.2), упакованных в соответствии с положениями МПОГ/ДОПОГ;</w:t>
      </w:r>
      <w:bookmarkEnd w:id="23"/>
    </w:p>
    <w:p w:rsidR="007F1481" w:rsidRPr="007F1481" w:rsidRDefault="007F1481" w:rsidP="007F1481">
      <w:pPr>
        <w:pStyle w:val="SingleTxtGR"/>
      </w:pPr>
      <w:bookmarkStart w:id="24" w:name="bookmark_35"/>
      <w:r w:rsidRPr="007F1481">
        <w:tab/>
        <w:t>b)</w:t>
      </w:r>
      <w:r w:rsidRPr="007F1481">
        <w:tab/>
        <w:t>необходимо ли уточнить предусмотренное в CW24/CV24 требование в отношении органических пероксидов;</w:t>
      </w:r>
      <w:bookmarkEnd w:id="24"/>
    </w:p>
    <w:p w:rsidR="007F1481" w:rsidRPr="007F1481" w:rsidRDefault="007F1481" w:rsidP="007F1481">
      <w:pPr>
        <w:pStyle w:val="SingleTxtGR"/>
      </w:pPr>
      <w:bookmarkStart w:id="25" w:name="bookmark_36"/>
      <w:r w:rsidRPr="007F1481">
        <w:tab/>
        <w:t>с)</w:t>
      </w:r>
      <w:r w:rsidRPr="007F1481">
        <w:tab/>
        <w:t>является ли оправданным согласование МПОГ с ДОПОГ в том, что касается назначения специального положения CW24/CV24 № ООН 1796 и №</w:t>
      </w:r>
      <w:r w:rsidR="000D2DE6">
        <w:t> </w:t>
      </w:r>
      <w:r w:rsidRPr="007F1481">
        <w:t>ООН 1826;</w:t>
      </w:r>
      <w:bookmarkEnd w:id="25"/>
    </w:p>
    <w:p w:rsidR="007F1481" w:rsidRPr="007F1481" w:rsidRDefault="007F1481" w:rsidP="007F1481">
      <w:pPr>
        <w:pStyle w:val="SingleTxtGR"/>
      </w:pPr>
      <w:bookmarkStart w:id="26" w:name="bookmark_37"/>
      <w:r w:rsidRPr="007F1481">
        <w:tab/>
        <w:t>d)</w:t>
      </w:r>
      <w:r w:rsidRPr="007F1481">
        <w:tab/>
        <w:t>требуется ли изменить положения, регулирующие применение CW24/CV24 в отношении № ООН 2031.</w:t>
      </w:r>
      <w:bookmarkEnd w:id="26"/>
      <w:r w:rsidRPr="007F1481">
        <w:t xml:space="preserve"> </w:t>
      </w:r>
    </w:p>
    <w:p w:rsidR="00E12C5F" w:rsidRPr="007F1481" w:rsidRDefault="007F1481" w:rsidP="007F148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7F1481" w:rsidSect="007F1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2F" w:rsidRPr="00A312BC" w:rsidRDefault="0031502F" w:rsidP="00A312BC"/>
  </w:endnote>
  <w:endnote w:type="continuationSeparator" w:id="0">
    <w:p w:rsidR="0031502F" w:rsidRPr="00A312BC" w:rsidRDefault="0031502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81" w:rsidRPr="007F1481" w:rsidRDefault="007F1481">
    <w:pPr>
      <w:pStyle w:val="Footer"/>
    </w:pPr>
    <w:r w:rsidRPr="007F1481">
      <w:rPr>
        <w:b/>
        <w:sz w:val="18"/>
      </w:rPr>
      <w:fldChar w:fldCharType="begin"/>
    </w:r>
    <w:r w:rsidRPr="007F1481">
      <w:rPr>
        <w:b/>
        <w:sz w:val="18"/>
      </w:rPr>
      <w:instrText xml:space="preserve"> PAGE  \* MERGEFORMAT </w:instrText>
    </w:r>
    <w:r w:rsidRPr="007F1481">
      <w:rPr>
        <w:b/>
        <w:sz w:val="18"/>
      </w:rPr>
      <w:fldChar w:fldCharType="separate"/>
    </w:r>
    <w:r w:rsidR="00F45F61">
      <w:rPr>
        <w:b/>
        <w:noProof/>
        <w:sz w:val="18"/>
      </w:rPr>
      <w:t>2</w:t>
    </w:r>
    <w:r w:rsidRPr="007F1481">
      <w:rPr>
        <w:b/>
        <w:sz w:val="18"/>
      </w:rPr>
      <w:fldChar w:fldCharType="end"/>
    </w:r>
    <w:r>
      <w:rPr>
        <w:b/>
        <w:sz w:val="18"/>
      </w:rPr>
      <w:tab/>
    </w:r>
    <w:r>
      <w:t>GE.17-23055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81" w:rsidRPr="007F1481" w:rsidRDefault="007F1481" w:rsidP="007F1481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GE.17-23055</w:t>
    </w:r>
    <w:r>
      <w:tab/>
    </w:r>
    <w:r w:rsidRPr="007F1481">
      <w:rPr>
        <w:b/>
        <w:sz w:val="18"/>
      </w:rPr>
      <w:fldChar w:fldCharType="begin"/>
    </w:r>
    <w:r w:rsidRPr="007F1481">
      <w:rPr>
        <w:b/>
        <w:sz w:val="18"/>
      </w:rPr>
      <w:instrText xml:space="preserve"> PAGE  \* MERGEFORMAT </w:instrText>
    </w:r>
    <w:r w:rsidRPr="007F1481">
      <w:rPr>
        <w:b/>
        <w:sz w:val="18"/>
      </w:rPr>
      <w:fldChar w:fldCharType="separate"/>
    </w:r>
    <w:r w:rsidR="00F45F61">
      <w:rPr>
        <w:b/>
        <w:noProof/>
        <w:sz w:val="18"/>
      </w:rPr>
      <w:t>3</w:t>
    </w:r>
    <w:r w:rsidRPr="007F14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F1481" w:rsidRDefault="007F1481" w:rsidP="007F148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A9CC850" wp14:editId="1BBD8D4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17-23055  (R)</w:t>
    </w:r>
    <w:r>
      <w:rPr>
        <w:lang w:val="en-US"/>
      </w:rPr>
      <w:t xml:space="preserve">  080118  080118</w:t>
    </w:r>
    <w:r>
      <w:br/>
    </w:r>
    <w:r w:rsidRPr="007F1481">
      <w:rPr>
        <w:rFonts w:ascii="C39T30Lfz" w:hAnsi="C39T30Lfz"/>
        <w:spacing w:val="0"/>
        <w:w w:val="100"/>
        <w:sz w:val="56"/>
      </w:rPr>
      <w:t></w:t>
    </w:r>
    <w:r w:rsidRPr="007F1481">
      <w:rPr>
        <w:rFonts w:ascii="C39T30Lfz" w:hAnsi="C39T30Lfz"/>
        <w:spacing w:val="0"/>
        <w:w w:val="100"/>
        <w:sz w:val="56"/>
      </w:rPr>
      <w:t></w:t>
    </w:r>
    <w:r w:rsidRPr="007F1481">
      <w:rPr>
        <w:rFonts w:ascii="C39T30Lfz" w:hAnsi="C39T30Lfz"/>
        <w:spacing w:val="0"/>
        <w:w w:val="100"/>
        <w:sz w:val="56"/>
      </w:rPr>
      <w:t></w:t>
    </w:r>
    <w:r w:rsidRPr="007F1481">
      <w:rPr>
        <w:rFonts w:ascii="C39T30Lfz" w:hAnsi="C39T30Lfz"/>
        <w:spacing w:val="0"/>
        <w:w w:val="100"/>
        <w:sz w:val="56"/>
      </w:rPr>
      <w:t></w:t>
    </w:r>
    <w:r w:rsidRPr="007F1481">
      <w:rPr>
        <w:rFonts w:ascii="C39T30Lfz" w:hAnsi="C39T30Lfz"/>
        <w:spacing w:val="0"/>
        <w:w w:val="100"/>
        <w:sz w:val="56"/>
      </w:rPr>
      <w:t></w:t>
    </w:r>
    <w:r w:rsidRPr="007F1481">
      <w:rPr>
        <w:rFonts w:ascii="C39T30Lfz" w:hAnsi="C39T30Lfz"/>
        <w:spacing w:val="0"/>
        <w:w w:val="100"/>
        <w:sz w:val="56"/>
      </w:rPr>
      <w:t></w:t>
    </w:r>
    <w:r w:rsidRPr="007F1481">
      <w:rPr>
        <w:rFonts w:ascii="C39T30Lfz" w:hAnsi="C39T30Lfz"/>
        <w:spacing w:val="0"/>
        <w:w w:val="100"/>
        <w:sz w:val="56"/>
      </w:rPr>
      <w:t></w:t>
    </w:r>
    <w:r w:rsidRPr="007F1481">
      <w:rPr>
        <w:rFonts w:ascii="C39T30Lfz" w:hAnsi="C39T30Lfz"/>
        <w:spacing w:val="0"/>
        <w:w w:val="100"/>
        <w:sz w:val="56"/>
      </w:rPr>
      <w:t></w:t>
    </w:r>
    <w:r w:rsidRPr="007F148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8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2F" w:rsidRPr="001075E9" w:rsidRDefault="0031502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1502F" w:rsidRDefault="0031502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F1481" w:rsidRDefault="007F1481" w:rsidP="007F1481">
      <w:pPr>
        <w:pStyle w:val="FootnoteText"/>
        <w:rPr>
          <w:lang w:val="ru-RU" w:eastAsia="en-US"/>
        </w:rPr>
      </w:pPr>
      <w:bookmarkStart w:id="10" w:name="footnoteBookmark_19"/>
      <w:r>
        <w:rPr>
          <w:lang w:val="ru-RU"/>
        </w:rPr>
        <w:tab/>
      </w:r>
      <w:r w:rsidRPr="004D40A4">
        <w:rPr>
          <w:sz w:val="20"/>
          <w:lang w:val="ru-RU"/>
        </w:rPr>
        <w:t>*</w:t>
      </w:r>
      <w:r>
        <w:rPr>
          <w:lang w:val="ru-RU"/>
        </w:rPr>
        <w:t xml:space="preserve"> </w:t>
      </w:r>
      <w:r>
        <w:rPr>
          <w:lang w:val="ru-RU"/>
        </w:rPr>
        <w:tab/>
        <w:t>В соответствии с проектом программы работы Комитета по внутреннему транспорту на 2018</w:t>
      </w:r>
      <w:r w:rsidR="00A71320">
        <w:rPr>
          <w:lang w:val="ru-RU"/>
        </w:rPr>
        <w:t>–</w:t>
      </w:r>
      <w:r>
        <w:rPr>
          <w:lang w:val="ru-RU"/>
        </w:rPr>
        <w:t>2019</w:t>
      </w:r>
      <w:r w:rsidR="004D40A4">
        <w:rPr>
          <w:lang w:val="ru-RU"/>
        </w:rPr>
        <w:t> год</w:t>
      </w:r>
      <w:r>
        <w:rPr>
          <w:lang w:val="ru-RU"/>
        </w:rPr>
        <w:t>ы (ECE/TRANS/WP.15/237, приложение V (9.2)).</w:t>
      </w:r>
      <w:bookmarkEnd w:id="1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81" w:rsidRPr="007F1481" w:rsidRDefault="005D2EB0">
    <w:pPr>
      <w:pStyle w:val="Header"/>
    </w:pPr>
    <w:fldSimple w:instr=" TITLE  \* MERGEFORMAT ">
      <w:r>
        <w:t>ECE/TRANS/WP.15/AC.1/2018/5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81" w:rsidRPr="007F1481" w:rsidRDefault="005D2EB0" w:rsidP="007F1481">
    <w:pPr>
      <w:pStyle w:val="Header"/>
      <w:jc w:val="right"/>
    </w:pPr>
    <w:fldSimple w:instr=" TITLE  \* MERGEFORMAT ">
      <w:r>
        <w:t>ECE/TRANS/WP.15/AC.1/2018/5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81" w:rsidRDefault="007F1481" w:rsidP="007F148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2F"/>
    <w:rsid w:val="00033EE1"/>
    <w:rsid w:val="00042B72"/>
    <w:rsid w:val="0005520F"/>
    <w:rsid w:val="000558BD"/>
    <w:rsid w:val="000B57E7"/>
    <w:rsid w:val="000B6373"/>
    <w:rsid w:val="000D2DE6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6C89"/>
    <w:rsid w:val="001B3EF6"/>
    <w:rsid w:val="001C6E75"/>
    <w:rsid w:val="001C7A89"/>
    <w:rsid w:val="001E6E2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502F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48E5"/>
    <w:rsid w:val="00407B78"/>
    <w:rsid w:val="00424203"/>
    <w:rsid w:val="004333F5"/>
    <w:rsid w:val="00452493"/>
    <w:rsid w:val="00453318"/>
    <w:rsid w:val="00454AF2"/>
    <w:rsid w:val="00454E07"/>
    <w:rsid w:val="00472C5C"/>
    <w:rsid w:val="004D40A4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2EB0"/>
    <w:rsid w:val="005D7914"/>
    <w:rsid w:val="005E2B41"/>
    <w:rsid w:val="005F0B42"/>
    <w:rsid w:val="005F161A"/>
    <w:rsid w:val="006345DB"/>
    <w:rsid w:val="00640F49"/>
    <w:rsid w:val="00680D03"/>
    <w:rsid w:val="00681A10"/>
    <w:rsid w:val="0069701D"/>
    <w:rsid w:val="006A1ED8"/>
    <w:rsid w:val="006C2031"/>
    <w:rsid w:val="006D461A"/>
    <w:rsid w:val="006F35EE"/>
    <w:rsid w:val="007021FF"/>
    <w:rsid w:val="00712895"/>
    <w:rsid w:val="00734ACB"/>
    <w:rsid w:val="00757357"/>
    <w:rsid w:val="00757430"/>
    <w:rsid w:val="00792497"/>
    <w:rsid w:val="007F1481"/>
    <w:rsid w:val="00806737"/>
    <w:rsid w:val="00825F8D"/>
    <w:rsid w:val="00834B71"/>
    <w:rsid w:val="0086445C"/>
    <w:rsid w:val="00865815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5107"/>
    <w:rsid w:val="009A24AC"/>
    <w:rsid w:val="009C6FE6"/>
    <w:rsid w:val="009D7E7D"/>
    <w:rsid w:val="00A14DA8"/>
    <w:rsid w:val="00A312BC"/>
    <w:rsid w:val="00A71320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C540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5F61"/>
    <w:rsid w:val="00F93C5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6D75946-29E9-4F17-9043-C7C66E82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ECE/TRANS/WP.15/AC.1/2018/5</vt:lpstr>
      <vt:lpstr>ECE/TRANS/WP.15/AC.1/2018/5</vt:lpstr>
      <vt:lpstr>A/</vt:lpstr>
    </vt:vector>
  </TitlesOfParts>
  <Company>DCM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ECE/TRANS/WP.15/AC.1/2018/5</dc:title>
  <dc:subject/>
  <dc:creator>Ovchinnikova Olga</dc:creator>
  <cp:keywords/>
  <cp:lastModifiedBy>Christine Barrio-Champeau</cp:lastModifiedBy>
  <cp:revision>2</cp:revision>
  <cp:lastPrinted>2018-01-08T11:23:00Z</cp:lastPrinted>
  <dcterms:created xsi:type="dcterms:W3CDTF">2018-01-10T13:29:00Z</dcterms:created>
  <dcterms:modified xsi:type="dcterms:W3CDTF">2018-01-10T13:29:00Z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