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E7A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E7A3E" w:rsidP="003E7A3E">
            <w:pPr>
              <w:jc w:val="right"/>
            </w:pPr>
            <w:r w:rsidRPr="003E7A3E">
              <w:rPr>
                <w:sz w:val="40"/>
              </w:rPr>
              <w:t>ECE</w:t>
            </w:r>
            <w:r>
              <w:t>/TRANS/WP.15/AC.1/2018/9</w:t>
            </w:r>
          </w:p>
        </w:tc>
      </w:tr>
      <w:tr w:rsidR="002D5AAC" w:rsidRPr="003E7A3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E7A3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E7A3E" w:rsidRDefault="003E7A3E" w:rsidP="003E7A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2017</w:t>
            </w:r>
          </w:p>
          <w:p w:rsidR="003E7A3E" w:rsidRDefault="003E7A3E" w:rsidP="003E7A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E7A3E" w:rsidRPr="008D53B6" w:rsidRDefault="003E7A3E" w:rsidP="003E7A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E7A3E" w:rsidRPr="00D460CF" w:rsidRDefault="003E7A3E" w:rsidP="003E7A3E">
      <w:pPr>
        <w:spacing w:before="120"/>
        <w:rPr>
          <w:sz w:val="28"/>
          <w:szCs w:val="28"/>
        </w:rPr>
      </w:pPr>
      <w:bookmarkStart w:id="1" w:name="bookmark_10"/>
      <w:r w:rsidRPr="001E185C">
        <w:rPr>
          <w:sz w:val="28"/>
          <w:szCs w:val="28"/>
        </w:rPr>
        <w:t>Комитет по внутреннему транспорту</w:t>
      </w:r>
      <w:bookmarkEnd w:id="1"/>
    </w:p>
    <w:p w:rsidR="003E7A3E" w:rsidRPr="001E185C" w:rsidRDefault="003E7A3E" w:rsidP="003E7A3E">
      <w:pPr>
        <w:spacing w:before="120"/>
        <w:rPr>
          <w:b/>
          <w:bCs/>
          <w:sz w:val="24"/>
          <w:szCs w:val="24"/>
        </w:rPr>
      </w:pPr>
      <w:bookmarkStart w:id="2" w:name="bookmark_11"/>
      <w:r w:rsidRPr="001E185C">
        <w:rPr>
          <w:b/>
          <w:bCs/>
          <w:sz w:val="24"/>
          <w:szCs w:val="24"/>
        </w:rPr>
        <w:t>Рабочая группа по перевозкам опасных грузов</w:t>
      </w:r>
      <w:bookmarkEnd w:id="2"/>
    </w:p>
    <w:p w:rsidR="003E7A3E" w:rsidRPr="00D460CF" w:rsidRDefault="003E7A3E" w:rsidP="003E7A3E">
      <w:pPr>
        <w:spacing w:before="120"/>
        <w:rPr>
          <w:b/>
          <w:bCs/>
        </w:rPr>
      </w:pPr>
      <w:bookmarkStart w:id="3" w:name="bookmark_12"/>
      <w:r w:rsidRPr="001E185C">
        <w:rPr>
          <w:b/>
          <w:bCs/>
        </w:rPr>
        <w:t xml:space="preserve">Совместное совещание Комиссии экспертов МПОГ </w:t>
      </w:r>
      <w:r w:rsidRPr="003E7A3E">
        <w:rPr>
          <w:b/>
          <w:bCs/>
        </w:rPr>
        <w:br/>
      </w:r>
      <w:r w:rsidRPr="001E185C">
        <w:rPr>
          <w:b/>
          <w:bCs/>
        </w:rPr>
        <w:t>и Рабочей группы по перевозкам опасных грузов</w:t>
      </w:r>
      <w:bookmarkEnd w:id="3"/>
    </w:p>
    <w:p w:rsidR="003E7A3E" w:rsidRPr="001E185C" w:rsidRDefault="003E7A3E" w:rsidP="003E7A3E">
      <w:bookmarkStart w:id="4" w:name="bookmark_13"/>
      <w:r>
        <w:t>Берн, 12–16 марта 2018 года</w:t>
      </w:r>
      <w:bookmarkEnd w:id="4"/>
    </w:p>
    <w:p w:rsidR="003E7A3E" w:rsidRPr="001E185C" w:rsidRDefault="003E7A3E" w:rsidP="003E7A3E">
      <w:bookmarkStart w:id="5" w:name="bookmark_14"/>
      <w:r>
        <w:t>Пункт 2 предварительной повестки дня</w:t>
      </w:r>
      <w:bookmarkEnd w:id="5"/>
    </w:p>
    <w:p w:rsidR="00E12C5F" w:rsidRPr="003E7A3E" w:rsidRDefault="003E7A3E" w:rsidP="003E7A3E">
      <w:bookmarkStart w:id="6" w:name="bookmark_15"/>
      <w:r w:rsidRPr="001E185C">
        <w:rPr>
          <w:b/>
          <w:bCs/>
        </w:rPr>
        <w:t>Цистерны</w:t>
      </w:r>
      <w:bookmarkEnd w:id="6"/>
    </w:p>
    <w:p w:rsidR="003E7A3E" w:rsidRPr="003E7A3E" w:rsidRDefault="003E7A3E" w:rsidP="003E7A3E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3E7A3E">
        <w:t>Пункт 6.8.2.1.23: Сварочные работы на цистернах</w:t>
      </w:r>
    </w:p>
    <w:p w:rsidR="003E7A3E" w:rsidRPr="003E7A3E" w:rsidRDefault="003E7A3E" w:rsidP="003E7A3E">
      <w:pPr>
        <w:pStyle w:val="H1GR"/>
      </w:pPr>
      <w:bookmarkStart w:id="7" w:name="bookmark_17"/>
      <w:r w:rsidRPr="003E7A3E">
        <w:tab/>
      </w:r>
      <w:r w:rsidRPr="003E7A3E">
        <w:tab/>
        <w:t>Передано Международным союзом владельцев грузовых вагонов (МСАГВ)</w:t>
      </w:r>
      <w:r w:rsidRPr="003E7A3E">
        <w:rPr>
          <w:b w:val="0"/>
          <w:sz w:val="20"/>
        </w:rPr>
        <w:footnoteReference w:customMarkFollows="1" w:id="1"/>
        <w:t>*</w:t>
      </w:r>
      <w:bookmarkEnd w:id="7"/>
    </w:p>
    <w:p w:rsidR="003E7A3E" w:rsidRPr="003E7A3E" w:rsidRDefault="003E7A3E" w:rsidP="003E7A3E">
      <w:pPr>
        <w:pStyle w:val="SingleTxtGR"/>
      </w:pPr>
      <w:bookmarkStart w:id="9" w:name="bookmark_19"/>
      <w:r w:rsidRPr="003E7A3E">
        <w:t>1.</w:t>
      </w:r>
      <w:r w:rsidRPr="003E7A3E">
        <w:tab/>
        <w:t>Предложение по изменению пункта 6.8.2.1.23, основанное на предложениях неофициальной рабочей группы по согласованию процедур утверждения, обсуждалось в сентябре 2017 года в рамках Рабочей группы по цистернам Совместного совещания МПОГ/ДОПОГ/ВОПОГ и было представлено на совещании постоянной рабочей группы Комиссии экспертов МПОГ, проходившем в Утрехте в ноябре 2017 года.</w:t>
      </w:r>
      <w:bookmarkEnd w:id="9"/>
    </w:p>
    <w:p w:rsidR="003E7A3E" w:rsidRPr="003E7A3E" w:rsidRDefault="003E7A3E" w:rsidP="003E7A3E">
      <w:pPr>
        <w:pStyle w:val="SingleTxtGR"/>
        <w:rPr>
          <w:i/>
        </w:rPr>
      </w:pPr>
      <w:bookmarkStart w:id="10" w:name="bookmark_20"/>
      <w:r w:rsidRPr="003E7A3E">
        <w:rPr>
          <w:i/>
          <w:iCs/>
        </w:rPr>
        <w:t>«Способность изготовителя или мастерской по техническому обслуживанию или ремонту выполнять сварочные работы должна быть проверена и подтверждена компетентным органом или назначенным им органом, который выдает официальное утверждение типа.</w:t>
      </w:r>
      <w:r w:rsidRPr="003E7A3E">
        <w:t xml:space="preserve"> </w:t>
      </w:r>
      <w:r w:rsidRPr="003E7A3E">
        <w:rPr>
          <w:i/>
          <w:iCs/>
        </w:rPr>
        <w:t>Изготовитель или мастерская по техническому обслуживанию или ремонту должны использовать систему обеспечения качества сварки.»</w:t>
      </w:r>
      <w:r w:rsidRPr="003E7A3E">
        <w:t>.</w:t>
      </w:r>
      <w:bookmarkEnd w:id="10"/>
    </w:p>
    <w:p w:rsidR="003E7A3E" w:rsidRPr="003E7A3E" w:rsidRDefault="003E7A3E" w:rsidP="003E7A3E">
      <w:pPr>
        <w:pStyle w:val="SingleTxtGR"/>
      </w:pPr>
      <w:bookmarkStart w:id="11" w:name="bookmark_21"/>
      <w:r w:rsidRPr="003E7A3E">
        <w:t>2.</w:t>
      </w:r>
      <w:r w:rsidRPr="003E7A3E">
        <w:tab/>
        <w:t>В целом данное предложение призвано уточнить обязанности по утверждению сварочных работ в случае ремонта и модификации цистерн, поскольку этот вопрос, как считается, не в достаточной степени согласован в Европе.</w:t>
      </w:r>
      <w:bookmarkEnd w:id="11"/>
    </w:p>
    <w:p w:rsidR="003E7A3E" w:rsidRPr="003E7A3E" w:rsidRDefault="003E7A3E" w:rsidP="003E7A3E">
      <w:pPr>
        <w:pStyle w:val="SingleTxtGR"/>
      </w:pPr>
      <w:bookmarkStart w:id="12" w:name="bookmark_22"/>
      <w:r w:rsidRPr="003E7A3E">
        <w:t>3.</w:t>
      </w:r>
      <w:r w:rsidRPr="003E7A3E">
        <w:tab/>
        <w:t>В неофициальном документе INF.9, представленном постоянной рабочей группе, МСАГВ отметил, что идея привязки ответственности за ремонт и модификацию к обязанностям того или иного органа, особенно в железнодорожном секторе, поставит дополнительные вопросы:</w:t>
      </w:r>
      <w:bookmarkEnd w:id="12"/>
    </w:p>
    <w:p w:rsidR="003E7A3E" w:rsidRPr="003E7A3E" w:rsidRDefault="003E7A3E" w:rsidP="003E7A3E">
      <w:pPr>
        <w:pStyle w:val="Bullet1GR"/>
      </w:pPr>
      <w:bookmarkStart w:id="13" w:name="bookmark_23"/>
      <w:r w:rsidRPr="003E7A3E">
        <w:t>какой орган имеется в виду (местный и страны регистрации);</w:t>
      </w:r>
      <w:bookmarkEnd w:id="13"/>
    </w:p>
    <w:p w:rsidR="003E7A3E" w:rsidRPr="003E7A3E" w:rsidRDefault="003E7A3E" w:rsidP="003E7A3E">
      <w:pPr>
        <w:pStyle w:val="Bullet1GR"/>
      </w:pPr>
      <w:bookmarkStart w:id="14" w:name="bookmark_24"/>
      <w:r w:rsidRPr="003E7A3E">
        <w:t>о каких процедурах сварки идет речь (гибкость, необходимая при производстве ремонта).</w:t>
      </w:r>
      <w:bookmarkEnd w:id="14"/>
    </w:p>
    <w:p w:rsidR="003E7A3E" w:rsidRPr="003E7A3E" w:rsidRDefault="003E7A3E" w:rsidP="003E7A3E">
      <w:pPr>
        <w:pStyle w:val="SingleTxtGR"/>
      </w:pPr>
    </w:p>
    <w:p w:rsidR="003E7A3E" w:rsidRPr="003E7A3E" w:rsidRDefault="003E7A3E" w:rsidP="003E7A3E">
      <w:pPr>
        <w:pStyle w:val="SingleTxtGR"/>
      </w:pPr>
      <w:bookmarkStart w:id="15" w:name="bookmark_25"/>
      <w:r w:rsidRPr="003E7A3E">
        <w:t>В итоге МСАГВ предложил следующую поправку, выделенную жирным шрифтом:</w:t>
      </w:r>
      <w:bookmarkEnd w:id="15"/>
    </w:p>
    <w:p w:rsidR="003E7A3E" w:rsidRPr="003E7A3E" w:rsidRDefault="003E7A3E" w:rsidP="003E7A3E">
      <w:pPr>
        <w:pStyle w:val="SingleTxtGR"/>
        <w:rPr>
          <w:i/>
        </w:rPr>
      </w:pPr>
      <w:bookmarkStart w:id="16" w:name="bookmark_26"/>
      <w:r w:rsidRPr="003E7A3E">
        <w:rPr>
          <w:i/>
          <w:iCs/>
        </w:rPr>
        <w:t>«Способность изготовителя или мастерской по техническому обслуживанию или ремонту выполнять сварочные работы должна быть проверена и подтверждена либо компетентным органом, либо назначенным им органом</w:t>
      </w:r>
      <w:r w:rsidRPr="003E7A3E">
        <w:rPr>
          <w:b/>
          <w:bCs/>
          <w:i/>
          <w:iCs/>
        </w:rPr>
        <w:t>, либо, в случае сварки в процессе технического обслуживания,</w:t>
      </w:r>
      <w:r>
        <w:rPr>
          <w:b/>
          <w:bCs/>
          <w:i/>
          <w:iCs/>
        </w:rPr>
        <w:t xml:space="preserve"> </w:t>
      </w:r>
      <w:r w:rsidRPr="002B2B4E">
        <w:rPr>
          <w:b/>
        </w:rPr>
        <w:t>"</w:t>
      </w:r>
      <w:r w:rsidRPr="003E7A3E">
        <w:rPr>
          <w:b/>
          <w:i/>
        </w:rPr>
        <w:t>соответствующим</w:t>
      </w:r>
      <w:r w:rsidRPr="003E7A3E">
        <w:rPr>
          <w:b/>
          <w:bCs/>
          <w:i/>
          <w:iCs/>
        </w:rPr>
        <w:t xml:space="preserve"> проверяющим органом согласно пункту 6.8.2.4.</w:t>
      </w:r>
      <w:r w:rsidRPr="002B2B4E">
        <w:rPr>
          <w:b/>
          <w:bCs/>
          <w:i/>
          <w:iCs/>
        </w:rPr>
        <w:t>5</w:t>
      </w:r>
      <w:r w:rsidRPr="002B2B4E">
        <w:rPr>
          <w:b/>
        </w:rPr>
        <w:t>"</w:t>
      </w:r>
      <w:r>
        <w:t xml:space="preserve">. </w:t>
      </w:r>
      <w:r w:rsidRPr="003E7A3E">
        <w:rPr>
          <w:i/>
          <w:iCs/>
        </w:rPr>
        <w:t>Изготовитель или мастерская по техническому обслуживанию или ремонту должны использовать систему обеспечения качества сварки.».</w:t>
      </w:r>
      <w:bookmarkEnd w:id="16"/>
    </w:p>
    <w:p w:rsidR="003E7A3E" w:rsidRPr="003E7A3E" w:rsidRDefault="003E7A3E" w:rsidP="003E7A3E">
      <w:pPr>
        <w:pStyle w:val="SingleTxtGR"/>
      </w:pPr>
      <w:bookmarkStart w:id="17" w:name="bookmark_27"/>
      <w:r w:rsidRPr="003E7A3E">
        <w:t>4.</w:t>
      </w:r>
      <w:r w:rsidRPr="003E7A3E">
        <w:tab/>
        <w:t>Постоянная рабочая группа приняла к сведению приведенные аргументы, но попросила МСАГВ вновь обсудить данный вопрос в рамках неофициальной рабочей группы, а затем представить официальное предложение Совместному совещанию.</w:t>
      </w:r>
      <w:bookmarkEnd w:id="17"/>
    </w:p>
    <w:p w:rsidR="003E7A3E" w:rsidRPr="003E7A3E" w:rsidRDefault="003E7A3E" w:rsidP="003E7A3E">
      <w:pPr>
        <w:pStyle w:val="SingleTxtGR"/>
      </w:pPr>
      <w:bookmarkStart w:id="18" w:name="bookmark_28"/>
      <w:r w:rsidRPr="003E7A3E">
        <w:t>5.</w:t>
      </w:r>
      <w:r w:rsidRPr="003E7A3E">
        <w:tab/>
        <w:t>Неофициальная рабочая группа поддержала предложение МСАГВ и даже расширила предложенную формулировку следующим образом:</w:t>
      </w:r>
      <w:bookmarkEnd w:id="18"/>
    </w:p>
    <w:p w:rsidR="003E7A3E" w:rsidRPr="003E7A3E" w:rsidRDefault="003E7A3E" w:rsidP="003E7A3E">
      <w:pPr>
        <w:pStyle w:val="SingleTxtGR"/>
        <w:rPr>
          <w:i/>
        </w:rPr>
      </w:pPr>
      <w:bookmarkStart w:id="19" w:name="bookmark_29"/>
      <w:r w:rsidRPr="003E7A3E">
        <w:rPr>
          <w:i/>
          <w:iCs/>
        </w:rPr>
        <w:t>«Способность изготовителя или мастерской по техническому обслуживанию</w:t>
      </w:r>
      <w:r w:rsidRPr="003E7A3E">
        <w:rPr>
          <w:b/>
          <w:bCs/>
          <w:i/>
          <w:iCs/>
        </w:rPr>
        <w:t xml:space="preserve"> в случае модификации или ремонта </w:t>
      </w:r>
      <w:r w:rsidRPr="003E7A3E">
        <w:rPr>
          <w:i/>
          <w:iCs/>
        </w:rPr>
        <w:t xml:space="preserve">выполнять сварочные работы должна быть проверена </w:t>
      </w:r>
      <w:r w:rsidRPr="003E7A3E">
        <w:rPr>
          <w:b/>
          <w:bCs/>
          <w:i/>
          <w:iCs/>
        </w:rPr>
        <w:t>проверяющим органом, осуществляющим соответствующую проверку</w:t>
      </w:r>
      <w:r w:rsidRPr="00E53B79">
        <w:rPr>
          <w:bCs/>
          <w:i/>
          <w:iCs/>
        </w:rPr>
        <w:t>.</w:t>
      </w:r>
      <w:r w:rsidRPr="003E7A3E">
        <w:t xml:space="preserve"> </w:t>
      </w:r>
      <w:r w:rsidRPr="003E7A3E">
        <w:rPr>
          <w:i/>
          <w:iCs/>
        </w:rPr>
        <w:t>Изготовитель или мастерская по техническому обслуживанию</w:t>
      </w:r>
      <w:r w:rsidRPr="003E7A3E">
        <w:rPr>
          <w:b/>
          <w:bCs/>
          <w:i/>
          <w:iCs/>
        </w:rPr>
        <w:t xml:space="preserve">, осуществляющая модификацию или ремонт, </w:t>
      </w:r>
      <w:r w:rsidRPr="003E7A3E">
        <w:rPr>
          <w:i/>
          <w:iCs/>
        </w:rPr>
        <w:t>должны использовать систему</w:t>
      </w:r>
      <w:r w:rsidRPr="003E7A3E">
        <w:rPr>
          <w:b/>
          <w:bCs/>
          <w:i/>
          <w:iCs/>
        </w:rPr>
        <w:t xml:space="preserve"> контроля и </w:t>
      </w:r>
      <w:r w:rsidRPr="003E7A3E">
        <w:rPr>
          <w:i/>
          <w:iCs/>
        </w:rPr>
        <w:t>обеспечения качества сварки.».</w:t>
      </w:r>
      <w:bookmarkEnd w:id="19"/>
    </w:p>
    <w:p w:rsidR="003E7A3E" w:rsidRPr="003E7A3E" w:rsidRDefault="003E7A3E" w:rsidP="003E7A3E">
      <w:pPr>
        <w:pStyle w:val="SingleTxtGR"/>
      </w:pPr>
      <w:bookmarkStart w:id="20" w:name="bookmark_30"/>
      <w:r w:rsidRPr="003E7A3E">
        <w:t>6.</w:t>
      </w:r>
      <w:r w:rsidRPr="003E7A3E">
        <w:tab/>
        <w:t>В основу этого нового предложения положен вывод о том, что ответственность за контроль выполнения надлежащих процедур сварки лежит на проверяющих органах, выполняющих соответствующие задачи, не только в процессе ремонта, но и при испытаниях типа конструкции, первоначальных испытаниях и, разумеется, в случае ремонта. Кроме того, новый пересмотренный вариант стандарта EN 12972, касающийся испытаний и проверки цистерн, содержит гораздо более конкретные требования в отношении сварки и ясно указывает на то, что соответствующие проверяющие органы несут ответственность за выполнение этих требований.</w:t>
      </w:r>
      <w:bookmarkEnd w:id="20"/>
    </w:p>
    <w:p w:rsidR="003E7A3E" w:rsidRPr="003E7A3E" w:rsidRDefault="003E7A3E" w:rsidP="003E7A3E">
      <w:pPr>
        <w:pStyle w:val="SingleTxtGR"/>
      </w:pPr>
      <w:bookmarkStart w:id="21" w:name="bookmark_31"/>
      <w:r w:rsidRPr="003E7A3E">
        <w:t>7.</w:t>
      </w:r>
      <w:r w:rsidRPr="003E7A3E">
        <w:tab/>
        <w:t>МСАГВ согласился представить Совместному совещанию МПОГ/</w:t>
      </w:r>
      <w:r w:rsidR="002B2B4E">
        <w:br/>
      </w:r>
      <w:r w:rsidRPr="003E7A3E">
        <w:t>ДОПОГ/ВОПОГ официальное предложение, отражающее вышесказан</w:t>
      </w:r>
      <w:r w:rsidR="00E53B79">
        <w:t xml:space="preserve">ное, и </w:t>
      </w:r>
      <w:r w:rsidRPr="003E7A3E">
        <w:t>предлагает изменить текст пункта 6.8.2.1.23, согласованный неофициальной рабочей группой на ее совещании в декабре 2017 года, следующим образом:</w:t>
      </w:r>
      <w:bookmarkEnd w:id="21"/>
    </w:p>
    <w:p w:rsidR="003E7A3E" w:rsidRPr="003E7A3E" w:rsidRDefault="003E7A3E" w:rsidP="003E7A3E">
      <w:pPr>
        <w:pStyle w:val="SingleTxtGR"/>
      </w:pPr>
      <w:bookmarkStart w:id="22" w:name="bookmark_32"/>
      <w:r w:rsidRPr="003E7A3E">
        <w:rPr>
          <w:i/>
          <w:iCs/>
        </w:rPr>
        <w:t>«Способность изготовителя или мастерской по техническому обслуживанию</w:t>
      </w:r>
      <w:r w:rsidRPr="003E7A3E">
        <w:rPr>
          <w:b/>
          <w:bCs/>
          <w:i/>
          <w:iCs/>
        </w:rPr>
        <w:t xml:space="preserve"> в случае модификации или ремонта </w:t>
      </w:r>
      <w:r w:rsidRPr="003E7A3E">
        <w:rPr>
          <w:i/>
          <w:iCs/>
        </w:rPr>
        <w:t>выполнять сварочные работы должна быть проверена</w:t>
      </w:r>
      <w:r w:rsidRPr="003E7A3E">
        <w:rPr>
          <w:b/>
          <w:bCs/>
          <w:i/>
          <w:iCs/>
        </w:rPr>
        <w:t xml:space="preserve"> проверяющим органом, осуществляющим соответствующую проверку</w:t>
      </w:r>
      <w:r w:rsidRPr="002B2B4E">
        <w:rPr>
          <w:bCs/>
          <w:i/>
          <w:iCs/>
        </w:rPr>
        <w:t>.</w:t>
      </w:r>
      <w:r w:rsidRPr="003E7A3E">
        <w:rPr>
          <w:b/>
          <w:bCs/>
        </w:rPr>
        <w:t xml:space="preserve"> </w:t>
      </w:r>
      <w:r w:rsidRPr="003E7A3E">
        <w:rPr>
          <w:i/>
          <w:iCs/>
        </w:rPr>
        <w:t>Изготовитель или мастерская по техническому обслуживанию</w:t>
      </w:r>
      <w:r w:rsidRPr="003E7A3E">
        <w:rPr>
          <w:b/>
          <w:bCs/>
          <w:i/>
          <w:iCs/>
        </w:rPr>
        <w:t xml:space="preserve">, осуществляющая модификацию или ремонт, </w:t>
      </w:r>
      <w:r w:rsidRPr="003E7A3E">
        <w:rPr>
          <w:i/>
          <w:iCs/>
        </w:rPr>
        <w:t>должны использовать систему</w:t>
      </w:r>
      <w:r w:rsidRPr="003E7A3E">
        <w:rPr>
          <w:b/>
          <w:bCs/>
          <w:i/>
          <w:iCs/>
        </w:rPr>
        <w:t xml:space="preserve"> контроля и </w:t>
      </w:r>
      <w:r w:rsidRPr="003E7A3E">
        <w:rPr>
          <w:i/>
          <w:iCs/>
        </w:rPr>
        <w:t>обеспечения качества сварки.».</w:t>
      </w:r>
      <w:bookmarkEnd w:id="22"/>
    </w:p>
    <w:p w:rsidR="003E7A3E" w:rsidRPr="002B2B4E" w:rsidRDefault="002B2B4E" w:rsidP="002B2B4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7A3E" w:rsidRPr="002B2B4E" w:rsidSect="003E7A3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0A" w:rsidRPr="00A312BC" w:rsidRDefault="00B02D0A" w:rsidP="00A312BC"/>
  </w:endnote>
  <w:endnote w:type="continuationSeparator" w:id="0">
    <w:p w:rsidR="00B02D0A" w:rsidRPr="00A312BC" w:rsidRDefault="00B02D0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3E" w:rsidRPr="003E7A3E" w:rsidRDefault="003E7A3E">
    <w:pPr>
      <w:pStyle w:val="Footer"/>
    </w:pPr>
    <w:r w:rsidRPr="003E7A3E">
      <w:rPr>
        <w:b/>
        <w:sz w:val="18"/>
      </w:rPr>
      <w:fldChar w:fldCharType="begin"/>
    </w:r>
    <w:r w:rsidRPr="003E7A3E">
      <w:rPr>
        <w:b/>
        <w:sz w:val="18"/>
      </w:rPr>
      <w:instrText xml:space="preserve"> PAGE  \* MERGEFORMAT </w:instrText>
    </w:r>
    <w:r w:rsidRPr="003E7A3E">
      <w:rPr>
        <w:b/>
        <w:sz w:val="18"/>
      </w:rPr>
      <w:fldChar w:fldCharType="separate"/>
    </w:r>
    <w:r w:rsidR="005D5D8D">
      <w:rPr>
        <w:b/>
        <w:noProof/>
        <w:sz w:val="18"/>
      </w:rPr>
      <w:t>2</w:t>
    </w:r>
    <w:r w:rsidRPr="003E7A3E">
      <w:rPr>
        <w:b/>
        <w:sz w:val="18"/>
      </w:rPr>
      <w:fldChar w:fldCharType="end"/>
    </w:r>
    <w:r>
      <w:rPr>
        <w:b/>
        <w:sz w:val="18"/>
      </w:rPr>
      <w:tab/>
    </w:r>
    <w:r>
      <w:t>GE.17-23068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3E" w:rsidRPr="003E7A3E" w:rsidRDefault="003E7A3E" w:rsidP="003E7A3E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GE.17-23068</w:t>
    </w:r>
    <w:r>
      <w:tab/>
    </w:r>
    <w:r w:rsidRPr="003E7A3E">
      <w:rPr>
        <w:b/>
        <w:sz w:val="18"/>
      </w:rPr>
      <w:fldChar w:fldCharType="begin"/>
    </w:r>
    <w:r w:rsidRPr="003E7A3E">
      <w:rPr>
        <w:b/>
        <w:sz w:val="18"/>
      </w:rPr>
      <w:instrText xml:space="preserve"> PAGE  \* MERGEFORMAT </w:instrText>
    </w:r>
    <w:r w:rsidRPr="003E7A3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E7A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E7A3E" w:rsidRDefault="003E7A3E" w:rsidP="003E7A3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4242480" wp14:editId="39990C0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17-23068  (R)</w:t>
    </w:r>
    <w:r w:rsidR="002B2B4E">
      <w:t xml:space="preserve">  150118  150118</w:t>
    </w:r>
    <w:r>
      <w:br/>
    </w:r>
    <w:r w:rsidRPr="003E7A3E">
      <w:rPr>
        <w:rFonts w:ascii="C39T30Lfz" w:hAnsi="C39T30Lfz"/>
        <w:spacing w:val="0"/>
        <w:w w:val="100"/>
        <w:sz w:val="56"/>
      </w:rPr>
      <w:t></w:t>
    </w:r>
    <w:r w:rsidRPr="003E7A3E">
      <w:rPr>
        <w:rFonts w:ascii="C39T30Lfz" w:hAnsi="C39T30Lfz"/>
        <w:spacing w:val="0"/>
        <w:w w:val="100"/>
        <w:sz w:val="56"/>
      </w:rPr>
      <w:t></w:t>
    </w:r>
    <w:r w:rsidRPr="003E7A3E">
      <w:rPr>
        <w:rFonts w:ascii="C39T30Lfz" w:hAnsi="C39T30Lfz"/>
        <w:spacing w:val="0"/>
        <w:w w:val="100"/>
        <w:sz w:val="56"/>
      </w:rPr>
      <w:t></w:t>
    </w:r>
    <w:r w:rsidRPr="003E7A3E">
      <w:rPr>
        <w:rFonts w:ascii="C39T30Lfz" w:hAnsi="C39T30Lfz"/>
        <w:spacing w:val="0"/>
        <w:w w:val="100"/>
        <w:sz w:val="56"/>
      </w:rPr>
      <w:t></w:t>
    </w:r>
    <w:r w:rsidRPr="003E7A3E">
      <w:rPr>
        <w:rFonts w:ascii="C39T30Lfz" w:hAnsi="C39T30Lfz"/>
        <w:spacing w:val="0"/>
        <w:w w:val="100"/>
        <w:sz w:val="56"/>
      </w:rPr>
      <w:t></w:t>
    </w:r>
    <w:r w:rsidRPr="003E7A3E">
      <w:rPr>
        <w:rFonts w:ascii="C39T30Lfz" w:hAnsi="C39T30Lfz"/>
        <w:spacing w:val="0"/>
        <w:w w:val="100"/>
        <w:sz w:val="56"/>
      </w:rPr>
      <w:t></w:t>
    </w:r>
    <w:r w:rsidRPr="003E7A3E">
      <w:rPr>
        <w:rFonts w:ascii="C39T30Lfz" w:hAnsi="C39T30Lfz"/>
        <w:spacing w:val="0"/>
        <w:w w:val="100"/>
        <w:sz w:val="56"/>
      </w:rPr>
      <w:t></w:t>
    </w:r>
    <w:r w:rsidRPr="003E7A3E">
      <w:rPr>
        <w:rFonts w:ascii="C39T30Lfz" w:hAnsi="C39T30Lfz"/>
        <w:spacing w:val="0"/>
        <w:w w:val="100"/>
        <w:sz w:val="56"/>
      </w:rPr>
      <w:t></w:t>
    </w:r>
    <w:r w:rsidRPr="003E7A3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AC.1/2018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0A" w:rsidRPr="001075E9" w:rsidRDefault="00B02D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02D0A" w:rsidRDefault="00B02D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E7A3E" w:rsidRPr="001E185C" w:rsidRDefault="003E7A3E" w:rsidP="003E7A3E">
      <w:pPr>
        <w:pStyle w:val="FootnoteText"/>
        <w:rPr>
          <w:lang w:val="ru-RU"/>
        </w:rPr>
      </w:pPr>
      <w:bookmarkStart w:id="8" w:name="footnoteBookmark_18"/>
      <w:r>
        <w:rPr>
          <w:lang w:val="ru-RU"/>
        </w:rPr>
        <w:tab/>
      </w:r>
      <w:r w:rsidRPr="003E7A3E">
        <w:rPr>
          <w:sz w:val="20"/>
          <w:lang w:val="ru-RU"/>
        </w:rPr>
        <w:t>*</w:t>
      </w:r>
      <w:r>
        <w:rPr>
          <w:lang w:val="ru-RU"/>
        </w:rPr>
        <w:t xml:space="preserve"> </w:t>
      </w:r>
      <w:r>
        <w:rPr>
          <w:lang w:val="ru-RU"/>
        </w:rPr>
        <w:tab/>
        <w:t>В соответствии с проектом программы работы Комитета по внутреннему транспорту на 2018–2019 годы (ECE/TRANS/WP.15/237, приложение V (9.2)).</w:t>
      </w:r>
      <w:bookmarkEnd w:id="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3E" w:rsidRPr="003E7A3E" w:rsidRDefault="005D5D8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D2C5E">
      <w:t>ECE/TRANS/WP.15/AC.1/2018/9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3E" w:rsidRPr="003E7A3E" w:rsidRDefault="005D5D8D" w:rsidP="003E7A3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D2C5E">
      <w:t>ECE/TRANS/WP.15/AC.1/2018/9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CF349BD"/>
    <w:multiLevelType w:val="singleLevel"/>
    <w:tmpl w:val="51D4BF5A"/>
    <w:lvl w:ilvl="0">
      <w:start w:val="1"/>
      <w:numFmt w:val="lowerRoman"/>
      <w:lvlText w:val="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0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2C5E"/>
    <w:rsid w:val="00226384"/>
    <w:rsid w:val="00255343"/>
    <w:rsid w:val="0027151D"/>
    <w:rsid w:val="002A2EFC"/>
    <w:rsid w:val="002B0106"/>
    <w:rsid w:val="002B2B4E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7A3E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5D8D"/>
    <w:rsid w:val="005D7914"/>
    <w:rsid w:val="005E2B41"/>
    <w:rsid w:val="005F0B42"/>
    <w:rsid w:val="006345DB"/>
    <w:rsid w:val="00640F49"/>
    <w:rsid w:val="00675C0E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02D0A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53B7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E05E20-4DB5-48EE-A1AE-CB9AEFF9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3E7A3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ECE/TRANS/WP.15/AC.1/2018/9</vt:lpstr>
      <vt:lpstr>ECE/TRANS/WP.15/AC.1/2018/9</vt:lpstr>
      <vt:lpstr>A/</vt:lpstr>
    </vt:vector>
  </TitlesOfParts>
  <Company>DCM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ECE/TRANS/WP.15/AC.1/2018/9</dc:title>
  <dc:subject/>
  <dc:creator>Marina Korotkova</dc:creator>
  <cp:keywords/>
  <cp:lastModifiedBy>Christine Barrio-Champeau</cp:lastModifiedBy>
  <cp:revision>2</cp:revision>
  <cp:lastPrinted>2018-01-15T10:30:00Z</cp:lastPrinted>
  <dcterms:created xsi:type="dcterms:W3CDTF">2018-01-15T13:07:00Z</dcterms:created>
  <dcterms:modified xsi:type="dcterms:W3CDTF">2018-01-15T13:07:00Z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