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AC0D4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C85" w:rsidRPr="00AC0D47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C85" w:rsidRPr="00AC0D47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C0D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C85" w:rsidRPr="00AC0D47" w:rsidRDefault="002B0C85" w:rsidP="00BA7C17">
            <w:pPr>
              <w:suppressAutoHyphens w:val="0"/>
              <w:spacing w:after="20"/>
              <w:jc w:val="right"/>
            </w:pPr>
            <w:r w:rsidRPr="00AC0D47">
              <w:rPr>
                <w:sz w:val="40"/>
              </w:rPr>
              <w:t>ECE</w:t>
            </w:r>
            <w:r w:rsidR="00C17E19">
              <w:t>/TRANS/WP.15/AC.2/201</w:t>
            </w:r>
            <w:r w:rsidR="00AE635C">
              <w:t>8</w:t>
            </w:r>
            <w:r w:rsidRPr="00AC0D47">
              <w:t>/</w:t>
            </w:r>
            <w:r w:rsidR="00AE635C">
              <w:t>25</w:t>
            </w:r>
          </w:p>
        </w:tc>
      </w:tr>
      <w:tr w:rsidR="002B0C85" w:rsidRPr="00DB4BEA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0C85" w:rsidRPr="00AC0D47" w:rsidRDefault="00AB3EF4" w:rsidP="002B0C8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0C85" w:rsidRPr="00AC0D47" w:rsidRDefault="002B0C85" w:rsidP="002B0C85">
            <w:pPr>
              <w:spacing w:before="120" w:line="420" w:lineRule="exact"/>
              <w:rPr>
                <w:sz w:val="40"/>
                <w:szCs w:val="40"/>
              </w:rPr>
            </w:pPr>
            <w:proofErr w:type="spellStart"/>
            <w:r w:rsidRPr="00AC0D47">
              <w:rPr>
                <w:b/>
                <w:sz w:val="40"/>
                <w:szCs w:val="40"/>
              </w:rPr>
              <w:t>Economic</w:t>
            </w:r>
            <w:proofErr w:type="spellEnd"/>
            <w:r w:rsidRPr="00AC0D47">
              <w:rPr>
                <w:b/>
                <w:sz w:val="40"/>
                <w:szCs w:val="40"/>
              </w:rPr>
              <w:t xml:space="preserve">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0C85" w:rsidRPr="00C17E19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C17E19">
              <w:rPr>
                <w:lang w:val="en-GB"/>
              </w:rPr>
              <w:t>Distr.: General</w:t>
            </w:r>
          </w:p>
          <w:p w:rsidR="002B0C85" w:rsidRPr="00C17E19" w:rsidRDefault="00AE635C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C779D3">
              <w:rPr>
                <w:lang w:val="en-GB"/>
              </w:rPr>
              <w:t xml:space="preserve"> </w:t>
            </w:r>
            <w:r w:rsidR="00225F10">
              <w:rPr>
                <w:lang w:val="en-GB"/>
              </w:rPr>
              <w:t>June</w:t>
            </w:r>
            <w:r w:rsidR="002B0C85" w:rsidRPr="00C17E19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</w:p>
          <w:p w:rsidR="002B0C85" w:rsidRPr="00C17E19" w:rsidRDefault="002B0C85" w:rsidP="002B0C85">
            <w:pPr>
              <w:suppressAutoHyphens w:val="0"/>
              <w:rPr>
                <w:lang w:val="en-GB"/>
              </w:rPr>
            </w:pPr>
            <w:r w:rsidRPr="00C17E19">
              <w:rPr>
                <w:lang w:val="en-GB"/>
              </w:rPr>
              <w:t>English</w:t>
            </w:r>
          </w:p>
          <w:p w:rsidR="002B0C85" w:rsidRPr="00C17E19" w:rsidRDefault="002B0C85" w:rsidP="002B0C85">
            <w:pPr>
              <w:suppressAutoHyphens w:val="0"/>
              <w:rPr>
                <w:lang w:val="en-GB"/>
              </w:rPr>
            </w:pPr>
            <w:r w:rsidRPr="00C17E19">
              <w:rPr>
                <w:lang w:val="en-GB"/>
              </w:rPr>
              <w:t>Original: English and French</w:t>
            </w:r>
          </w:p>
        </w:tc>
      </w:tr>
    </w:tbl>
    <w:p w:rsidR="002B0C85" w:rsidRPr="002B0C85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2B0C85">
        <w:rPr>
          <w:b/>
          <w:sz w:val="28"/>
          <w:szCs w:val="28"/>
          <w:lang w:val="en-GB"/>
        </w:rPr>
        <w:t>Economic Commission for Europe</w:t>
      </w:r>
    </w:p>
    <w:p w:rsidR="002B0C85" w:rsidRPr="002B0C85" w:rsidRDefault="002B0C85" w:rsidP="002B0C85">
      <w:pPr>
        <w:spacing w:before="120"/>
        <w:rPr>
          <w:sz w:val="28"/>
          <w:szCs w:val="28"/>
          <w:lang w:val="en-GB"/>
        </w:rPr>
      </w:pPr>
      <w:r w:rsidRPr="002B0C85">
        <w:rPr>
          <w:sz w:val="28"/>
          <w:szCs w:val="28"/>
          <w:lang w:val="en-GB"/>
        </w:rPr>
        <w:t>Inland Transport Committee</w:t>
      </w:r>
    </w:p>
    <w:p w:rsidR="002B0C85" w:rsidRPr="002B0C85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2B0C85">
        <w:rPr>
          <w:b/>
          <w:sz w:val="24"/>
          <w:szCs w:val="24"/>
          <w:lang w:val="en-GB"/>
        </w:rPr>
        <w:t>Working Party on the Transport of Dangerous Goods</w:t>
      </w:r>
    </w:p>
    <w:p w:rsidR="002B0C85" w:rsidRPr="002B0C85" w:rsidRDefault="002B0C85" w:rsidP="002B0C85">
      <w:pPr>
        <w:spacing w:before="120"/>
        <w:rPr>
          <w:b/>
          <w:lang w:val="en-GB"/>
        </w:rPr>
      </w:pPr>
      <w:r w:rsidRPr="002B0C85">
        <w:rPr>
          <w:b/>
          <w:lang w:val="en-GB"/>
        </w:rPr>
        <w:t xml:space="preserve">Joint Meeting of Experts on the Regulations annexed to the </w:t>
      </w:r>
      <w:r w:rsidRPr="002B0C85">
        <w:rPr>
          <w:b/>
          <w:lang w:val="en-GB"/>
        </w:rPr>
        <w:br/>
        <w:t xml:space="preserve">European Agreement concerning the International Carriage </w:t>
      </w:r>
      <w:r w:rsidRPr="002B0C85">
        <w:rPr>
          <w:b/>
          <w:lang w:val="en-GB"/>
        </w:rPr>
        <w:br/>
        <w:t>of Dangerous Goods by Inland Waterways (ADN)</w:t>
      </w:r>
    </w:p>
    <w:p w:rsidR="002B0C85" w:rsidRPr="002B0C85" w:rsidRDefault="002B0C85" w:rsidP="002B0C85">
      <w:pPr>
        <w:rPr>
          <w:b/>
          <w:lang w:val="en-GB"/>
        </w:rPr>
      </w:pPr>
      <w:r w:rsidRPr="002B0C85">
        <w:rPr>
          <w:b/>
          <w:lang w:val="en-GB"/>
        </w:rPr>
        <w:t>(ADN Safety Committee)</w:t>
      </w:r>
    </w:p>
    <w:p w:rsidR="00DB4BEA" w:rsidRPr="00281D82" w:rsidRDefault="00DB4BEA" w:rsidP="00DB4BEA">
      <w:pPr>
        <w:spacing w:before="120"/>
        <w:rPr>
          <w:b/>
          <w:lang w:val="en-GB"/>
        </w:rPr>
      </w:pPr>
      <w:r w:rsidRPr="00281D82">
        <w:rPr>
          <w:b/>
          <w:lang w:val="en-GB"/>
        </w:rPr>
        <w:t>Thirty-third session</w:t>
      </w:r>
    </w:p>
    <w:p w:rsidR="00DB4BEA" w:rsidRPr="00281D82" w:rsidRDefault="00DB4BEA" w:rsidP="00DB4BEA">
      <w:pPr>
        <w:rPr>
          <w:lang w:val="en-GB"/>
        </w:rPr>
      </w:pPr>
      <w:r w:rsidRPr="00281D82">
        <w:rPr>
          <w:lang w:val="en-GB"/>
        </w:rPr>
        <w:t>Geneva, 27–31</w:t>
      </w:r>
      <w:r>
        <w:rPr>
          <w:lang w:val="en-GB"/>
        </w:rPr>
        <w:t xml:space="preserve"> </w:t>
      </w:r>
      <w:r w:rsidRPr="00281D82">
        <w:rPr>
          <w:lang w:val="en-GB"/>
        </w:rPr>
        <w:t>August 2018</w:t>
      </w:r>
    </w:p>
    <w:p w:rsidR="00DB4BEA" w:rsidRPr="00281D82" w:rsidRDefault="00DB4BEA" w:rsidP="00DB4BEA">
      <w:pPr>
        <w:rPr>
          <w:lang w:val="en-GB"/>
        </w:rPr>
      </w:pPr>
      <w:r w:rsidRPr="00281D82">
        <w:rPr>
          <w:lang w:val="en-GB"/>
        </w:rPr>
        <w:t>Item 4 (a) of the provisional agenda</w:t>
      </w:r>
    </w:p>
    <w:p w:rsidR="00DB4BEA" w:rsidRPr="002B0C85" w:rsidRDefault="00DB4BEA" w:rsidP="00DB4BEA">
      <w:pPr>
        <w:rPr>
          <w:b/>
          <w:lang w:val="en-GB"/>
        </w:rPr>
      </w:pPr>
      <w:r w:rsidRPr="002B0C85">
        <w:rPr>
          <w:b/>
          <w:lang w:val="en-GB"/>
        </w:rPr>
        <w:t>Proposals for amendments to the Regulations annexed to ADN:</w:t>
      </w:r>
    </w:p>
    <w:p w:rsidR="00DB4BEA" w:rsidRPr="002B0C85" w:rsidRDefault="00DB4BEA" w:rsidP="00DB4BEA">
      <w:pPr>
        <w:rPr>
          <w:b/>
          <w:lang w:val="en-GB"/>
        </w:rPr>
      </w:pPr>
      <w:r>
        <w:rPr>
          <w:b/>
          <w:lang w:val="en-GB"/>
        </w:rPr>
        <w:t>work of the RID/ADR/ADN Joint Meeting</w:t>
      </w:r>
    </w:p>
    <w:p w:rsidR="002B0C85" w:rsidRPr="00D2281D" w:rsidRDefault="002B0C85" w:rsidP="00C779D3">
      <w:pPr>
        <w:pStyle w:val="HChG"/>
        <w:rPr>
          <w:lang w:val="en-US"/>
        </w:rPr>
      </w:pPr>
      <w:r w:rsidRPr="002B0C85">
        <w:rPr>
          <w:lang w:val="en-GB"/>
        </w:rPr>
        <w:tab/>
      </w:r>
      <w:r w:rsidRPr="002B0C85">
        <w:rPr>
          <w:lang w:val="en-GB"/>
        </w:rPr>
        <w:tab/>
      </w:r>
      <w:r w:rsidRPr="00D2281D">
        <w:rPr>
          <w:lang w:val="en-US"/>
        </w:rPr>
        <w:t>European Agreement concerning the International Carriage of Dangerous Goods by Inland Waterways (ADN)</w:t>
      </w:r>
    </w:p>
    <w:p w:rsidR="002B0C85" w:rsidRPr="00D2281D" w:rsidRDefault="002B0C85" w:rsidP="00C779D3">
      <w:pPr>
        <w:pStyle w:val="H1G"/>
        <w:rPr>
          <w:lang w:val="en-US"/>
        </w:rPr>
      </w:pPr>
      <w:r w:rsidRPr="00D2281D">
        <w:rPr>
          <w:lang w:val="en-US"/>
        </w:rPr>
        <w:tab/>
      </w:r>
      <w:r w:rsidRPr="00D2281D">
        <w:rPr>
          <w:lang w:val="en-US"/>
        </w:rPr>
        <w:tab/>
      </w:r>
      <w:r w:rsidR="0023044C" w:rsidRPr="00D2281D">
        <w:rPr>
          <w:lang w:val="en-US"/>
        </w:rPr>
        <w:t>Corrections to proposed amendments in ECE/ADN/</w:t>
      </w:r>
      <w:r w:rsidR="00DB4BEA">
        <w:rPr>
          <w:lang w:val="en-US"/>
        </w:rPr>
        <w:t>45</w:t>
      </w:r>
    </w:p>
    <w:p w:rsidR="00160D0D" w:rsidRDefault="002B0C85" w:rsidP="00160D0D">
      <w:pPr>
        <w:pStyle w:val="H1G"/>
        <w:rPr>
          <w:lang w:val="en-US"/>
        </w:rPr>
      </w:pPr>
      <w:r w:rsidRPr="00D2281D">
        <w:rPr>
          <w:lang w:val="en-US"/>
        </w:rPr>
        <w:tab/>
      </w:r>
      <w:r w:rsidRPr="00D2281D">
        <w:rPr>
          <w:lang w:val="en-US"/>
        </w:rPr>
        <w:tab/>
        <w:t>Note by the secretariat</w:t>
      </w:r>
      <w:bookmarkStart w:id="0" w:name="OLE_LINK1"/>
      <w:proofErr w:type="gramStart"/>
      <w:r w:rsidR="00160D0D" w:rsidRPr="00E5539D">
        <w:rPr>
          <w:bCs/>
          <w:szCs w:val="24"/>
          <w:vertAlign w:val="superscript"/>
          <w:lang w:val="en-US"/>
        </w:rPr>
        <w:footnoteReference w:customMarkFollows="1" w:id="2"/>
        <w:t>*,</w:t>
      </w:r>
      <w:r w:rsidR="00160D0D" w:rsidRPr="00053A02">
        <w:rPr>
          <w:bCs/>
          <w:vertAlign w:val="superscript"/>
          <w:lang w:val="en-US"/>
        </w:rPr>
        <w:footnoteReference w:customMarkFollows="1" w:id="3"/>
        <w:t>*</w:t>
      </w:r>
      <w:proofErr w:type="gramEnd"/>
      <w:r w:rsidR="00160D0D" w:rsidRPr="00053A02">
        <w:rPr>
          <w:bCs/>
          <w:vertAlign w:val="superscript"/>
          <w:lang w:val="en-US"/>
        </w:rPr>
        <w:t>*</w:t>
      </w:r>
    </w:p>
    <w:p w:rsidR="002B0C85" w:rsidRPr="002B0C85" w:rsidRDefault="002B0C85" w:rsidP="00E5539D">
      <w:pPr>
        <w:pStyle w:val="H1G"/>
        <w:rPr>
          <w:lang w:val="en-GB"/>
        </w:rPr>
      </w:pPr>
      <w:r w:rsidRPr="002B0C85">
        <w:rPr>
          <w:lang w:val="en-GB"/>
        </w:rPr>
        <w:tab/>
      </w:r>
      <w:r w:rsidRPr="002B0C85">
        <w:rPr>
          <w:lang w:val="en-GB"/>
        </w:rPr>
        <w:tab/>
      </w:r>
      <w:r w:rsidRPr="00DB4BEA">
        <w:rPr>
          <w:lang w:val="en-GB"/>
        </w:rPr>
        <w:t>Introduction</w:t>
      </w:r>
    </w:p>
    <w:p w:rsidR="00802B5E" w:rsidRPr="00802B5E" w:rsidRDefault="003778FF" w:rsidP="00F524BE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802B5E" w:rsidRPr="00802B5E">
        <w:rPr>
          <w:lang w:val="en-GB"/>
        </w:rPr>
        <w:t>The Safety Committee may wish to consider the work of the RID/ADR/ADN Joint Meeting at its spring 201</w:t>
      </w:r>
      <w:r w:rsidR="00DB4BEA">
        <w:rPr>
          <w:lang w:val="en-GB"/>
        </w:rPr>
        <w:t>8</w:t>
      </w:r>
      <w:r w:rsidR="00802B5E" w:rsidRPr="00802B5E">
        <w:rPr>
          <w:lang w:val="en-GB"/>
        </w:rPr>
        <w:t xml:space="preserve"> </w:t>
      </w:r>
      <w:r w:rsidR="00802B5E" w:rsidRPr="00F524BE">
        <w:rPr>
          <w:lang w:val="en-GB"/>
        </w:rPr>
        <w:t>session</w:t>
      </w:r>
      <w:r w:rsidR="00802B5E" w:rsidRPr="00802B5E">
        <w:rPr>
          <w:lang w:val="en-GB"/>
        </w:rPr>
        <w:t xml:space="preserve"> (ECE/TRANS/WP.15/AC.1/</w:t>
      </w:r>
      <w:r w:rsidR="00AE635C">
        <w:rPr>
          <w:lang w:val="en-GB"/>
        </w:rPr>
        <w:t>150</w:t>
      </w:r>
      <w:r w:rsidR="00F524BE">
        <w:rPr>
          <w:lang w:val="en-GB"/>
        </w:rPr>
        <w:t>).</w:t>
      </w:r>
    </w:p>
    <w:p w:rsidR="00BA7C17" w:rsidRDefault="003778FF" w:rsidP="00BA7C17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AE635C" w:rsidRPr="002F6E51">
        <w:rPr>
          <w:lang w:val="en-GB"/>
        </w:rPr>
        <w:t xml:space="preserve">At its </w:t>
      </w:r>
      <w:r w:rsidR="00AE635C">
        <w:rPr>
          <w:lang w:val="en-GB"/>
        </w:rPr>
        <w:t>104</w:t>
      </w:r>
      <w:r w:rsidR="00AE635C" w:rsidRPr="00447B86">
        <w:rPr>
          <w:lang w:val="en-GB"/>
        </w:rPr>
        <w:t>th</w:t>
      </w:r>
      <w:r w:rsidR="00AE635C">
        <w:rPr>
          <w:lang w:val="en-GB"/>
        </w:rPr>
        <w:t xml:space="preserve"> </w:t>
      </w:r>
      <w:r w:rsidR="00AE635C" w:rsidRPr="002F6E51">
        <w:rPr>
          <w:lang w:val="en-GB"/>
        </w:rPr>
        <w:t xml:space="preserve">session in </w:t>
      </w:r>
      <w:r w:rsidR="00AE635C">
        <w:rPr>
          <w:lang w:val="en-GB"/>
        </w:rPr>
        <w:t xml:space="preserve">May </w:t>
      </w:r>
      <w:r w:rsidR="00AE635C" w:rsidRPr="002F6E51">
        <w:rPr>
          <w:lang w:val="en-GB"/>
        </w:rPr>
        <w:t>201</w:t>
      </w:r>
      <w:r w:rsidR="00AE635C">
        <w:rPr>
          <w:lang w:val="en-GB"/>
        </w:rPr>
        <w:t>8</w:t>
      </w:r>
      <w:r w:rsidR="00AE635C" w:rsidRPr="002F6E51">
        <w:rPr>
          <w:lang w:val="en-GB"/>
        </w:rPr>
        <w:t>, the Working Party on the Tran</w:t>
      </w:r>
      <w:r w:rsidR="00AE635C">
        <w:rPr>
          <w:lang w:val="en-GB"/>
        </w:rPr>
        <w:t>sport of Dangerous Goods (WP.15</w:t>
      </w:r>
      <w:r w:rsidR="002B0C85" w:rsidRPr="002B0C85">
        <w:rPr>
          <w:lang w:val="en-GB"/>
        </w:rPr>
        <w:t xml:space="preserve">) </w:t>
      </w:r>
      <w:r w:rsidR="00BA7C17" w:rsidRPr="00BA7C17">
        <w:rPr>
          <w:lang w:val="en-GB"/>
        </w:rPr>
        <w:t xml:space="preserve">adopted </w:t>
      </w:r>
      <w:r w:rsidR="001644BC">
        <w:rPr>
          <w:lang w:val="en-GB"/>
        </w:rPr>
        <w:t>amendments</w:t>
      </w:r>
      <w:r w:rsidR="00BA7C17">
        <w:rPr>
          <w:lang w:val="en-GB"/>
        </w:rPr>
        <w:t xml:space="preserve"> </w:t>
      </w:r>
      <w:r w:rsidR="00BA7C17" w:rsidRPr="00BA7C17">
        <w:rPr>
          <w:lang w:val="en-GB"/>
        </w:rPr>
        <w:t xml:space="preserve">to modify or supplement </w:t>
      </w:r>
      <w:r w:rsidR="001644BC">
        <w:rPr>
          <w:lang w:val="en-GB"/>
        </w:rPr>
        <w:t>those</w:t>
      </w:r>
      <w:r w:rsidR="00BA7C17" w:rsidRPr="00BA7C17">
        <w:rPr>
          <w:lang w:val="en-GB"/>
        </w:rPr>
        <w:t xml:space="preserve"> adopted at the previous session (see ECE/TRANS/WP.15/2</w:t>
      </w:r>
      <w:r w:rsidR="00AE635C">
        <w:rPr>
          <w:lang w:val="en-GB"/>
        </w:rPr>
        <w:t>40</w:t>
      </w:r>
      <w:r w:rsidR="00BA7C17" w:rsidRPr="00BA7C17">
        <w:rPr>
          <w:lang w:val="en-GB"/>
        </w:rPr>
        <w:t>).</w:t>
      </w:r>
      <w:r w:rsidR="00BA7C17">
        <w:rPr>
          <w:lang w:val="en-GB"/>
        </w:rPr>
        <w:t xml:space="preserve"> </w:t>
      </w:r>
      <w:r w:rsidR="001644BC">
        <w:rPr>
          <w:lang w:val="en-GB"/>
        </w:rPr>
        <w:t>They</w:t>
      </w:r>
      <w:r w:rsidR="00BA7C17" w:rsidRPr="00BA7C17">
        <w:rPr>
          <w:lang w:val="en-GB"/>
        </w:rPr>
        <w:t xml:space="preserve"> are reproduced in document ECE/TRANS/WP.15/2</w:t>
      </w:r>
      <w:r w:rsidR="00AE635C">
        <w:rPr>
          <w:lang w:val="en-GB"/>
        </w:rPr>
        <w:t>40</w:t>
      </w:r>
      <w:r w:rsidR="00BA7C17" w:rsidRPr="00BA7C17">
        <w:rPr>
          <w:lang w:val="en-GB"/>
        </w:rPr>
        <w:t>/Corr.1.</w:t>
      </w:r>
    </w:p>
    <w:p w:rsidR="00BA7C17" w:rsidRPr="00BA7C17" w:rsidRDefault="00BA7C17" w:rsidP="00BA7C17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2F6E51">
        <w:rPr>
          <w:lang w:val="en-GB"/>
        </w:rPr>
        <w:t xml:space="preserve">The present document contains </w:t>
      </w:r>
      <w:r w:rsidR="00DA30DD">
        <w:rPr>
          <w:lang w:val="en-GB"/>
        </w:rPr>
        <w:t xml:space="preserve">among others </w:t>
      </w:r>
      <w:r w:rsidRPr="002F6E51">
        <w:rPr>
          <w:lang w:val="en-GB"/>
        </w:rPr>
        <w:t xml:space="preserve">the </w:t>
      </w:r>
      <w:r>
        <w:rPr>
          <w:lang w:val="en-GB"/>
        </w:rPr>
        <w:t>corrections</w:t>
      </w:r>
      <w:r w:rsidRPr="002F6E51">
        <w:rPr>
          <w:lang w:val="en-GB"/>
        </w:rPr>
        <w:t xml:space="preserve"> which are also relevant for </w:t>
      </w:r>
      <w:r>
        <w:rPr>
          <w:lang w:val="en-GB"/>
        </w:rPr>
        <w:t>document ECE/</w:t>
      </w:r>
      <w:r w:rsidRPr="002F6E51">
        <w:rPr>
          <w:lang w:val="en-GB"/>
        </w:rPr>
        <w:t>ADN</w:t>
      </w:r>
      <w:r>
        <w:rPr>
          <w:lang w:val="en-GB"/>
        </w:rPr>
        <w:t>/</w:t>
      </w:r>
      <w:r w:rsidR="00AE635C">
        <w:rPr>
          <w:lang w:val="en-GB"/>
        </w:rPr>
        <w:t>45</w:t>
      </w:r>
      <w:r w:rsidRPr="002F6E51">
        <w:rPr>
          <w:lang w:val="en-GB"/>
        </w:rPr>
        <w:t>.</w:t>
      </w:r>
    </w:p>
    <w:bookmarkEnd w:id="0"/>
    <w:p w:rsidR="00802B5E" w:rsidRDefault="00802B5E" w:rsidP="00E5539D">
      <w:pPr>
        <w:pStyle w:val="H1G"/>
        <w:rPr>
          <w:lang w:val="en-GB"/>
        </w:rPr>
      </w:pPr>
      <w:r>
        <w:rPr>
          <w:lang w:val="en-GB"/>
        </w:rPr>
        <w:lastRenderedPageBreak/>
        <w:tab/>
      </w:r>
      <w:r w:rsidR="00BA7C17">
        <w:rPr>
          <w:lang w:val="en-GB"/>
        </w:rPr>
        <w:tab/>
        <w:t>Corrections</w:t>
      </w:r>
      <w:r w:rsidR="00BA7C17" w:rsidRPr="002F6E51">
        <w:rPr>
          <w:lang w:val="en-GB"/>
        </w:rPr>
        <w:t xml:space="preserve"> </w:t>
      </w:r>
      <w:r w:rsidR="003B3C3D">
        <w:rPr>
          <w:lang w:val="en-GB"/>
        </w:rPr>
        <w:t>to</w:t>
      </w:r>
      <w:r w:rsidR="00BA7C17" w:rsidRPr="002F6E51">
        <w:rPr>
          <w:lang w:val="en-GB"/>
        </w:rPr>
        <w:t xml:space="preserve"> </w:t>
      </w:r>
      <w:r w:rsidR="001644BC">
        <w:rPr>
          <w:lang w:val="en-GB"/>
        </w:rPr>
        <w:t xml:space="preserve">proposed amendments in </w:t>
      </w:r>
      <w:r w:rsidR="00BA7C17">
        <w:rPr>
          <w:lang w:val="en-GB"/>
        </w:rPr>
        <w:t>ECE/</w:t>
      </w:r>
      <w:r w:rsidR="00BA7C17" w:rsidRPr="00DB4BEA">
        <w:rPr>
          <w:lang w:val="en-GB"/>
        </w:rPr>
        <w:t>ADN</w:t>
      </w:r>
      <w:r w:rsidR="00BA7C17">
        <w:rPr>
          <w:lang w:val="en-GB"/>
        </w:rPr>
        <w:t>/</w:t>
      </w:r>
      <w:r w:rsidR="00AE635C">
        <w:rPr>
          <w:lang w:val="en-GB"/>
        </w:rPr>
        <w:t>45</w:t>
      </w:r>
    </w:p>
    <w:p w:rsidR="00702F81" w:rsidRPr="00702F81" w:rsidRDefault="00702F81" w:rsidP="00702F81">
      <w:pPr>
        <w:pStyle w:val="H23G"/>
        <w:rPr>
          <w:lang w:val="en-GB"/>
        </w:rPr>
      </w:pPr>
      <w:r w:rsidRPr="00110B57">
        <w:tab/>
      </w:r>
      <w:r>
        <w:rPr>
          <w:lang w:val="en-GB"/>
        </w:rPr>
        <w:t>1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1.6, new transitional measure 1.6.1.44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lang w:val="en-GB"/>
        </w:rPr>
        <w:t>Not applicable to English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  <w:t>2.</w:t>
      </w:r>
      <w:r w:rsidRPr="00702F81">
        <w:rPr>
          <w:lang w:val="en-GB"/>
        </w:rPr>
        <w:tab/>
        <w:t>Chapter 1.6, 1.6.7.2.2, Gas detector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>For</w:t>
      </w:r>
      <w:r w:rsidRPr="00702F81">
        <w:rPr>
          <w:lang w:val="en-GB"/>
        </w:rPr>
        <w:t xml:space="preserve"> IEC 60079-29-1:2011 </w:t>
      </w:r>
      <w:r w:rsidRPr="00702F81">
        <w:rPr>
          <w:i/>
          <w:iCs/>
          <w:lang w:val="en-GB"/>
        </w:rPr>
        <w:t>read</w:t>
      </w:r>
      <w:r w:rsidRPr="00702F81">
        <w:rPr>
          <w:lang w:val="en-GB"/>
        </w:rPr>
        <w:t xml:space="preserve"> IEC 60079-29-1:2016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3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1.8, am</w:t>
      </w:r>
      <w:bookmarkStart w:id="1" w:name="_GoBack"/>
      <w:bookmarkEnd w:id="1"/>
      <w:r w:rsidRPr="00702F81">
        <w:rPr>
          <w:lang w:val="en-GB"/>
        </w:rPr>
        <w:t>endment to 1.8.3.1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lang w:val="en-GB"/>
        </w:rPr>
        <w:t xml:space="preserve">For the existing text </w:t>
      </w:r>
      <w:r w:rsidRPr="00702F81">
        <w:rPr>
          <w:i/>
          <w:iCs/>
          <w:lang w:val="en-GB"/>
        </w:rPr>
        <w:t>substitute:</w:t>
      </w:r>
    </w:p>
    <w:p w:rsidR="00702F81" w:rsidRPr="00702F81" w:rsidRDefault="00702F81" w:rsidP="00702F81">
      <w:pPr>
        <w:pStyle w:val="SingleTxtG"/>
        <w:ind w:left="1701"/>
        <w:rPr>
          <w:lang w:val="en-GB"/>
        </w:rPr>
      </w:pPr>
      <w:r w:rsidRPr="00702F81">
        <w:rPr>
          <w:lang w:val="en-GB"/>
        </w:rPr>
        <w:t>1.8.3.1</w:t>
      </w:r>
      <w:r w:rsidRPr="00702F81">
        <w:rPr>
          <w:lang w:val="en-GB"/>
        </w:rPr>
        <w:tab/>
      </w:r>
      <w:r w:rsidRPr="00702F81">
        <w:rPr>
          <w:lang w:val="en-GB"/>
        </w:rPr>
        <w:tab/>
        <w:t>At the beginning, replace “the activities of which include the carriage, or the related packing, loading, filling or unloading, of dangerous goods by road” by “</w:t>
      </w:r>
      <w:bookmarkStart w:id="2" w:name="_Hlk515974826"/>
      <w:r w:rsidRPr="00702F81">
        <w:rPr>
          <w:lang w:val="en-GB"/>
        </w:rPr>
        <w:t>the activities of which include the consigning or the carriage of dangerous goods by road, or the related packing, loading, filling or unloading</w:t>
      </w:r>
      <w:bookmarkEnd w:id="2"/>
      <w:r w:rsidRPr="00702F81">
        <w:rPr>
          <w:lang w:val="en-GB"/>
        </w:rPr>
        <w:t>”.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4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2.2, amendment to 2.2.51.1.3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 xml:space="preserve">For </w:t>
      </w:r>
      <w:r w:rsidRPr="00702F81">
        <w:rPr>
          <w:lang w:val="en-GB"/>
        </w:rPr>
        <w:t xml:space="preserve">thirteenth indent </w:t>
      </w:r>
      <w:r w:rsidRPr="00702F81">
        <w:rPr>
          <w:i/>
          <w:iCs/>
          <w:lang w:val="en-GB"/>
        </w:rPr>
        <w:t xml:space="preserve">read </w:t>
      </w:r>
      <w:r w:rsidRPr="00702F81">
        <w:rPr>
          <w:lang w:val="en-GB"/>
        </w:rPr>
        <w:t>thirteenth and fourteenth indents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5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2.2, amendment to 2.2.51.2.2, under the indent ending with “other than UN No. 2067;”</w:t>
      </w:r>
    </w:p>
    <w:p w:rsidR="00702F81" w:rsidRPr="00702F81" w:rsidRDefault="00702F81" w:rsidP="00702F81">
      <w:pPr>
        <w:pStyle w:val="SingleTxtG"/>
        <w:rPr>
          <w:i/>
          <w:iCs/>
          <w:lang w:val="en-GB"/>
        </w:rPr>
      </w:pPr>
      <w:r w:rsidRPr="00702F81">
        <w:rPr>
          <w:i/>
          <w:iCs/>
          <w:lang w:val="en-GB"/>
        </w:rPr>
        <w:t>Insert</w:t>
      </w:r>
    </w:p>
    <w:p w:rsidR="00702F81" w:rsidRPr="00702F81" w:rsidRDefault="00702F81" w:rsidP="00702F81">
      <w:pPr>
        <w:pStyle w:val="SingleTxtG"/>
        <w:ind w:left="1701"/>
        <w:rPr>
          <w:lang w:val="en-GB"/>
        </w:rPr>
      </w:pPr>
      <w:bookmarkStart w:id="3" w:name="_Hlk515975618"/>
      <w:r w:rsidRPr="00702F81">
        <w:rPr>
          <w:b/>
          <w:bCs/>
          <w:i/>
          <w:iCs/>
          <w:lang w:val="en-GB"/>
        </w:rPr>
        <w:t>NOTE:</w:t>
      </w:r>
      <w:r w:rsidRPr="00702F81">
        <w:rPr>
          <w:i/>
          <w:iCs/>
          <w:lang w:val="en-GB"/>
        </w:rPr>
        <w:tab/>
      </w:r>
      <w:r w:rsidRPr="00702F81">
        <w:rPr>
          <w:i/>
          <w:lang w:val="en-GB"/>
        </w:rPr>
        <w:t>The term “competent authority” means the competent authority of the country of origin. If the country of origin is not a Contracting Party to ADR, the classification and conditions of carriage shall be recognized by the competent authority of the first country Contracting Party to ADR reached by the consignment.</w:t>
      </w:r>
      <w:bookmarkEnd w:id="3"/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6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2.2, amendment to 2.2.9.1.7, new sub- paragraph (g), after "cells or batteries"</w:t>
      </w:r>
    </w:p>
    <w:p w:rsidR="00702F81" w:rsidRPr="00702F81" w:rsidRDefault="00702F81" w:rsidP="00702F81">
      <w:pPr>
        <w:pStyle w:val="SingleTxtG"/>
        <w:tabs>
          <w:tab w:val="left" w:pos="2268"/>
        </w:tabs>
        <w:rPr>
          <w:lang w:val="en-GB"/>
        </w:rPr>
      </w:pPr>
      <w:r w:rsidRPr="00702F81">
        <w:rPr>
          <w:i/>
          <w:lang w:val="en-GB"/>
        </w:rPr>
        <w:t>Insert</w:t>
      </w:r>
      <w:r w:rsidRPr="00702F81">
        <w:rPr>
          <w:lang w:val="en-GB"/>
        </w:rPr>
        <w:t xml:space="preserve"> </w:t>
      </w:r>
      <w:bookmarkStart w:id="4" w:name="_Hlk515975878"/>
      <w:r w:rsidRPr="00702F81">
        <w:rPr>
          <w:lang w:val="en-GB"/>
        </w:rPr>
        <w:t>manufactured after 30 June 2003</w:t>
      </w:r>
      <w:bookmarkEnd w:id="4"/>
    </w:p>
    <w:p w:rsidR="00702F81" w:rsidRPr="00702F81" w:rsidRDefault="00702F81" w:rsidP="00702F81">
      <w:pPr>
        <w:pStyle w:val="H23G"/>
      </w:pPr>
      <w:r w:rsidRPr="00702F81">
        <w:rPr>
          <w:lang w:val="en-GB"/>
        </w:rPr>
        <w:tab/>
      </w:r>
      <w:r w:rsidRPr="00702F81">
        <w:t>7.</w:t>
      </w:r>
      <w:r w:rsidRPr="00702F81">
        <w:tab/>
      </w:r>
      <w:proofErr w:type="spellStart"/>
      <w:r w:rsidRPr="00702F81">
        <w:t>Chapter</w:t>
      </w:r>
      <w:proofErr w:type="spellEnd"/>
      <w:r w:rsidRPr="00702F81">
        <w:t xml:space="preserve"> 3.2, Table A, new entries, UN Nos. 3535, 3536, 3537, 3538, 3539, 3540, 3541, 3542, 3543, 3544, 3545, 3546, 3547, 3548, </w:t>
      </w:r>
      <w:proofErr w:type="spellStart"/>
      <w:r w:rsidRPr="00702F81">
        <w:t>column</w:t>
      </w:r>
      <w:proofErr w:type="spellEnd"/>
      <w:r w:rsidRPr="00702F81">
        <w:t xml:space="preserve"> (8)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>Delete</w:t>
      </w:r>
      <w:r w:rsidRPr="00702F81">
        <w:rPr>
          <w:lang w:val="en-GB"/>
        </w:rPr>
        <w:t xml:space="preserve"> existing text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8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3.3, amendment to special provision 251, sub-paragraph (a)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lang w:val="en-GB"/>
        </w:rPr>
        <w:t>Not applicable to English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9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3.3, amendment to special provision 307, second sentence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 xml:space="preserve">For </w:t>
      </w:r>
      <w:r w:rsidRPr="00702F81">
        <w:rPr>
          <w:lang w:val="en-GB"/>
        </w:rPr>
        <w:t xml:space="preserve">thirteenth indent </w:t>
      </w:r>
      <w:r w:rsidRPr="00702F81">
        <w:rPr>
          <w:i/>
          <w:iCs/>
          <w:lang w:val="en-GB"/>
        </w:rPr>
        <w:t xml:space="preserve">read </w:t>
      </w:r>
      <w:r w:rsidRPr="00702F81">
        <w:rPr>
          <w:lang w:val="en-GB"/>
        </w:rPr>
        <w:t>thirteenth and fourteenth indents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10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3.3, new special provision 388, fourth paragraph</w:t>
      </w:r>
    </w:p>
    <w:p w:rsidR="00702F81" w:rsidRPr="00702F81" w:rsidRDefault="00702F81" w:rsidP="00702F81">
      <w:pPr>
        <w:pStyle w:val="SingleTxtG"/>
        <w:rPr>
          <w:iCs/>
          <w:lang w:val="en-GB"/>
        </w:rPr>
      </w:pPr>
      <w:r w:rsidRPr="00702F81">
        <w:rPr>
          <w:iCs/>
          <w:lang w:val="en-GB"/>
        </w:rPr>
        <w:t>Not applicable to English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lastRenderedPageBreak/>
        <w:tab/>
      </w:r>
      <w:r>
        <w:rPr>
          <w:lang w:val="en-GB"/>
        </w:rPr>
        <w:t>11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3.3, in new special provision 392, in sub-paragraph (a), in the table, penultimate row, second column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lang w:val="en-GB"/>
        </w:rPr>
        <w:t>For</w:t>
      </w:r>
      <w:r w:rsidRPr="00702F81">
        <w:rPr>
          <w:lang w:val="en-GB"/>
        </w:rPr>
        <w:t xml:space="preserve"> Hydrogen and fuel cell vehicles (HFCV) </w:t>
      </w:r>
      <w:r w:rsidRPr="00702F81">
        <w:rPr>
          <w:i/>
          <w:lang w:val="en-GB"/>
        </w:rPr>
        <w:t>read</w:t>
      </w:r>
      <w:r w:rsidRPr="00702F81">
        <w:rPr>
          <w:lang w:val="en-GB"/>
        </w:rPr>
        <w:t xml:space="preserve"> Uniform provisions concerning the approval of motor vehicles and their components </w:t>
      </w:r>
      <w:proofErr w:type="gramStart"/>
      <w:r w:rsidRPr="00702F81">
        <w:rPr>
          <w:lang w:val="en-GB"/>
        </w:rPr>
        <w:t>with regard to</w:t>
      </w:r>
      <w:proofErr w:type="gramEnd"/>
      <w:r w:rsidRPr="00702F81">
        <w:rPr>
          <w:lang w:val="en-GB"/>
        </w:rPr>
        <w:t xml:space="preserve"> the safety-related performance of hydrogen-fuelled vehicles (HFCV)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12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3.3, in new special provision 392, in sub-paragraph (b), Note 1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>For</w:t>
      </w:r>
      <w:r w:rsidRPr="00702F81">
        <w:rPr>
          <w:lang w:val="en-GB"/>
        </w:rPr>
        <w:t xml:space="preserve"> </w:t>
      </w:r>
      <w:bookmarkStart w:id="5" w:name="_Hlk515970433"/>
      <w:r w:rsidRPr="00702F81">
        <w:rPr>
          <w:lang w:val="en-GB"/>
        </w:rPr>
        <w:t xml:space="preserve">ISO 11623:2015 </w:t>
      </w:r>
      <w:bookmarkEnd w:id="5"/>
      <w:r w:rsidRPr="00702F81">
        <w:rPr>
          <w:lang w:val="en-GB"/>
        </w:rPr>
        <w:t xml:space="preserve">Transportable gas cylinders – Periodic inspection and testing of composite gas cylinders </w:t>
      </w:r>
      <w:r w:rsidRPr="00702F81">
        <w:rPr>
          <w:i/>
          <w:iCs/>
          <w:lang w:val="en-GB"/>
        </w:rPr>
        <w:t>read</w:t>
      </w:r>
      <w:r w:rsidRPr="00702F81">
        <w:rPr>
          <w:lang w:val="en-GB"/>
        </w:rPr>
        <w:t xml:space="preserve"> ISO 11623:2015 Gas cylinders – Composite construction – Periodic inspection and testing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13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3.3, in new special provision 392, examples at the end</w:t>
      </w:r>
    </w:p>
    <w:p w:rsidR="00702F81" w:rsidRPr="00702F81" w:rsidRDefault="00702F81" w:rsidP="00702F81">
      <w:pPr>
        <w:pStyle w:val="SingleTxtG"/>
        <w:rPr>
          <w:b/>
          <w:bCs/>
          <w:lang w:val="en-GB"/>
        </w:rPr>
      </w:pPr>
      <w:r w:rsidRPr="00702F81">
        <w:rPr>
          <w:lang w:val="en-GB"/>
        </w:rPr>
        <w:t>Not applicable to English</w:t>
      </w:r>
    </w:p>
    <w:p w:rsidR="00702F81" w:rsidRPr="00702F81" w:rsidRDefault="00702F81" w:rsidP="00702F81">
      <w:pPr>
        <w:pStyle w:val="H23G"/>
        <w:rPr>
          <w:lang w:val="en-GB"/>
        </w:rPr>
      </w:pPr>
      <w:bookmarkStart w:id="6" w:name="_Hlk512434518"/>
      <w:r w:rsidRPr="00702F81">
        <w:rPr>
          <w:lang w:val="en-GB"/>
        </w:rPr>
        <w:tab/>
      </w:r>
      <w:r>
        <w:rPr>
          <w:lang w:val="en-GB"/>
        </w:rPr>
        <w:t>14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 xml:space="preserve">Chapter 5.2, 5.2.2.2.2, in the table, for Label </w:t>
      </w:r>
      <w:proofErr w:type="gramStart"/>
      <w:r w:rsidRPr="00702F81">
        <w:rPr>
          <w:lang w:val="en-GB"/>
        </w:rPr>
        <w:t>model</w:t>
      </w:r>
      <w:proofErr w:type="gramEnd"/>
      <w:r w:rsidRPr="00702F81">
        <w:rPr>
          <w:lang w:val="en-GB"/>
        </w:rPr>
        <w:t xml:space="preserve"> No. 2.1, in column “Division or Category”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 xml:space="preserve">Delete </w:t>
      </w:r>
      <w:r w:rsidRPr="00702F81">
        <w:rPr>
          <w:lang w:val="en-GB" w:eastAsia="ru-RU"/>
        </w:rPr>
        <w:t>(except as provided for in 5.2.2.2.1.6 d))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15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 xml:space="preserve">Chapter 5.2, 5.2.2.2.2, in the table, for Label </w:t>
      </w:r>
      <w:proofErr w:type="gramStart"/>
      <w:r w:rsidRPr="00702F81">
        <w:rPr>
          <w:lang w:val="en-GB"/>
        </w:rPr>
        <w:t>model</w:t>
      </w:r>
      <w:proofErr w:type="gramEnd"/>
      <w:r w:rsidRPr="00702F81">
        <w:rPr>
          <w:lang w:val="en-GB"/>
        </w:rPr>
        <w:t xml:space="preserve"> No. 2.1, in columns “Symbol and symbol colour” and “Figure in bottom corner (and figure colour)” at the end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 xml:space="preserve">Insert </w:t>
      </w:r>
      <w:r w:rsidRPr="00702F81">
        <w:rPr>
          <w:lang w:val="en-GB" w:eastAsia="ru-RU"/>
        </w:rPr>
        <w:t>(except as provided for in 5.2.2.2.1.6 (d))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16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 xml:space="preserve">Chapter 5.2, 5.2.2.2.2, table, for Class 4.1 hazard, </w:t>
      </w:r>
    </w:p>
    <w:p w:rsidR="00702F81" w:rsidRPr="00702F81" w:rsidRDefault="00702F81" w:rsidP="00702F81">
      <w:pPr>
        <w:pStyle w:val="SingleTxtG"/>
        <w:rPr>
          <w:lang w:val="en-GB" w:eastAsia="ru-RU"/>
        </w:rPr>
      </w:pPr>
      <w:r w:rsidRPr="00702F81">
        <w:rPr>
          <w:i/>
          <w:lang w:val="en-GB"/>
        </w:rPr>
        <w:t>For</w:t>
      </w:r>
      <w:r w:rsidRPr="00702F81">
        <w:rPr>
          <w:iCs/>
          <w:lang w:val="en-GB"/>
        </w:rPr>
        <w:t xml:space="preserve"> </w:t>
      </w:r>
      <w:r w:rsidRPr="00702F81">
        <w:rPr>
          <w:lang w:val="en-GB" w:eastAsia="ru-RU"/>
        </w:rPr>
        <w:t xml:space="preserve">solid desensitized explosives and polymerizing substances </w:t>
      </w:r>
      <w:r w:rsidRPr="00702F81">
        <w:rPr>
          <w:i/>
          <w:iCs/>
          <w:lang w:val="en-GB" w:eastAsia="ru-RU"/>
        </w:rPr>
        <w:t>read</w:t>
      </w:r>
      <w:r w:rsidRPr="00702F81">
        <w:rPr>
          <w:lang w:val="en-GB" w:eastAsia="ru-RU"/>
        </w:rPr>
        <w:t xml:space="preserve"> polymerizing substances and solid desensitized explosives</w:t>
      </w:r>
    </w:p>
    <w:bookmarkEnd w:id="6"/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17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5.3, amendment to 5.3.1.2</w:t>
      </w:r>
    </w:p>
    <w:p w:rsidR="00702F81" w:rsidRPr="00702F81" w:rsidRDefault="00702F81" w:rsidP="00702F81">
      <w:pPr>
        <w:pStyle w:val="SingleTxtG"/>
        <w:rPr>
          <w:i/>
          <w:lang w:val="en-GB"/>
        </w:rPr>
      </w:pPr>
      <w:r w:rsidRPr="00702F81">
        <w:rPr>
          <w:lang w:val="en-GB"/>
        </w:rPr>
        <w:t xml:space="preserve">For the existing text, </w:t>
      </w:r>
      <w:r w:rsidRPr="00702F81">
        <w:rPr>
          <w:i/>
          <w:lang w:val="en-GB"/>
        </w:rPr>
        <w:t>substitute</w:t>
      </w:r>
    </w:p>
    <w:p w:rsidR="00702F81" w:rsidRPr="00702F81" w:rsidRDefault="00702F81" w:rsidP="00702F81">
      <w:pPr>
        <w:pStyle w:val="SingleTxtG"/>
        <w:tabs>
          <w:tab w:val="left" w:pos="2410"/>
        </w:tabs>
        <w:ind w:left="1701"/>
        <w:rPr>
          <w:lang w:val="en-GB"/>
        </w:rPr>
      </w:pPr>
      <w:r w:rsidRPr="00702F81">
        <w:rPr>
          <w:lang w:val="en-GB"/>
        </w:rPr>
        <w:t>5.3.1.2</w:t>
      </w:r>
      <w:r w:rsidRPr="00702F81">
        <w:rPr>
          <w:lang w:val="en-GB"/>
        </w:rPr>
        <w:tab/>
        <w:t>In the title, after “containers,”, insert: “bulk containers,”.</w:t>
      </w:r>
    </w:p>
    <w:p w:rsidR="00702F81" w:rsidRPr="00702F81" w:rsidRDefault="00702F81" w:rsidP="00702F81">
      <w:pPr>
        <w:pStyle w:val="SingleTxtG"/>
        <w:tabs>
          <w:tab w:val="left" w:pos="2410"/>
        </w:tabs>
        <w:ind w:left="1701"/>
        <w:rPr>
          <w:lang w:val="en-GB"/>
        </w:rPr>
      </w:pPr>
      <w:r w:rsidRPr="00702F81">
        <w:rPr>
          <w:lang w:val="en-GB"/>
        </w:rPr>
        <w:t>5.3.1.2</w:t>
      </w:r>
      <w:r w:rsidRPr="00702F81">
        <w:rPr>
          <w:lang w:val="en-GB"/>
        </w:rPr>
        <w:tab/>
        <w:t>Amend the first paragraph after the Note to read as follows:</w:t>
      </w:r>
    </w:p>
    <w:p w:rsidR="00702F81" w:rsidRPr="00702F81" w:rsidRDefault="00702F81" w:rsidP="00702F81">
      <w:pPr>
        <w:pStyle w:val="SingleTxtG"/>
        <w:tabs>
          <w:tab w:val="left" w:pos="2410"/>
        </w:tabs>
        <w:ind w:left="1701"/>
        <w:rPr>
          <w:lang w:val="en-GB"/>
        </w:rPr>
      </w:pPr>
      <w:r w:rsidRPr="00702F81">
        <w:rPr>
          <w:lang w:val="en-GB"/>
        </w:rPr>
        <w:t>“The placards shall be affixed to both sides and at each end of the container, bulk container, MEGC, tank-container or portable tank and to two opposite sides in the case of flexible bulk containers.”.</w:t>
      </w:r>
    </w:p>
    <w:p w:rsidR="00702F81" w:rsidRPr="00702F81" w:rsidRDefault="00702F81" w:rsidP="00702F81">
      <w:pPr>
        <w:pStyle w:val="H23G"/>
        <w:rPr>
          <w:rFonts w:asciiTheme="majorBidi" w:hAnsiTheme="majorBidi" w:cstheme="majorBidi"/>
          <w:lang w:val="en-GB"/>
        </w:rPr>
      </w:pPr>
      <w:r w:rsidRPr="00702F81">
        <w:rPr>
          <w:lang w:val="en-GB"/>
        </w:rPr>
        <w:tab/>
      </w:r>
      <w:r>
        <w:rPr>
          <w:rFonts w:asciiTheme="majorBidi" w:hAnsiTheme="majorBidi" w:cstheme="majorBidi"/>
          <w:lang w:val="en-GB"/>
        </w:rPr>
        <w:t>18</w:t>
      </w:r>
      <w:r w:rsidRPr="00702F81">
        <w:rPr>
          <w:rFonts w:asciiTheme="majorBidi" w:hAnsiTheme="majorBidi" w:cstheme="majorBidi"/>
          <w:lang w:val="en-GB"/>
        </w:rPr>
        <w:t>.</w:t>
      </w:r>
      <w:r w:rsidRPr="00702F81">
        <w:rPr>
          <w:rFonts w:asciiTheme="majorBidi" w:hAnsiTheme="majorBidi" w:cstheme="majorBidi"/>
          <w:lang w:val="en-GB"/>
        </w:rPr>
        <w:tab/>
        <w:t>Chapter 7.2, amendment to 7.2.3.7.1.2, at the end</w:t>
      </w:r>
    </w:p>
    <w:p w:rsidR="00702F81" w:rsidRDefault="00702F81" w:rsidP="00702F81">
      <w:pPr>
        <w:pStyle w:val="SingleTxtG"/>
      </w:pPr>
      <w:r w:rsidRPr="00C2338F">
        <w:rPr>
          <w:i/>
          <w:iCs/>
        </w:rPr>
        <w:t xml:space="preserve">Insert </w:t>
      </w:r>
    </w:p>
    <w:p w:rsidR="00702F81" w:rsidRPr="000B0399" w:rsidRDefault="00702F81" w:rsidP="00702F81">
      <w:pPr>
        <w:pStyle w:val="ListParagraph"/>
        <w:numPr>
          <w:ilvl w:val="0"/>
          <w:numId w:val="4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</w:rPr>
      </w:pPr>
      <w:r>
        <w:rPr>
          <w:color w:val="000000"/>
        </w:rPr>
        <w:t>A</w:t>
      </w:r>
      <w:r w:rsidRPr="000B0399">
        <w:rPr>
          <w:color w:val="000000"/>
        </w:rPr>
        <w:t>ny entrances or openings of spaces connected to the outside are closed; this provision does not apply to the air supply openings of the engine room and overpressure ventilation systems;</w:t>
      </w:r>
    </w:p>
    <w:p w:rsidR="00702F81" w:rsidRPr="000B0399" w:rsidRDefault="00702F81" w:rsidP="00702F81">
      <w:pPr>
        <w:pStyle w:val="ListParagraph"/>
        <w:numPr>
          <w:ilvl w:val="0"/>
          <w:numId w:val="4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</w:rPr>
      </w:pPr>
      <w:r>
        <w:rPr>
          <w:color w:val="000000"/>
        </w:rPr>
        <w:t>A</w:t>
      </w:r>
      <w:r w:rsidRPr="000B0399">
        <w:rPr>
          <w:color w:val="000000"/>
        </w:rPr>
        <w:t>ny member of the crew working on deck is wearing suitable protective equipment;</w:t>
      </w:r>
    </w:p>
    <w:p w:rsidR="00702F81" w:rsidRDefault="00702F81" w:rsidP="00702F81">
      <w:pPr>
        <w:pStyle w:val="ListParagraph"/>
        <w:numPr>
          <w:ilvl w:val="0"/>
          <w:numId w:val="4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</w:rPr>
      </w:pPr>
      <w:r>
        <w:rPr>
          <w:color w:val="000000"/>
        </w:rPr>
        <w:t>I</w:t>
      </w:r>
      <w:r w:rsidRPr="000B0399">
        <w:rPr>
          <w:color w:val="000000"/>
        </w:rPr>
        <w:t>t is not carried out within the area of locks including their lay-bys, under bridges or within densely populated areas.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tab/>
      </w:r>
      <w:r>
        <w:rPr>
          <w:lang w:val="en-GB"/>
        </w:rPr>
        <w:t>19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Part 9, footnote 2, all occurrences</w:t>
      </w:r>
    </w:p>
    <w:p w:rsidR="00702F81" w:rsidRPr="00702F81" w:rsidRDefault="00702F81" w:rsidP="00702F81">
      <w:pPr>
        <w:pStyle w:val="SingleTxtG"/>
        <w:rPr>
          <w:i/>
          <w:iCs/>
          <w:lang w:val="en-GB"/>
        </w:rPr>
      </w:pPr>
      <w:r w:rsidRPr="00702F81">
        <w:rPr>
          <w:i/>
          <w:iCs/>
          <w:lang w:val="en-GB"/>
        </w:rPr>
        <w:t xml:space="preserve">For </w:t>
      </w:r>
      <w:r w:rsidRPr="00702F81">
        <w:rPr>
          <w:szCs w:val="18"/>
          <w:lang w:val="en-GB"/>
        </w:rPr>
        <w:t xml:space="preserve">29 August 2008 </w:t>
      </w:r>
      <w:r w:rsidRPr="00702F81">
        <w:rPr>
          <w:i/>
          <w:iCs/>
          <w:szCs w:val="18"/>
          <w:lang w:val="en-GB"/>
        </w:rPr>
        <w:t>read</w:t>
      </w:r>
      <w:r w:rsidRPr="00702F81">
        <w:rPr>
          <w:szCs w:val="18"/>
          <w:lang w:val="en-GB"/>
        </w:rPr>
        <w:t xml:space="preserve"> 4 June 2008</w:t>
      </w:r>
    </w:p>
    <w:p w:rsidR="00702F81" w:rsidRPr="00702F81" w:rsidRDefault="00702F81" w:rsidP="00702F81">
      <w:pPr>
        <w:pStyle w:val="H23G"/>
        <w:rPr>
          <w:lang w:val="en-GB"/>
        </w:rPr>
      </w:pPr>
      <w:r w:rsidRPr="00702F81">
        <w:rPr>
          <w:lang w:val="en-GB"/>
        </w:rPr>
        <w:lastRenderedPageBreak/>
        <w:tab/>
      </w:r>
      <w:r>
        <w:rPr>
          <w:lang w:val="en-GB"/>
        </w:rPr>
        <w:t>20</w:t>
      </w:r>
      <w:r w:rsidRPr="00702F81">
        <w:rPr>
          <w:lang w:val="en-GB"/>
        </w:rPr>
        <w:t>.</w:t>
      </w:r>
      <w:r w:rsidRPr="00702F81">
        <w:rPr>
          <w:lang w:val="en-GB"/>
        </w:rPr>
        <w:tab/>
        <w:t>Chapter 9.3, 9.3.3.22.4 (d), last paragraph</w:t>
      </w:r>
    </w:p>
    <w:p w:rsidR="00702F81" w:rsidRPr="00702F81" w:rsidRDefault="00702F81" w:rsidP="00702F81">
      <w:pPr>
        <w:pStyle w:val="SingleTxtG"/>
        <w:rPr>
          <w:lang w:val="en-GB"/>
        </w:rPr>
      </w:pPr>
      <w:r w:rsidRPr="00702F81">
        <w:rPr>
          <w:i/>
          <w:iCs/>
          <w:lang w:val="en-GB"/>
        </w:rPr>
        <w:t>For</w:t>
      </w:r>
      <w:r w:rsidRPr="00702F81">
        <w:rPr>
          <w:lang w:val="en-GB"/>
        </w:rPr>
        <w:t xml:space="preserve"> pressure relief valves </w:t>
      </w:r>
      <w:r w:rsidRPr="00702F81">
        <w:rPr>
          <w:i/>
          <w:iCs/>
          <w:lang w:val="en-GB"/>
        </w:rPr>
        <w:t>read</w:t>
      </w:r>
      <w:r w:rsidRPr="00702F81">
        <w:rPr>
          <w:lang w:val="en-GB"/>
        </w:rPr>
        <w:t xml:space="preserve"> its own safety valves</w:t>
      </w:r>
    </w:p>
    <w:p w:rsidR="00133F18" w:rsidRPr="00C17E19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</w:p>
    <w:sectPr w:rsidR="00133F18" w:rsidRPr="00C17E19" w:rsidSect="00CD428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CA" w:rsidRDefault="003B23CA"/>
  </w:endnote>
  <w:endnote w:type="continuationSeparator" w:id="0">
    <w:p w:rsidR="003B23CA" w:rsidRDefault="003B23CA"/>
  </w:endnote>
  <w:endnote w:type="continuationNotice" w:id="1">
    <w:p w:rsidR="003B23CA" w:rsidRPr="00BF38EF" w:rsidRDefault="003B23CA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CA" w:rsidRPr="00D27D5E" w:rsidRDefault="003B23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23CA" w:rsidRPr="00836A24" w:rsidRDefault="003B23CA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:rsidR="003B23CA" w:rsidRPr="00BF38EF" w:rsidRDefault="003B23CA" w:rsidP="00BF38EF">
      <w:pPr>
        <w:spacing w:line="240" w:lineRule="auto"/>
        <w:rPr>
          <w:sz w:val="2"/>
          <w:szCs w:val="2"/>
        </w:rPr>
      </w:pPr>
    </w:p>
  </w:footnote>
  <w:footnote w:id="2">
    <w:p w:rsidR="00160D0D" w:rsidRPr="003A7D20" w:rsidRDefault="00160D0D" w:rsidP="00160D0D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>
        <w:rPr>
          <w:lang w:val="en-US"/>
        </w:rPr>
        <w:t>25</w:t>
      </w:r>
      <w:r w:rsidRPr="003A7D20">
        <w:rPr>
          <w:lang w:val="en-US"/>
        </w:rPr>
        <w:t>.</w:t>
      </w:r>
    </w:p>
  </w:footnote>
  <w:footnote w:id="3">
    <w:p w:rsidR="00160D0D" w:rsidRPr="003A7D20" w:rsidRDefault="00160D0D" w:rsidP="00160D0D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 xml:space="preserve">In accordance with the </w:t>
      </w:r>
      <w:proofErr w:type="spellStart"/>
      <w:r w:rsidRPr="003A7D20">
        <w:rPr>
          <w:lang w:val="en-US"/>
        </w:rPr>
        <w:t>programme</w:t>
      </w:r>
      <w:proofErr w:type="spellEnd"/>
      <w:r w:rsidRPr="003A7D20">
        <w:rPr>
          <w:lang w:val="en-US"/>
        </w:rPr>
        <w:t xml:space="preserve">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Pr="00673687">
        <w:rPr>
          <w:lang w:val="en-GB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B1" w:rsidRPr="00CD4281" w:rsidRDefault="00856CB1">
    <w:pPr>
      <w:pStyle w:val="Header"/>
    </w:pPr>
    <w:r>
      <w:t>ECE/TRANS/WP.15/AC.2/201</w:t>
    </w:r>
    <w:r w:rsidR="00AE635C">
      <w:t>8</w:t>
    </w:r>
    <w:r>
      <w:t>/</w:t>
    </w:r>
    <w:r w:rsidR="00AE635C"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B1" w:rsidRPr="00CD4281" w:rsidRDefault="00856CB1" w:rsidP="00CD4281">
    <w:pPr>
      <w:pStyle w:val="Header"/>
      <w:jc w:val="right"/>
    </w:pPr>
    <w:r>
      <w:t>ECE/TRANS/WP.15/AC.2/201</w:t>
    </w:r>
    <w:r w:rsidR="00AE635C">
      <w:t>8</w:t>
    </w:r>
    <w:r>
      <w:t>/</w:t>
    </w:r>
    <w:r w:rsidR="00AE635C"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6"/>
    <w:rsid w:val="0000047A"/>
    <w:rsid w:val="00003C92"/>
    <w:rsid w:val="00016AC5"/>
    <w:rsid w:val="00030ADE"/>
    <w:rsid w:val="000312C0"/>
    <w:rsid w:val="00056BAB"/>
    <w:rsid w:val="000B0D4D"/>
    <w:rsid w:val="000F41F2"/>
    <w:rsid w:val="00133F18"/>
    <w:rsid w:val="00135C0D"/>
    <w:rsid w:val="00135F2D"/>
    <w:rsid w:val="00160540"/>
    <w:rsid w:val="00160D0D"/>
    <w:rsid w:val="001644BC"/>
    <w:rsid w:val="0017182C"/>
    <w:rsid w:val="00171DAC"/>
    <w:rsid w:val="00175156"/>
    <w:rsid w:val="00177007"/>
    <w:rsid w:val="00186EE9"/>
    <w:rsid w:val="00192EEB"/>
    <w:rsid w:val="001947FF"/>
    <w:rsid w:val="001A20FB"/>
    <w:rsid w:val="001B0BE2"/>
    <w:rsid w:val="001B6F40"/>
    <w:rsid w:val="001C61AA"/>
    <w:rsid w:val="001D7F8A"/>
    <w:rsid w:val="001E3FEB"/>
    <w:rsid w:val="001E4A02"/>
    <w:rsid w:val="00215AA3"/>
    <w:rsid w:val="00223B89"/>
    <w:rsid w:val="00225A8C"/>
    <w:rsid w:val="00225F10"/>
    <w:rsid w:val="0023044C"/>
    <w:rsid w:val="00234E40"/>
    <w:rsid w:val="00260EA1"/>
    <w:rsid w:val="002659F1"/>
    <w:rsid w:val="00271AAD"/>
    <w:rsid w:val="00271C7C"/>
    <w:rsid w:val="00287E79"/>
    <w:rsid w:val="002928F9"/>
    <w:rsid w:val="002A5D07"/>
    <w:rsid w:val="002B0C85"/>
    <w:rsid w:val="002D7669"/>
    <w:rsid w:val="002E6F0D"/>
    <w:rsid w:val="003016B7"/>
    <w:rsid w:val="00320826"/>
    <w:rsid w:val="00330F9C"/>
    <w:rsid w:val="00340C35"/>
    <w:rsid w:val="00343C15"/>
    <w:rsid w:val="003515AA"/>
    <w:rsid w:val="00370E0F"/>
    <w:rsid w:val="00374106"/>
    <w:rsid w:val="003778FF"/>
    <w:rsid w:val="00386516"/>
    <w:rsid w:val="003976D5"/>
    <w:rsid w:val="003A2189"/>
    <w:rsid w:val="003A2976"/>
    <w:rsid w:val="003B23CA"/>
    <w:rsid w:val="003B3C3D"/>
    <w:rsid w:val="003C3BD4"/>
    <w:rsid w:val="003D1DF3"/>
    <w:rsid w:val="003D46A7"/>
    <w:rsid w:val="003D6C68"/>
    <w:rsid w:val="003E5551"/>
    <w:rsid w:val="003F3DA4"/>
    <w:rsid w:val="004159D0"/>
    <w:rsid w:val="004249E7"/>
    <w:rsid w:val="00442D65"/>
    <w:rsid w:val="004532CE"/>
    <w:rsid w:val="0048042F"/>
    <w:rsid w:val="004812F5"/>
    <w:rsid w:val="00493C5D"/>
    <w:rsid w:val="004A4D56"/>
    <w:rsid w:val="004A5935"/>
    <w:rsid w:val="004B5FE8"/>
    <w:rsid w:val="004D0439"/>
    <w:rsid w:val="004D2EFE"/>
    <w:rsid w:val="004E670C"/>
    <w:rsid w:val="00530F2E"/>
    <w:rsid w:val="00542086"/>
    <w:rsid w:val="00543D5E"/>
    <w:rsid w:val="00571F41"/>
    <w:rsid w:val="005751C6"/>
    <w:rsid w:val="00580744"/>
    <w:rsid w:val="00595BE4"/>
    <w:rsid w:val="005B5091"/>
    <w:rsid w:val="005B76A3"/>
    <w:rsid w:val="005E5D1F"/>
    <w:rsid w:val="00603391"/>
    <w:rsid w:val="00611D43"/>
    <w:rsid w:val="00612D48"/>
    <w:rsid w:val="00616B45"/>
    <w:rsid w:val="00620586"/>
    <w:rsid w:val="00630D9B"/>
    <w:rsid w:val="00631953"/>
    <w:rsid w:val="0063383D"/>
    <w:rsid w:val="006439EC"/>
    <w:rsid w:val="00646CBB"/>
    <w:rsid w:val="00653D13"/>
    <w:rsid w:val="0065687D"/>
    <w:rsid w:val="0068004D"/>
    <w:rsid w:val="006B4590"/>
    <w:rsid w:val="006C340C"/>
    <w:rsid w:val="006D3C84"/>
    <w:rsid w:val="006E5FC7"/>
    <w:rsid w:val="00702F81"/>
    <w:rsid w:val="0070347C"/>
    <w:rsid w:val="00703489"/>
    <w:rsid w:val="007135ED"/>
    <w:rsid w:val="007176C1"/>
    <w:rsid w:val="00723FD7"/>
    <w:rsid w:val="00735A79"/>
    <w:rsid w:val="00763EB9"/>
    <w:rsid w:val="00790336"/>
    <w:rsid w:val="00790F2F"/>
    <w:rsid w:val="00792096"/>
    <w:rsid w:val="007C3C4F"/>
    <w:rsid w:val="007F55CB"/>
    <w:rsid w:val="00802B5E"/>
    <w:rsid w:val="00805BAD"/>
    <w:rsid w:val="008100E5"/>
    <w:rsid w:val="00812C1A"/>
    <w:rsid w:val="008317F6"/>
    <w:rsid w:val="00836A24"/>
    <w:rsid w:val="008440B8"/>
    <w:rsid w:val="00844750"/>
    <w:rsid w:val="00856CB1"/>
    <w:rsid w:val="008662AC"/>
    <w:rsid w:val="008B44C4"/>
    <w:rsid w:val="008B7879"/>
    <w:rsid w:val="008C5FAD"/>
    <w:rsid w:val="008D3919"/>
    <w:rsid w:val="008E7FAE"/>
    <w:rsid w:val="008F40D2"/>
    <w:rsid w:val="009064BF"/>
    <w:rsid w:val="00910C0F"/>
    <w:rsid w:val="00911BF7"/>
    <w:rsid w:val="00916183"/>
    <w:rsid w:val="00952FDB"/>
    <w:rsid w:val="009667CF"/>
    <w:rsid w:val="009727A3"/>
    <w:rsid w:val="00974DF0"/>
    <w:rsid w:val="00975B8F"/>
    <w:rsid w:val="009761FC"/>
    <w:rsid w:val="00977EC8"/>
    <w:rsid w:val="00983D68"/>
    <w:rsid w:val="00995D62"/>
    <w:rsid w:val="009B18A3"/>
    <w:rsid w:val="009C3F5F"/>
    <w:rsid w:val="009C5907"/>
    <w:rsid w:val="009D3A8C"/>
    <w:rsid w:val="009E01B8"/>
    <w:rsid w:val="009E2194"/>
    <w:rsid w:val="009E7956"/>
    <w:rsid w:val="00A025E4"/>
    <w:rsid w:val="00A2161E"/>
    <w:rsid w:val="00A2492E"/>
    <w:rsid w:val="00A666CE"/>
    <w:rsid w:val="00A70163"/>
    <w:rsid w:val="00AB3EF4"/>
    <w:rsid w:val="00AC67A1"/>
    <w:rsid w:val="00AC7977"/>
    <w:rsid w:val="00AE352C"/>
    <w:rsid w:val="00AE635C"/>
    <w:rsid w:val="00B32E2D"/>
    <w:rsid w:val="00B4466B"/>
    <w:rsid w:val="00B61990"/>
    <w:rsid w:val="00B72D29"/>
    <w:rsid w:val="00B75EC5"/>
    <w:rsid w:val="00B85D99"/>
    <w:rsid w:val="00B93E72"/>
    <w:rsid w:val="00BA7C17"/>
    <w:rsid w:val="00BF0556"/>
    <w:rsid w:val="00BF38EF"/>
    <w:rsid w:val="00C0250B"/>
    <w:rsid w:val="00C17E19"/>
    <w:rsid w:val="00C24B53"/>
    <w:rsid w:val="00C261F8"/>
    <w:rsid w:val="00C27150"/>
    <w:rsid w:val="00C33100"/>
    <w:rsid w:val="00C43BB0"/>
    <w:rsid w:val="00C44213"/>
    <w:rsid w:val="00C57892"/>
    <w:rsid w:val="00C779D3"/>
    <w:rsid w:val="00C940E9"/>
    <w:rsid w:val="00CA1414"/>
    <w:rsid w:val="00CB6267"/>
    <w:rsid w:val="00CB694A"/>
    <w:rsid w:val="00CD1A71"/>
    <w:rsid w:val="00CD1FBB"/>
    <w:rsid w:val="00CD4281"/>
    <w:rsid w:val="00CE5BF6"/>
    <w:rsid w:val="00D016B5"/>
    <w:rsid w:val="00D034F1"/>
    <w:rsid w:val="00D04D8B"/>
    <w:rsid w:val="00D05E95"/>
    <w:rsid w:val="00D11B17"/>
    <w:rsid w:val="00D205A3"/>
    <w:rsid w:val="00D2281D"/>
    <w:rsid w:val="00D24779"/>
    <w:rsid w:val="00D27D5E"/>
    <w:rsid w:val="00D60301"/>
    <w:rsid w:val="00D751D5"/>
    <w:rsid w:val="00D761E2"/>
    <w:rsid w:val="00DA30DD"/>
    <w:rsid w:val="00DA57D4"/>
    <w:rsid w:val="00DB4793"/>
    <w:rsid w:val="00DB4BEA"/>
    <w:rsid w:val="00DE01E3"/>
    <w:rsid w:val="00DE45DF"/>
    <w:rsid w:val="00DE6D90"/>
    <w:rsid w:val="00DF002F"/>
    <w:rsid w:val="00E0244D"/>
    <w:rsid w:val="00E0331A"/>
    <w:rsid w:val="00E37AE2"/>
    <w:rsid w:val="00E401F2"/>
    <w:rsid w:val="00E413D8"/>
    <w:rsid w:val="00E44092"/>
    <w:rsid w:val="00E47862"/>
    <w:rsid w:val="00E50079"/>
    <w:rsid w:val="00E5539D"/>
    <w:rsid w:val="00E55D71"/>
    <w:rsid w:val="00E81E94"/>
    <w:rsid w:val="00E82607"/>
    <w:rsid w:val="00E90321"/>
    <w:rsid w:val="00EA31C2"/>
    <w:rsid w:val="00EC66F9"/>
    <w:rsid w:val="00ED734B"/>
    <w:rsid w:val="00EE2EA3"/>
    <w:rsid w:val="00EF1183"/>
    <w:rsid w:val="00EF486C"/>
    <w:rsid w:val="00EF6EE5"/>
    <w:rsid w:val="00F01516"/>
    <w:rsid w:val="00F460D3"/>
    <w:rsid w:val="00F524BE"/>
    <w:rsid w:val="00F57129"/>
    <w:rsid w:val="00FA5A79"/>
    <w:rsid w:val="00FB00CB"/>
    <w:rsid w:val="00FB0BFE"/>
    <w:rsid w:val="00FB129B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4AC27E40"/>
  <w15:docId w15:val="{6B3DF4F4-EDE5-4634-BC2E-8DC0ABE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semiHidden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paragraph" w:styleId="BodyTextIndent">
    <w:name w:val="Body Text Indent"/>
    <w:basedOn w:val="Normal"/>
    <w:link w:val="BodyTextIndentChar"/>
    <w:rsid w:val="00BA7C17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7C1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B4BEA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702F8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ECE-ADN-45 eng</cp:lastModifiedBy>
  <cp:revision>7</cp:revision>
  <cp:lastPrinted>2016-06-09T07:50:00Z</cp:lastPrinted>
  <dcterms:created xsi:type="dcterms:W3CDTF">2018-06-14T08:19:00Z</dcterms:created>
  <dcterms:modified xsi:type="dcterms:W3CDTF">2018-06-14T12:07:00Z</dcterms:modified>
</cp:coreProperties>
</file>