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210C96">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210C96" w:rsidP="00210C96">
            <w:pPr>
              <w:jc w:val="right"/>
            </w:pPr>
            <w:r w:rsidRPr="00210C96">
              <w:rPr>
                <w:sz w:val="40"/>
              </w:rPr>
              <w:t>ECE</w:t>
            </w:r>
            <w:r>
              <w:t>/TRANS/WP.15/AC.2/2018/39</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210C96" w:rsidP="00C97039">
            <w:pPr>
              <w:spacing w:before="240"/>
            </w:pPr>
            <w:r>
              <w:t>Distr. générale</w:t>
            </w:r>
          </w:p>
          <w:p w:rsidR="00210C96" w:rsidRDefault="00210C96" w:rsidP="00210C96">
            <w:pPr>
              <w:spacing w:line="240" w:lineRule="exact"/>
            </w:pPr>
            <w:r>
              <w:t>12 juin 2018</w:t>
            </w:r>
          </w:p>
          <w:p w:rsidR="00210C96" w:rsidRDefault="00210C96" w:rsidP="00210C96">
            <w:pPr>
              <w:spacing w:line="240" w:lineRule="exact"/>
            </w:pPr>
            <w:r>
              <w:t>Français</w:t>
            </w:r>
          </w:p>
          <w:p w:rsidR="00210C96" w:rsidRPr="00DB58B5" w:rsidRDefault="00210C96" w:rsidP="00210C96">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w:t>
      </w:r>
      <w:r w:rsidR="000C01B9">
        <w:rPr>
          <w:b/>
          <w:sz w:val="28"/>
          <w:szCs w:val="28"/>
        </w:rPr>
        <w:t>’</w:t>
      </w:r>
      <w:r w:rsidRPr="000312C0">
        <w:rPr>
          <w:b/>
          <w:sz w:val="28"/>
          <w:szCs w:val="28"/>
        </w:rPr>
        <w:t>Europe</w:t>
      </w:r>
    </w:p>
    <w:p w:rsidR="007F20FA" w:rsidRDefault="007F20FA" w:rsidP="006A0B32">
      <w:pPr>
        <w:spacing w:before="120" w:after="120"/>
        <w:rPr>
          <w:sz w:val="28"/>
          <w:szCs w:val="28"/>
        </w:rPr>
      </w:pPr>
      <w:r w:rsidRPr="00685843">
        <w:rPr>
          <w:sz w:val="28"/>
          <w:szCs w:val="28"/>
        </w:rPr>
        <w:t>Comité des transports intérieurs</w:t>
      </w:r>
    </w:p>
    <w:p w:rsidR="00581B1E" w:rsidRPr="006A0B32" w:rsidRDefault="00581B1E" w:rsidP="006A0B32">
      <w:pPr>
        <w:spacing w:after="120"/>
        <w:rPr>
          <w:b/>
          <w:sz w:val="24"/>
          <w:szCs w:val="24"/>
        </w:rPr>
      </w:pPr>
      <w:r w:rsidRPr="006A0B32">
        <w:rPr>
          <w:b/>
          <w:sz w:val="24"/>
          <w:szCs w:val="24"/>
        </w:rPr>
        <w:t>Groupe de travail des transports de marchandises dangereuses</w:t>
      </w:r>
    </w:p>
    <w:p w:rsidR="00581B1E" w:rsidRPr="006A0B32" w:rsidRDefault="00581B1E" w:rsidP="006A0B32">
      <w:pPr>
        <w:spacing w:after="120"/>
        <w:rPr>
          <w:b/>
        </w:rPr>
      </w:pPr>
      <w:r w:rsidRPr="006A0B32">
        <w:rPr>
          <w:b/>
        </w:rPr>
        <w:t>Réunion commune d</w:t>
      </w:r>
      <w:r w:rsidR="000C01B9">
        <w:rPr>
          <w:b/>
        </w:rPr>
        <w:t>’</w:t>
      </w:r>
      <w:r w:rsidRPr="006A0B32">
        <w:rPr>
          <w:b/>
        </w:rPr>
        <w:t>experts sur le Règlement annexé à l</w:t>
      </w:r>
      <w:r w:rsidR="000C01B9">
        <w:rPr>
          <w:b/>
        </w:rPr>
        <w:t>’</w:t>
      </w:r>
      <w:r w:rsidR="006A0B32">
        <w:rPr>
          <w:b/>
        </w:rPr>
        <w:t>Accord européen</w:t>
      </w:r>
      <w:r w:rsidR="006A0B32">
        <w:rPr>
          <w:b/>
        </w:rPr>
        <w:br/>
      </w:r>
      <w:r w:rsidRPr="006A0B32">
        <w:rPr>
          <w:b/>
        </w:rPr>
        <w:t>relatif au transport internation</w:t>
      </w:r>
      <w:r w:rsidR="006A0B32">
        <w:rPr>
          <w:b/>
        </w:rPr>
        <w:t>al des marchandises dangereuses</w:t>
      </w:r>
      <w:r w:rsidR="006A0B32">
        <w:rPr>
          <w:b/>
        </w:rPr>
        <w:br/>
      </w:r>
      <w:r w:rsidRPr="006A0B32">
        <w:rPr>
          <w:b/>
        </w:rPr>
        <w:t xml:space="preserve">par voies de navigation intérieures (ADN) </w:t>
      </w:r>
      <w:r w:rsidR="006A0B32">
        <w:rPr>
          <w:b/>
        </w:rPr>
        <w:br/>
      </w:r>
      <w:r w:rsidRPr="006A0B32">
        <w:rPr>
          <w:b/>
        </w:rPr>
        <w:t>(Comité de sécurité de l</w:t>
      </w:r>
      <w:r w:rsidR="000C01B9">
        <w:rPr>
          <w:b/>
        </w:rPr>
        <w:t>’</w:t>
      </w:r>
      <w:r w:rsidRPr="006A0B32">
        <w:rPr>
          <w:b/>
        </w:rPr>
        <w:t>ADN)</w:t>
      </w:r>
    </w:p>
    <w:p w:rsidR="00581B1E" w:rsidRPr="006A0B32" w:rsidRDefault="00581B1E" w:rsidP="00581B1E">
      <w:pPr>
        <w:rPr>
          <w:b/>
        </w:rPr>
      </w:pPr>
      <w:r w:rsidRPr="006A0B32">
        <w:rPr>
          <w:b/>
        </w:rPr>
        <w:t>Trente-troisième session</w:t>
      </w:r>
    </w:p>
    <w:p w:rsidR="00581B1E" w:rsidRPr="00F04181" w:rsidRDefault="00581B1E" w:rsidP="00581B1E">
      <w:r w:rsidRPr="00F04181">
        <w:t xml:space="preserve">Genève, 27-31 août 2018 </w:t>
      </w:r>
    </w:p>
    <w:p w:rsidR="00581B1E" w:rsidRPr="00F04181" w:rsidRDefault="00581B1E" w:rsidP="00581B1E">
      <w:r w:rsidRPr="00F04181">
        <w:t>Point 5 de l</w:t>
      </w:r>
      <w:r w:rsidR="000C01B9">
        <w:t>’</w:t>
      </w:r>
      <w:r w:rsidRPr="00F04181">
        <w:t>ordre du jour provisoire</w:t>
      </w:r>
    </w:p>
    <w:p w:rsidR="00581B1E" w:rsidRPr="006A0B32" w:rsidRDefault="00581B1E" w:rsidP="00581B1E">
      <w:pPr>
        <w:rPr>
          <w:b/>
          <w:bCs/>
        </w:rPr>
      </w:pPr>
      <w:r w:rsidRPr="006A0B32">
        <w:rPr>
          <w:b/>
        </w:rPr>
        <w:t>Rapports des groupes de travail informels</w:t>
      </w:r>
    </w:p>
    <w:p w:rsidR="00581B1E" w:rsidRPr="00F04181" w:rsidRDefault="00581B1E" w:rsidP="00C73F5A">
      <w:pPr>
        <w:pStyle w:val="HChG"/>
      </w:pPr>
      <w:r w:rsidRPr="00F04181">
        <w:tab/>
      </w:r>
      <w:r w:rsidRPr="00F04181">
        <w:tab/>
        <w:t xml:space="preserve">Résumé analytique des résultats de la deuxième </w:t>
      </w:r>
      <w:r w:rsidR="00C73F5A">
        <w:t>réunion</w:t>
      </w:r>
      <w:r w:rsidR="00C73F5A">
        <w:br/>
      </w:r>
      <w:r w:rsidRPr="00F04181">
        <w:t xml:space="preserve">du </w:t>
      </w:r>
      <w:r w:rsidRPr="001C7579">
        <w:t>groupe de travail informel</w:t>
      </w:r>
      <w:r w:rsidR="0081166C">
        <w:t xml:space="preserve"> </w:t>
      </w:r>
      <w:r w:rsidRPr="001C7579">
        <w:t xml:space="preserve">du </w:t>
      </w:r>
      <w:r w:rsidR="00C73F5A">
        <w:t>mélange de cargaisons</w:t>
      </w:r>
      <w:r w:rsidR="00C73F5A">
        <w:br/>
      </w:r>
      <w:r w:rsidRPr="001C7579">
        <w:t>à bord des barges</w:t>
      </w:r>
    </w:p>
    <w:p w:rsidR="00581B1E" w:rsidRDefault="00581B1E" w:rsidP="00C73F5A">
      <w:pPr>
        <w:pStyle w:val="H1G"/>
        <w:rPr>
          <w:b w:val="0"/>
          <w:bCs/>
          <w:sz w:val="20"/>
        </w:rPr>
      </w:pPr>
      <w:r w:rsidRPr="00F04181">
        <w:tab/>
      </w:r>
      <w:r w:rsidRPr="00F04181">
        <w:tab/>
        <w:t>Transmis par la Federation of European Tank Storage Associations (FETSA), l</w:t>
      </w:r>
      <w:r w:rsidR="000C01B9">
        <w:t>’</w:t>
      </w:r>
      <w:r w:rsidRPr="00F04181">
        <w:t>Union européenne de la navigation fluviale (UENF),</w:t>
      </w:r>
      <w:r w:rsidR="0081166C">
        <w:t xml:space="preserve"> </w:t>
      </w:r>
      <w:r w:rsidRPr="00F04181">
        <w:t>l</w:t>
      </w:r>
      <w:r w:rsidR="000C01B9">
        <w:t>’</w:t>
      </w:r>
      <w:r w:rsidRPr="00F04181">
        <w:t>Organisation européenne des bateliers (OEB), l</w:t>
      </w:r>
      <w:r w:rsidR="000C01B9">
        <w:t>’</w:t>
      </w:r>
      <w:r w:rsidRPr="00F04181">
        <w:t>European Bulk Oil Traders Association</w:t>
      </w:r>
      <w:r w:rsidR="00C73F5A">
        <w:t xml:space="preserve"> (EBOTA)</w:t>
      </w:r>
      <w:r w:rsidR="0081166C">
        <w:t xml:space="preserve"> </w:t>
      </w:r>
      <w:r w:rsidR="00C73F5A">
        <w:t>et Fuels Europe</w:t>
      </w:r>
      <w:r w:rsidRPr="00C73F5A">
        <w:rPr>
          <w:b w:val="0"/>
          <w:bCs/>
          <w:sz w:val="20"/>
        </w:rPr>
        <w:footnoteReference w:customMarkFollows="1" w:id="2"/>
        <w:t>*</w:t>
      </w:r>
      <w:r w:rsidRPr="00C73F5A">
        <w:rPr>
          <w:bCs/>
          <w:sz w:val="20"/>
          <w:vertAlign w:val="superscript"/>
        </w:rPr>
        <w:t>,</w:t>
      </w:r>
      <w:r w:rsidR="00C73F5A">
        <w:rPr>
          <w:bCs/>
          <w:vertAlign w:val="superscript"/>
        </w:rPr>
        <w:t xml:space="preserve"> </w:t>
      </w:r>
      <w:r w:rsidRPr="00C73F5A">
        <w:rPr>
          <w:b w:val="0"/>
          <w:bCs/>
          <w:sz w:val="20"/>
        </w:rPr>
        <w:footnoteReference w:customMarkFollows="1" w:id="3"/>
        <w:t>**</w:t>
      </w:r>
    </w:p>
    <w:tbl>
      <w:tblPr>
        <w:tblStyle w:val="TableGrid"/>
        <w:tblW w:w="0" w:type="auto"/>
        <w:jc w:val="center"/>
        <w:tblBorders>
          <w:insideH w:val="none" w:sz="0" w:space="0" w:color="auto"/>
        </w:tblBorders>
        <w:tblLook w:val="05E0" w:firstRow="1" w:lastRow="1" w:firstColumn="1" w:lastColumn="1" w:noHBand="0" w:noVBand="1"/>
      </w:tblPr>
      <w:tblGrid>
        <w:gridCol w:w="9637"/>
      </w:tblGrid>
      <w:tr w:rsidR="00016A39" w:rsidTr="001F1B0C">
        <w:trPr>
          <w:jc w:val="center"/>
        </w:trPr>
        <w:tc>
          <w:tcPr>
            <w:tcW w:w="9637" w:type="dxa"/>
            <w:tcBorders>
              <w:bottom w:val="nil"/>
            </w:tcBorders>
            <w:shd w:val="clear" w:color="auto" w:fill="auto"/>
          </w:tcPr>
          <w:p w:rsidR="00016A39" w:rsidRPr="000001E7" w:rsidRDefault="00016A39" w:rsidP="001F1B0C">
            <w:pPr>
              <w:spacing w:before="240" w:after="120"/>
              <w:ind w:left="255"/>
              <w:rPr>
                <w:i/>
                <w:sz w:val="24"/>
              </w:rPr>
            </w:pPr>
            <w:r w:rsidRPr="000001E7">
              <w:rPr>
                <w:i/>
                <w:sz w:val="24"/>
              </w:rPr>
              <w:t>Résumé</w:t>
            </w:r>
          </w:p>
        </w:tc>
      </w:tr>
      <w:tr w:rsidR="00016A39" w:rsidTr="001F1B0C">
        <w:trPr>
          <w:jc w:val="center"/>
        </w:trPr>
        <w:tc>
          <w:tcPr>
            <w:tcW w:w="9637" w:type="dxa"/>
            <w:tcBorders>
              <w:top w:val="nil"/>
              <w:bottom w:val="nil"/>
            </w:tcBorders>
            <w:shd w:val="clear" w:color="auto" w:fill="auto"/>
          </w:tcPr>
          <w:p w:rsidR="005D7211" w:rsidRDefault="00016A39" w:rsidP="007E6CFC">
            <w:pPr>
              <w:pStyle w:val="SingleTxtG"/>
              <w:ind w:left="2552" w:hanging="2268"/>
            </w:pPr>
            <w:r>
              <w:rPr>
                <w:b/>
              </w:rPr>
              <w:t>Résumé analytique </w:t>
            </w:r>
            <w:r w:rsidRPr="00CA3339">
              <w:t>:</w:t>
            </w:r>
            <w:r>
              <w:rPr>
                <w:b/>
              </w:rPr>
              <w:tab/>
            </w:r>
            <w:r w:rsidRPr="00F04181">
              <w:t>Résumé analytique des résultats des première et deuxième réunions</w:t>
            </w:r>
            <w:r w:rsidR="007E6CFC">
              <w:t xml:space="preserve"> du groupe de travail informel </w:t>
            </w:r>
            <w:r w:rsidRPr="00F04181">
              <w:t>du mélange de cargaisons à bord des barges</w:t>
            </w:r>
            <w:r w:rsidR="009C1CB3">
              <w:t> ;</w:t>
            </w:r>
            <w:r w:rsidRPr="00F04181">
              <w:t xml:space="preserve"> résumé complet des renseignements et des réponses aux questions posées dans le cadre du mandat donné au cours des trentième, trente et unième et trente-deuxième sessions du Comité de sécurité de l</w:t>
            </w:r>
            <w:r w:rsidR="000C01B9">
              <w:t>’</w:t>
            </w:r>
            <w:r w:rsidRPr="00F04181">
              <w:t xml:space="preserve">ADN. </w:t>
            </w:r>
          </w:p>
          <w:p w:rsidR="00016A39" w:rsidRDefault="005D7211" w:rsidP="001F1B0C">
            <w:pPr>
              <w:pStyle w:val="SingleTxtG"/>
              <w:ind w:left="2552" w:hanging="2268"/>
            </w:pPr>
            <w:r>
              <w:tab/>
            </w:r>
            <w:r w:rsidR="00016A39" w:rsidRPr="00F04181">
              <w:t>Au cours de la deuxième réunion, qui a eu lieu à La Haye (Pays-Bas) le 24</w:t>
            </w:r>
            <w:r w:rsidR="001F1B0C">
              <w:t> </w:t>
            </w:r>
            <w:r w:rsidR="00016A39" w:rsidRPr="00F04181">
              <w:t>avril 2018 et qui a été organisée par la FETSA, les représentants des organisations ci-après étaient présents</w:t>
            </w:r>
            <w:r w:rsidR="001F1B0C">
              <w:t> :</w:t>
            </w:r>
            <w:r w:rsidR="00016A39" w:rsidRPr="00F04181">
              <w:t xml:space="preserve"> Port de Rotterdam, Port d</w:t>
            </w:r>
            <w:r w:rsidR="000C01B9">
              <w:t>’</w:t>
            </w:r>
            <w:r w:rsidR="00016A39" w:rsidRPr="00F04181">
              <w:t>Amsterdam, Fuels Europe, UENF, OEB, EBOTA et FETSA</w:t>
            </w:r>
            <w:r w:rsidR="007E6CFC">
              <w:t>.</w:t>
            </w:r>
          </w:p>
        </w:tc>
      </w:tr>
      <w:tr w:rsidR="00016A39" w:rsidTr="001F1B0C">
        <w:trPr>
          <w:jc w:val="center"/>
        </w:trPr>
        <w:tc>
          <w:tcPr>
            <w:tcW w:w="9637" w:type="dxa"/>
            <w:tcBorders>
              <w:top w:val="nil"/>
            </w:tcBorders>
            <w:shd w:val="clear" w:color="auto" w:fill="auto"/>
          </w:tcPr>
          <w:p w:rsidR="00016A39" w:rsidRDefault="00016A39" w:rsidP="001F1B0C">
            <w:pPr>
              <w:pStyle w:val="SingleTxtG"/>
              <w:keepNext/>
              <w:keepLines/>
              <w:ind w:left="2552" w:hanging="2268"/>
            </w:pPr>
            <w:r>
              <w:rPr>
                <w:b/>
              </w:rPr>
              <w:lastRenderedPageBreak/>
              <w:t>Mesure à prendre</w:t>
            </w:r>
            <w:r w:rsidRPr="00CA3339">
              <w:t> :</w:t>
            </w:r>
            <w:r>
              <w:rPr>
                <w:b/>
              </w:rPr>
              <w:tab/>
            </w:r>
            <w:r w:rsidRPr="00F04181">
              <w:t>Le groupe de travail informel invite le Comité de sécurité à examiner les propositions détaillées dans l</w:t>
            </w:r>
            <w:r w:rsidR="000C01B9">
              <w:t>’</w:t>
            </w:r>
            <w:r w:rsidRPr="00F04181">
              <w:t>introduction et les annexes ci-après, et à proroger son mandat afin qu</w:t>
            </w:r>
            <w:r w:rsidR="000C01B9">
              <w:t>’</w:t>
            </w:r>
            <w:r w:rsidRPr="00F04181">
              <w:t>il puisse continuer de travailler sur ces propositions, notamment, mais pas exclusivement sur les propositions d</w:t>
            </w:r>
            <w:r w:rsidR="000C01B9">
              <w:t>’</w:t>
            </w:r>
            <w:r w:rsidRPr="00F04181">
              <w:t>amendements 1.2.1, 1.4, 2.1, 5.4, 7.2, et 8.6.3 de l</w:t>
            </w:r>
            <w:r w:rsidR="000C01B9">
              <w:t>’</w:t>
            </w:r>
            <w:r w:rsidRPr="00F04181">
              <w:t>ADN, et sur une proposition visant à incorporer l</w:t>
            </w:r>
            <w:r w:rsidR="000C01B9">
              <w:t>’</w:t>
            </w:r>
            <w:r w:rsidRPr="00F04181">
              <w:t>opération du mélange de cargaisons aux</w:t>
            </w:r>
            <w:r w:rsidR="0081166C">
              <w:t xml:space="preserve"> </w:t>
            </w:r>
            <w:r w:rsidRPr="00F04181">
              <w:t>points 7.2.4.12 et 8.1.11 de l</w:t>
            </w:r>
            <w:r w:rsidR="000C01B9">
              <w:t>’</w:t>
            </w:r>
            <w:r w:rsidRPr="00F04181">
              <w:t>ADN.</w:t>
            </w:r>
          </w:p>
        </w:tc>
      </w:tr>
      <w:tr w:rsidR="00016A39" w:rsidTr="00AB3C00">
        <w:trPr>
          <w:jc w:val="center"/>
        </w:trPr>
        <w:tc>
          <w:tcPr>
            <w:tcW w:w="9637" w:type="dxa"/>
            <w:shd w:val="clear" w:color="auto" w:fill="auto"/>
          </w:tcPr>
          <w:p w:rsidR="00016A39" w:rsidRDefault="00016A39" w:rsidP="00016A39">
            <w:pPr>
              <w:pStyle w:val="SingleTxtG"/>
              <w:spacing w:after="0"/>
              <w:ind w:left="2552" w:hanging="2268"/>
            </w:pPr>
            <w:r w:rsidRPr="002A566C">
              <w:rPr>
                <w:b/>
              </w:rPr>
              <w:t>Documents de référence</w:t>
            </w:r>
            <w:r w:rsidRPr="00CA3339">
              <w:t> :</w:t>
            </w:r>
            <w:r>
              <w:rPr>
                <w:b/>
              </w:rPr>
              <w:tab/>
            </w:r>
            <w:r w:rsidRPr="00F04181">
              <w:t>Document</w:t>
            </w:r>
            <w:r w:rsidR="00195D9F">
              <w:t xml:space="preserve"> informel</w:t>
            </w:r>
            <w:r w:rsidRPr="00F04181">
              <w:t xml:space="preserve"> INF.15 de la trentième session</w:t>
            </w:r>
          </w:p>
          <w:p w:rsidR="00016A39" w:rsidRDefault="00016A39" w:rsidP="00016A39">
            <w:pPr>
              <w:pStyle w:val="SingleTxtG"/>
              <w:spacing w:after="0"/>
              <w:ind w:left="2552" w:hanging="2268"/>
            </w:pPr>
            <w:r>
              <w:tab/>
            </w:r>
            <w:r w:rsidRPr="00F04181">
              <w:t>Document informel INF.</w:t>
            </w:r>
            <w:r w:rsidR="001F1B0C">
              <w:t> </w:t>
            </w:r>
            <w:r w:rsidRPr="00F04181">
              <w:t>6 de la trente et unième session (en tant qu</w:t>
            </w:r>
            <w:r w:rsidR="000C01B9">
              <w:t>’</w:t>
            </w:r>
            <w:r w:rsidRPr="00F04181">
              <w:t>additif au document ECE/TRANS/WP.15/AC.2/2017/44)</w:t>
            </w:r>
          </w:p>
          <w:p w:rsidR="00016A39" w:rsidRDefault="00016A39" w:rsidP="00016A39">
            <w:pPr>
              <w:pStyle w:val="SingleTxtG"/>
              <w:ind w:left="2552" w:hanging="2268"/>
              <w:rPr>
                <w:b/>
              </w:rPr>
            </w:pPr>
            <w:r>
              <w:tab/>
            </w:r>
            <w:r w:rsidRPr="00F04181">
              <w:t>Document informel INF.9 de la trente-deuxième session</w:t>
            </w:r>
            <w:r w:rsidR="009233E1">
              <w:t>.</w:t>
            </w:r>
          </w:p>
        </w:tc>
      </w:tr>
      <w:tr w:rsidR="00016A39" w:rsidTr="00AB3C00">
        <w:trPr>
          <w:jc w:val="center"/>
        </w:trPr>
        <w:tc>
          <w:tcPr>
            <w:tcW w:w="9637" w:type="dxa"/>
            <w:shd w:val="clear" w:color="auto" w:fill="auto"/>
          </w:tcPr>
          <w:p w:rsidR="00016A39" w:rsidRDefault="00016A39" w:rsidP="00AB3C00"/>
        </w:tc>
      </w:tr>
    </w:tbl>
    <w:p w:rsidR="00581B1E" w:rsidRPr="00F04181" w:rsidRDefault="00581B1E" w:rsidP="001F1B0C">
      <w:pPr>
        <w:pStyle w:val="HChG"/>
      </w:pPr>
      <w:r w:rsidRPr="00F04181">
        <w:tab/>
      </w:r>
      <w:r w:rsidRPr="00F04181">
        <w:tab/>
        <w:t>Introduction</w:t>
      </w:r>
    </w:p>
    <w:p w:rsidR="00581B1E" w:rsidRPr="00F04181" w:rsidRDefault="00581B1E" w:rsidP="001F1B0C">
      <w:pPr>
        <w:pStyle w:val="SingleTxtG"/>
      </w:pPr>
      <w:r w:rsidRPr="00F04181">
        <w:t>1.</w:t>
      </w:r>
      <w:r w:rsidRPr="00F04181">
        <w:tab/>
        <w:t>L</w:t>
      </w:r>
      <w:r w:rsidR="000C01B9">
        <w:t>’</w:t>
      </w:r>
      <w:r w:rsidRPr="00F04181">
        <w:t>opération qui consiste à mélanger les cargaisons dans les barges de navigation intérieure est une pratique fréquente et bien contrôlée, qui s</w:t>
      </w:r>
      <w:r w:rsidR="000C01B9">
        <w:t>’</w:t>
      </w:r>
      <w:r w:rsidRPr="00F04181">
        <w:t>effectue principalement dans les ports (maritimes). Réalisée par des professionnels du secteur, elle s</w:t>
      </w:r>
      <w:r w:rsidR="000C01B9">
        <w:t>’</w:t>
      </w:r>
      <w:r w:rsidRPr="00F04181">
        <w:t>effectue dans le respect de normes élevées concernant la santé, la sécurité et l</w:t>
      </w:r>
      <w:r w:rsidR="000C01B9">
        <w:t>’</w:t>
      </w:r>
      <w:r w:rsidRPr="00F04181">
        <w:t>environnement, raison pour laquelle aucun accident ni incident n</w:t>
      </w:r>
      <w:r w:rsidR="000C01B9">
        <w:t>’</w:t>
      </w:r>
      <w:r w:rsidRPr="00F04181">
        <w:t xml:space="preserve">a été à déplorer </w:t>
      </w:r>
      <w:r>
        <w:t>depuis</w:t>
      </w:r>
      <w:r w:rsidRPr="00F04181">
        <w:t xml:space="preserve"> de nombreuses années. </w:t>
      </w:r>
    </w:p>
    <w:p w:rsidR="00581B1E" w:rsidRPr="00F04181" w:rsidRDefault="00581B1E" w:rsidP="001F1B0C">
      <w:pPr>
        <w:pStyle w:val="SingleTxtG"/>
      </w:pPr>
      <w:r w:rsidRPr="00F04181">
        <w:t>2.</w:t>
      </w:r>
      <w:r w:rsidRPr="00F04181">
        <w:tab/>
        <w:t>Cette opération répond à un besoin d</w:t>
      </w:r>
      <w:r w:rsidR="000C01B9">
        <w:t>’</w:t>
      </w:r>
      <w:r w:rsidRPr="00F04181">
        <w:t>optimisation, dans un environnement de plus en plus complexe de règlements locaux, nationaux et internationaux et de contraintes logistiques. Différents produits sont fabriqués dans différents lieux, partout dans le monde</w:t>
      </w:r>
      <w:r w:rsidR="002A5961">
        <w:t xml:space="preserve"> ; </w:t>
      </w:r>
      <w:r w:rsidRPr="00F04181">
        <w:t>plusieurs ports maritimes en Europe de manière générale, qui ne se limitent pas à ceux de l</w:t>
      </w:r>
      <w:r w:rsidR="000C01B9">
        <w:t>’</w:t>
      </w:r>
      <w:r>
        <w:t>axe</w:t>
      </w:r>
      <w:r w:rsidRPr="00F04181">
        <w:t xml:space="preserve"> Anvers-Rotterdam-Amsterdam (ARA), accueillent des pétroliers en grand nombre et facilitent diverses opérations logistiques complexes entre pétroliers, bateaux-citernes pour voies navigables intérieures et installations à terre, telles que terminaux pétroliers et raffineries. Ces opérations ne se limitent pas au mélange de cargaisons dans les barges ni aux zones précédemment indiquées. C</w:t>
      </w:r>
      <w:r w:rsidR="000C01B9">
        <w:t>’</w:t>
      </w:r>
      <w:r w:rsidRPr="00F04181">
        <w:t>est pourquoi, en accord avec la conception qu</w:t>
      </w:r>
      <w:r w:rsidR="000C01B9">
        <w:t>’</w:t>
      </w:r>
      <w:r w:rsidRPr="00F04181">
        <w:t>a la CEE du transport par voies navigables intérieures, une vision et des solutions paneuropéennes s</w:t>
      </w:r>
      <w:r w:rsidR="000C01B9">
        <w:t>’</w:t>
      </w:r>
      <w:r w:rsidRPr="00F04181">
        <w:t>imposent.</w:t>
      </w:r>
    </w:p>
    <w:p w:rsidR="00581B1E" w:rsidRPr="00F04181" w:rsidRDefault="00581B1E" w:rsidP="001F1B0C">
      <w:pPr>
        <w:pStyle w:val="SingleTxtG"/>
      </w:pPr>
      <w:r w:rsidRPr="00F04181">
        <w:t>3.</w:t>
      </w:r>
      <w:r w:rsidRPr="00F04181">
        <w:tab/>
        <w:t>Les ports (européens) font l</w:t>
      </w:r>
      <w:r w:rsidR="000C01B9">
        <w:t>’</w:t>
      </w:r>
      <w:r w:rsidRPr="00F04181">
        <w:t>objet de réglementations strictes au</w:t>
      </w:r>
      <w:r>
        <w:t>x</w:t>
      </w:r>
      <w:r w:rsidRPr="00F04181">
        <w:t xml:space="preserve"> niveau</w:t>
      </w:r>
      <w:r>
        <w:t>x</w:t>
      </w:r>
      <w:r w:rsidRPr="00F04181">
        <w:t xml:space="preserve"> local, national et international. Il en va de même des sites de production, des terminaux pétroliers et des transporteurs. Les lois et règlements suivent et facilitent le commerce international. Cela vaut aussi pour l</w:t>
      </w:r>
      <w:r w:rsidR="000C01B9">
        <w:t>’</w:t>
      </w:r>
      <w:r w:rsidRPr="00F04181">
        <w:t>ADN, l</w:t>
      </w:r>
      <w:r w:rsidR="000C01B9">
        <w:t>’</w:t>
      </w:r>
      <w:r w:rsidRPr="00F04181">
        <w:t>ADR et le RID,</w:t>
      </w:r>
      <w:r w:rsidR="0081166C">
        <w:t xml:space="preserve"> </w:t>
      </w:r>
      <w:r w:rsidRPr="00F04181">
        <w:t>dans le cadre desquels différents organes de la CEE se rencontrent, débattent, décident et forment des groupes de travail avec des organisations non gouvernementales afin de clarifier certaines interprétations et d</w:t>
      </w:r>
      <w:r w:rsidR="000C01B9">
        <w:t>’</w:t>
      </w:r>
      <w:r w:rsidRPr="00F04181">
        <w:t>adapter l</w:t>
      </w:r>
      <w:r w:rsidR="000C01B9">
        <w:t>’</w:t>
      </w:r>
      <w:r w:rsidRPr="00F04181">
        <w:t>ADN, l</w:t>
      </w:r>
      <w:r w:rsidR="000C01B9">
        <w:t>’</w:t>
      </w:r>
      <w:r w:rsidRPr="00F04181">
        <w:t xml:space="preserve">ADR et le RID aux besoins actuels. </w:t>
      </w:r>
    </w:p>
    <w:p w:rsidR="00581B1E" w:rsidRPr="00F04181" w:rsidRDefault="00581B1E" w:rsidP="001F1B0C">
      <w:pPr>
        <w:pStyle w:val="SingleTxtG"/>
      </w:pPr>
      <w:r w:rsidRPr="00F04181">
        <w:t>4.</w:t>
      </w:r>
      <w:r w:rsidRPr="00F04181">
        <w:tab/>
        <w:t>Le Comité des transports intérieurs de la CEE facilite les mouvements internationaux de personnes et de marchandises par les moyens de transport te</w:t>
      </w:r>
      <w:r w:rsidR="009233E1">
        <w:t>rrestres, comme en témoigne le « </w:t>
      </w:r>
      <w:r w:rsidRPr="00F04181">
        <w:t>Livre blanc de la CEE sur l</w:t>
      </w:r>
      <w:r w:rsidR="000C01B9">
        <w:t>’</w:t>
      </w:r>
      <w:r w:rsidRPr="00F04181">
        <w:t>efficacité et la viabilité du transport par voie navigable en Europe</w:t>
      </w:r>
      <w:r w:rsidR="009233E1">
        <w:t> »</w:t>
      </w:r>
      <w:r w:rsidRPr="00F04181">
        <w:t>, paru en 2011</w:t>
      </w:r>
      <w:r w:rsidRPr="001B51EC">
        <w:rPr>
          <w:rStyle w:val="FootnoteReference"/>
        </w:rPr>
        <w:footnoteReference w:id="4"/>
      </w:r>
      <w:r w:rsidRPr="00F04181">
        <w:t>.</w:t>
      </w:r>
      <w:r w:rsidR="0081166C">
        <w:t xml:space="preserve"> </w:t>
      </w:r>
      <w:r w:rsidRPr="00F04181">
        <w:t>Une prise de conscience s</w:t>
      </w:r>
      <w:r w:rsidR="000C01B9">
        <w:t>’</w:t>
      </w:r>
      <w:r w:rsidRPr="00F04181">
        <w:t>est opérée quant à la nécessité de s</w:t>
      </w:r>
      <w:r w:rsidR="000C01B9">
        <w:t>’</w:t>
      </w:r>
      <w:r w:rsidRPr="00F04181">
        <w:t>adapter à un environnement en évolution rapide. Le Livre blanc de la CEE constate que le transport par les voies navigables intérieures est sûr, fiable et respectueux de l</w:t>
      </w:r>
      <w:r w:rsidR="000C01B9">
        <w:t>’</w:t>
      </w:r>
      <w:r w:rsidRPr="00F04181">
        <w:t>environnement, et qu</w:t>
      </w:r>
      <w:r w:rsidR="000C01B9">
        <w:t>’</w:t>
      </w:r>
      <w:r w:rsidRPr="00F04181">
        <w:t>il a vocation à se développer</w:t>
      </w:r>
      <w:r w:rsidRPr="001B51EC">
        <w:rPr>
          <w:rStyle w:val="FootnoteReference"/>
        </w:rPr>
        <w:footnoteReference w:id="5"/>
      </w:r>
      <w:r w:rsidRPr="00F04181">
        <w:t>.</w:t>
      </w:r>
    </w:p>
    <w:p w:rsidR="00581B1E" w:rsidRPr="00F04181" w:rsidRDefault="00581B1E" w:rsidP="001F1B0C">
      <w:pPr>
        <w:pStyle w:val="SingleTxtG"/>
      </w:pPr>
      <w:r w:rsidRPr="00F04181">
        <w:t>5.</w:t>
      </w:r>
      <w:r w:rsidRPr="00F04181">
        <w:tab/>
        <w:t>Si de nombreux obstacles ont pu être levés, la CEE est consciente de la nécessité de continuer à éliminer les obstacles d</w:t>
      </w:r>
      <w:r w:rsidR="000C01B9">
        <w:t>’</w:t>
      </w:r>
      <w:r w:rsidRPr="00F04181">
        <w:t>ordre administratif, technique et juridique à la navigation intérieure</w:t>
      </w:r>
      <w:r w:rsidRPr="001B51EC">
        <w:rPr>
          <w:rStyle w:val="FootnoteReference"/>
        </w:rPr>
        <w:footnoteReference w:id="6"/>
      </w:r>
      <w:r w:rsidRPr="00F04181">
        <w:t>.</w:t>
      </w:r>
    </w:p>
    <w:p w:rsidR="006D5422" w:rsidRDefault="00581B1E" w:rsidP="006D5422">
      <w:pPr>
        <w:pStyle w:val="SingleTxtG"/>
      </w:pPr>
      <w:r w:rsidRPr="00F04181">
        <w:lastRenderedPageBreak/>
        <w:t>6.</w:t>
      </w:r>
      <w:r w:rsidRPr="00F04181">
        <w:tab/>
      </w:r>
      <w:r w:rsidRPr="001C7579">
        <w:t>La vision paneuropéenne du transport efficace et durable par les voies de navigation intérieures englobe également l</w:t>
      </w:r>
      <w:r w:rsidR="000C01B9">
        <w:t>’</w:t>
      </w:r>
      <w:r w:rsidRPr="001C7579">
        <w:t>utilisation des Services d</w:t>
      </w:r>
      <w:r w:rsidR="000C01B9">
        <w:t>’</w:t>
      </w:r>
      <w:r w:rsidRPr="001C7579">
        <w:t>information fluviale (SIF)</w:t>
      </w:r>
      <w:r w:rsidRPr="001B51EC">
        <w:rPr>
          <w:rStyle w:val="FootnoteReference"/>
        </w:rPr>
        <w:footnoteReference w:id="7"/>
      </w:r>
      <w:r w:rsidR="009233E1">
        <w:t> ; elle </w:t>
      </w:r>
      <w:r w:rsidRPr="001C7579">
        <w:t>prend acte des difficultés que posent les exigences du marché, notamment dans les ports maritimes</w:t>
      </w:r>
      <w:r w:rsidRPr="001B51EC">
        <w:rPr>
          <w:rStyle w:val="FootnoteReference"/>
        </w:rPr>
        <w:footnoteReference w:id="8"/>
      </w:r>
      <w:r w:rsidRPr="001C7579">
        <w:t>.</w:t>
      </w:r>
    </w:p>
    <w:p w:rsidR="006D5422" w:rsidRDefault="00581B1E" w:rsidP="006D5422">
      <w:pPr>
        <w:pStyle w:val="SingleTxtG"/>
        <w:rPr>
          <w:lang w:val="fr-FR"/>
        </w:rPr>
      </w:pPr>
      <w:r w:rsidRPr="00F04181">
        <w:rPr>
          <w:lang w:val="fr-FR"/>
        </w:rPr>
        <w:t>7.</w:t>
      </w:r>
      <w:r w:rsidRPr="00F04181">
        <w:rPr>
          <w:lang w:val="fr-FR"/>
        </w:rPr>
        <w:tab/>
        <w:t xml:space="preserve">Le document ECE/TRANS/SC.3/189 </w:t>
      </w:r>
      <w:r w:rsidRPr="00004B7A">
        <w:rPr>
          <w:rFonts w:eastAsia="Calibri"/>
        </w:rPr>
        <w:t>“</w:t>
      </w:r>
      <w:r w:rsidRPr="00A035F0">
        <w:t>Fostering the role of Inland Water Transport in the World within the Framework of the Sustainable Development Agenda</w:t>
      </w:r>
      <w:r w:rsidRPr="00004B7A">
        <w:rPr>
          <w:rFonts w:eastAsia="Calibri"/>
        </w:rPr>
        <w:t>”</w:t>
      </w:r>
      <w:r>
        <w:rPr>
          <w:rFonts w:eastAsia="Calibri"/>
        </w:rPr>
        <w:t xml:space="preserve"> (</w:t>
      </w:r>
      <w:r w:rsidRPr="00F04181">
        <w:rPr>
          <w:lang w:val="fr-FR"/>
        </w:rPr>
        <w:t>Promouvoir le rôle du transport par voie</w:t>
      </w:r>
      <w:r>
        <w:rPr>
          <w:lang w:val="fr-FR"/>
        </w:rPr>
        <w:t>s</w:t>
      </w:r>
      <w:r w:rsidRPr="00F04181">
        <w:rPr>
          <w:lang w:val="fr-FR"/>
        </w:rPr>
        <w:t xml:space="preserve"> navigable</w:t>
      </w:r>
      <w:r>
        <w:rPr>
          <w:lang w:val="fr-FR"/>
        </w:rPr>
        <w:t>s intérieures</w:t>
      </w:r>
      <w:r w:rsidRPr="00F04181">
        <w:rPr>
          <w:lang w:val="fr-FR"/>
        </w:rPr>
        <w:t xml:space="preserve"> dans le monde, dans le cadre du programme de développement durable</w:t>
      </w:r>
      <w:r>
        <w:rPr>
          <w:lang w:val="fr-FR"/>
        </w:rPr>
        <w:t>)</w:t>
      </w:r>
      <w:r w:rsidRPr="001B51EC">
        <w:rPr>
          <w:rStyle w:val="FootnoteReference"/>
        </w:rPr>
        <w:footnoteReference w:id="9"/>
      </w:r>
      <w:r w:rsidR="009233E1">
        <w:rPr>
          <w:lang w:val="fr-FR"/>
        </w:rPr>
        <w:t xml:space="preserve"> fait référence au rôle du </w:t>
      </w:r>
      <w:r w:rsidRPr="00F04181">
        <w:rPr>
          <w:lang w:val="fr-FR"/>
        </w:rPr>
        <w:t>transport par voie</w:t>
      </w:r>
      <w:r>
        <w:rPr>
          <w:lang w:val="fr-FR"/>
        </w:rPr>
        <w:t>s</w:t>
      </w:r>
      <w:r w:rsidRPr="00F04181">
        <w:rPr>
          <w:lang w:val="fr-FR"/>
        </w:rPr>
        <w:t xml:space="preserve"> navigable</w:t>
      </w:r>
      <w:r>
        <w:rPr>
          <w:lang w:val="fr-FR"/>
        </w:rPr>
        <w:t>s</w:t>
      </w:r>
      <w:r w:rsidRPr="00F04181">
        <w:rPr>
          <w:lang w:val="fr-FR"/>
        </w:rPr>
        <w:t xml:space="preserve"> dans le contexte des objectifs de développement durable pertinents</w:t>
      </w:r>
      <w:r w:rsidRPr="001B51EC">
        <w:rPr>
          <w:rStyle w:val="FootnoteReference"/>
        </w:rPr>
        <w:footnoteReference w:id="10"/>
      </w:r>
      <w:r w:rsidRPr="00F04181">
        <w:rPr>
          <w:lang w:val="fr-FR"/>
        </w:rPr>
        <w:t>. En d</w:t>
      </w:r>
      <w:r w:rsidR="000C01B9">
        <w:rPr>
          <w:lang w:val="fr-FR"/>
        </w:rPr>
        <w:t>’</w:t>
      </w:r>
      <w:r w:rsidRPr="00F04181">
        <w:rPr>
          <w:lang w:val="fr-FR"/>
        </w:rPr>
        <w:t>autres termes, des travaux sont menés au sein d</w:t>
      </w:r>
      <w:r w:rsidR="000C01B9">
        <w:rPr>
          <w:lang w:val="fr-FR"/>
        </w:rPr>
        <w:t>’</w:t>
      </w:r>
      <w:r w:rsidRPr="00F04181">
        <w:rPr>
          <w:lang w:val="fr-FR"/>
        </w:rPr>
        <w:t>autres organes de la CEE pour développer le secteur du transport par voie</w:t>
      </w:r>
      <w:r>
        <w:rPr>
          <w:lang w:val="fr-FR"/>
        </w:rPr>
        <w:t>s</w:t>
      </w:r>
      <w:r w:rsidRPr="00F04181">
        <w:rPr>
          <w:lang w:val="fr-FR"/>
        </w:rPr>
        <w:t xml:space="preserve"> navigable</w:t>
      </w:r>
      <w:r>
        <w:rPr>
          <w:lang w:val="fr-FR"/>
        </w:rPr>
        <w:t>s</w:t>
      </w:r>
      <w:r w:rsidRPr="00F04181">
        <w:rPr>
          <w:lang w:val="fr-FR"/>
        </w:rPr>
        <w:t xml:space="preserve"> de manière durable, tout en examinant les exigences du marché. </w:t>
      </w:r>
    </w:p>
    <w:p w:rsidR="00581B1E" w:rsidRPr="00F04181" w:rsidRDefault="00581B1E" w:rsidP="006D5422">
      <w:pPr>
        <w:pStyle w:val="SingleTxtG"/>
        <w:rPr>
          <w:lang w:val="fr-FR"/>
        </w:rPr>
      </w:pPr>
      <w:r w:rsidRPr="00F04181">
        <w:rPr>
          <w:lang w:val="fr-FR"/>
        </w:rPr>
        <w:t>8.</w:t>
      </w:r>
      <w:r w:rsidRPr="00F04181">
        <w:rPr>
          <w:lang w:val="fr-FR"/>
        </w:rPr>
        <w:tab/>
        <w:t>Nos propositions sont en lien avec certains des objectifs de développement durable, comme indiqué dans cette publication (CEE) de l</w:t>
      </w:r>
      <w:r w:rsidR="006D5422">
        <w:rPr>
          <w:lang w:val="fr-FR"/>
        </w:rPr>
        <w:t>a Conférence internationale du t</w:t>
      </w:r>
      <w:r w:rsidRPr="00F04181">
        <w:rPr>
          <w:lang w:val="fr-FR"/>
        </w:rPr>
        <w:t>ransport par voie</w:t>
      </w:r>
      <w:r>
        <w:rPr>
          <w:lang w:val="fr-FR"/>
        </w:rPr>
        <w:t>s</w:t>
      </w:r>
      <w:r w:rsidRPr="00F04181">
        <w:rPr>
          <w:lang w:val="fr-FR"/>
        </w:rPr>
        <w:t xml:space="preserve"> navigable</w:t>
      </w:r>
      <w:r>
        <w:rPr>
          <w:lang w:val="fr-FR"/>
        </w:rPr>
        <w:t>s</w:t>
      </w:r>
      <w:r w:rsidRPr="00F04181">
        <w:rPr>
          <w:lang w:val="fr-FR"/>
        </w:rPr>
        <w:t xml:space="preserve"> dans le monde. </w:t>
      </w:r>
    </w:p>
    <w:p w:rsidR="00581B1E" w:rsidRPr="00B95304" w:rsidRDefault="00581B1E" w:rsidP="00E01A07">
      <w:pPr>
        <w:pStyle w:val="Bullet1GR"/>
        <w:rPr>
          <w:lang w:val="fr-CH"/>
        </w:rPr>
      </w:pPr>
      <w:r w:rsidRPr="00B95304">
        <w:rPr>
          <w:lang w:val="fr-CH"/>
        </w:rPr>
        <w:t>ODD 3 − Permettre à tous de vivre en bonne santé et promouvoir le bien-être de tous à tout âge.</w:t>
      </w:r>
    </w:p>
    <w:p w:rsidR="00581B1E" w:rsidRPr="00B95304" w:rsidRDefault="00581B1E" w:rsidP="00E01A07">
      <w:pPr>
        <w:pStyle w:val="Bullet1GR"/>
        <w:rPr>
          <w:rFonts w:eastAsia="Calibri"/>
          <w:lang w:val="fr-CH"/>
        </w:rPr>
      </w:pPr>
      <w:r w:rsidRPr="00B95304">
        <w:rPr>
          <w:lang w:val="fr-CH"/>
        </w:rPr>
        <w:t>ODD 7 − Garantir l</w:t>
      </w:r>
      <w:r w:rsidR="000C01B9">
        <w:rPr>
          <w:lang w:val="fr-CH"/>
        </w:rPr>
        <w:t>’</w:t>
      </w:r>
      <w:r w:rsidRPr="00B95304">
        <w:rPr>
          <w:lang w:val="fr-CH"/>
        </w:rPr>
        <w:t>accès de tous à des services énergétiques fiables, durables et modernes à un coût abordable.</w:t>
      </w:r>
    </w:p>
    <w:p w:rsidR="00581B1E" w:rsidRPr="00B95304" w:rsidRDefault="00581B1E" w:rsidP="00E01A07">
      <w:pPr>
        <w:pStyle w:val="Bullet1GR"/>
        <w:rPr>
          <w:rFonts w:eastAsia="Calibri"/>
          <w:lang w:val="fr-CH"/>
        </w:rPr>
      </w:pPr>
      <w:r w:rsidRPr="00B95304">
        <w:rPr>
          <w:lang w:val="fr-CH"/>
        </w:rPr>
        <w:t>ODD 9 – Bâtir une infrastructure résiliente, promouvoir une industrialisation durable qui profite à tous et encourager l</w:t>
      </w:r>
      <w:r w:rsidR="000C01B9">
        <w:rPr>
          <w:lang w:val="fr-CH"/>
        </w:rPr>
        <w:t>’</w:t>
      </w:r>
      <w:r w:rsidRPr="00B95304">
        <w:rPr>
          <w:lang w:val="fr-CH"/>
        </w:rPr>
        <w:t>innovation</w:t>
      </w:r>
      <w:r w:rsidR="0075525C">
        <w:rPr>
          <w:lang w:val="fr-CH"/>
        </w:rPr>
        <w:t>.</w:t>
      </w:r>
    </w:p>
    <w:p w:rsidR="00581B1E" w:rsidRPr="00B95304" w:rsidRDefault="00581B1E" w:rsidP="00E01A07">
      <w:pPr>
        <w:pStyle w:val="Bullet1GR"/>
        <w:rPr>
          <w:rFonts w:eastAsia="Calibri"/>
          <w:lang w:val="fr-CH"/>
        </w:rPr>
      </w:pPr>
      <w:r w:rsidRPr="00B95304">
        <w:rPr>
          <w:lang w:val="fr-CH"/>
        </w:rPr>
        <w:t>ODD 11 − Faire en sorte que les villes et les établissements humains soient ouverts à tous, sûrs, résilients et durables.</w:t>
      </w:r>
    </w:p>
    <w:p w:rsidR="00581B1E" w:rsidRPr="00B95304" w:rsidRDefault="00581B1E" w:rsidP="00E01A07">
      <w:pPr>
        <w:pStyle w:val="Bullet1GR"/>
        <w:rPr>
          <w:lang w:val="fr-CH"/>
        </w:rPr>
      </w:pPr>
      <w:r w:rsidRPr="00B95304">
        <w:rPr>
          <w:lang w:val="fr-CH"/>
        </w:rPr>
        <w:t>ODD 13 − Prendre d</w:t>
      </w:r>
      <w:r w:rsidR="000C01B9">
        <w:rPr>
          <w:lang w:val="fr-CH"/>
        </w:rPr>
        <w:t>’</w:t>
      </w:r>
      <w:r w:rsidRPr="00B95304">
        <w:rPr>
          <w:lang w:val="fr-CH"/>
        </w:rPr>
        <w:t>urgence des mesures pour lutter contre les changements climatiques et leurs répercussions.</w:t>
      </w:r>
    </w:p>
    <w:p w:rsidR="00581B1E" w:rsidRPr="00F04181" w:rsidRDefault="00581B1E" w:rsidP="006D5422">
      <w:pPr>
        <w:pStyle w:val="SingleTxtG"/>
      </w:pPr>
      <w:r w:rsidRPr="00F04181">
        <w:t>9.</w:t>
      </w:r>
      <w:r w:rsidRPr="00F04181">
        <w:tab/>
        <w:t>L</w:t>
      </w:r>
      <w:r w:rsidR="000C01B9">
        <w:t>’</w:t>
      </w:r>
      <w:r w:rsidRPr="00F04181">
        <w:t>ADN est un système de réglementation qui tend v</w:t>
      </w:r>
      <w:r w:rsidR="009233E1">
        <w:t>ers des objectifs à atteindre. En </w:t>
      </w:r>
      <w:r w:rsidRPr="00F04181">
        <w:t>d</w:t>
      </w:r>
      <w:r w:rsidR="000C01B9">
        <w:t>’</w:t>
      </w:r>
      <w:r w:rsidRPr="00F04181">
        <w:t>autres termes, les participants à l</w:t>
      </w:r>
      <w:r w:rsidR="000C01B9">
        <w:t>’</w:t>
      </w:r>
      <w:r w:rsidRPr="00F04181">
        <w:t>Accord sont tenus de se conformer à cette réglementation, mais l</w:t>
      </w:r>
      <w:r w:rsidR="000C01B9">
        <w:t>’</w:t>
      </w:r>
      <w:r w:rsidRPr="00F04181">
        <w:t>ADN ne prescrit pas les moyens d</w:t>
      </w:r>
      <w:r w:rsidR="000C01B9">
        <w:t>’</w:t>
      </w:r>
      <w:r w:rsidRPr="00F04181">
        <w:t xml:space="preserve">y parvenir. Nous en tenons compte dans nos propositions. </w:t>
      </w:r>
    </w:p>
    <w:p w:rsidR="00581B1E" w:rsidRPr="00F04181" w:rsidRDefault="00581B1E" w:rsidP="006D5422">
      <w:pPr>
        <w:pStyle w:val="SingleTxtG"/>
      </w:pPr>
      <w:r w:rsidRPr="00F04181">
        <w:t>10.</w:t>
      </w:r>
      <w:r w:rsidRPr="00F04181">
        <w:tab/>
        <w:t>Lors d</w:t>
      </w:r>
      <w:r w:rsidR="000C01B9">
        <w:t>’</w:t>
      </w:r>
      <w:r w:rsidRPr="00F04181">
        <w:t>une précédente réunion, le Comité de sécurité a reconnu que ce type d</w:t>
      </w:r>
      <w:r w:rsidR="000C01B9">
        <w:t>’</w:t>
      </w:r>
      <w:r w:rsidRPr="00F04181">
        <w:t>opérations se produisait sur différents sites à l</w:t>
      </w:r>
      <w:r w:rsidR="000C01B9">
        <w:t>’</w:t>
      </w:r>
      <w:r w:rsidRPr="00F04181">
        <w:t>intérieur du territoire que régit l</w:t>
      </w:r>
      <w:r w:rsidR="000C01B9">
        <w:t>’</w:t>
      </w:r>
      <w:r w:rsidRPr="00F04181">
        <w:t xml:space="preserve">ADN. Il a été dit </w:t>
      </w:r>
      <w:r>
        <w:t xml:space="preserve">à cette occasion </w:t>
      </w:r>
      <w:r w:rsidRPr="00F04181">
        <w:t xml:space="preserve">que </w:t>
      </w:r>
      <w:r>
        <w:t>puisque tel était le cas</w:t>
      </w:r>
      <w:r w:rsidRPr="00F04181">
        <w:t xml:space="preserve">, la question </w:t>
      </w:r>
      <w:r>
        <w:t xml:space="preserve">devrait être examinée </w:t>
      </w:r>
      <w:r w:rsidRPr="00F04181">
        <w:t xml:space="preserve">de plus près. </w:t>
      </w:r>
    </w:p>
    <w:p w:rsidR="00581B1E" w:rsidRPr="00F04181" w:rsidRDefault="00581B1E" w:rsidP="006D5422">
      <w:pPr>
        <w:pStyle w:val="SingleTxtG"/>
      </w:pPr>
      <w:r w:rsidRPr="00F04181">
        <w:t>11.</w:t>
      </w:r>
      <w:r w:rsidRPr="00F04181">
        <w:tab/>
        <w:t>Les membres du Groupe de travail informel, notamment Fuels Europe, EBOTA l</w:t>
      </w:r>
      <w:r w:rsidR="000C01B9">
        <w:t>’</w:t>
      </w:r>
      <w:r w:rsidRPr="00F04181">
        <w:t>UENF, l</w:t>
      </w:r>
      <w:r w:rsidR="000C01B9">
        <w:t>’</w:t>
      </w:r>
      <w:r w:rsidRPr="00F04181">
        <w:t>OEB et la FETSA, comprennent les préoccupations exprimées par certaines délégations lors de réunions passées. Il est pris acte du besoin de mieux décrire cette opération afin de rendre les choses plus transparentes et plus faciles à contrôler. Il s</w:t>
      </w:r>
      <w:r w:rsidR="000C01B9">
        <w:t>’</w:t>
      </w:r>
      <w:r w:rsidRPr="00F04181">
        <w:t>agit d</w:t>
      </w:r>
      <w:r w:rsidR="000C01B9">
        <w:t>’</w:t>
      </w:r>
      <w:r w:rsidRPr="00F04181">
        <w:t xml:space="preserve">un sujet sensible qui a déjà été porté quelques fois à notre attention lorsque des </w:t>
      </w:r>
      <w:r>
        <w:t xml:space="preserve">flux de </w:t>
      </w:r>
      <w:r w:rsidRPr="00F04181">
        <w:t>déchets illégalement</w:t>
      </w:r>
      <w:r>
        <w:t xml:space="preserve"> mêlés à</w:t>
      </w:r>
      <w:r w:rsidRPr="00F04181">
        <w:t xml:space="preserve"> d</w:t>
      </w:r>
      <w:r w:rsidR="000C01B9">
        <w:t>’</w:t>
      </w:r>
      <w:r w:rsidRPr="00F04181">
        <w:t>autres cargaisons ont été découverts à bord de navires. Nous nous devons d</w:t>
      </w:r>
      <w:r w:rsidR="000C01B9">
        <w:t>’</w:t>
      </w:r>
      <w:r w:rsidRPr="00F04181">
        <w:t>apporter à cette question tout le sérieux nécessaire.</w:t>
      </w:r>
    </w:p>
    <w:p w:rsidR="00581B1E" w:rsidRPr="00F04181" w:rsidRDefault="00581B1E" w:rsidP="006D5422">
      <w:pPr>
        <w:pStyle w:val="SingleTxtG"/>
      </w:pPr>
      <w:r w:rsidRPr="00F04181">
        <w:t>12.</w:t>
      </w:r>
      <w:r w:rsidRPr="00F04181">
        <w:tab/>
        <w:t>Il ne doit y avoir aucun doute sur le fait qu</w:t>
      </w:r>
      <w:r w:rsidR="000C01B9">
        <w:t>’</w:t>
      </w:r>
      <w:r w:rsidRPr="00F04181">
        <w:t>il ne s</w:t>
      </w:r>
      <w:r w:rsidR="000C01B9">
        <w:t>’</w:t>
      </w:r>
      <w:r w:rsidRPr="00F04181">
        <w:t>agit absolument pas, lorsqu</w:t>
      </w:r>
      <w:r w:rsidR="000C01B9">
        <w:t>’</w:t>
      </w:r>
      <w:r w:rsidRPr="00F04181">
        <w:t xml:space="preserve">on parle </w:t>
      </w:r>
      <w:r>
        <w:t>de mélange physique</w:t>
      </w:r>
      <w:r w:rsidRPr="00F04181">
        <w:t xml:space="preserve"> de cargaison à </w:t>
      </w:r>
      <w:r>
        <w:t xml:space="preserve">une </w:t>
      </w:r>
      <w:r w:rsidRPr="00F04181">
        <w:t>cargaison existante, d</w:t>
      </w:r>
      <w:r w:rsidR="000C01B9">
        <w:t>’</w:t>
      </w:r>
      <w:r w:rsidRPr="00F04181">
        <w:t xml:space="preserve">autoriser </w:t>
      </w:r>
      <w:r>
        <w:t>l</w:t>
      </w:r>
      <w:r w:rsidR="000C01B9">
        <w:t>’</w:t>
      </w:r>
      <w:r>
        <w:t>apport</w:t>
      </w:r>
      <w:r w:rsidRPr="00F04181">
        <w:t xml:space="preserve"> de déchets, mais </w:t>
      </w:r>
      <w:r>
        <w:t xml:space="preserve">seulement </w:t>
      </w:r>
      <w:r w:rsidRPr="00F04181">
        <w:t>de définir ce qui est admissible, dans quelles conditions et moyennant quels contrôles. Il ne s</w:t>
      </w:r>
      <w:r w:rsidR="000C01B9">
        <w:t>’</w:t>
      </w:r>
      <w:r w:rsidRPr="00F04181">
        <w:t>agit pas non plus d</w:t>
      </w:r>
      <w:r w:rsidR="000C01B9">
        <w:t>’</w:t>
      </w:r>
      <w:r w:rsidRPr="00F04181">
        <w:t xml:space="preserve">ajouter de nouvelles cargaisons ou de les mélanger sans limites aux cargaisons déjà présentes. Nous proposons le mélange </w:t>
      </w:r>
      <w:r w:rsidRPr="001626C8">
        <w:t>de biocomposants avec un</w:t>
      </w:r>
      <w:r w:rsidRPr="00F04181">
        <w:t xml:space="preserve"> nombre très restreint de produits en vue de leur transport, conformément à la législation européenne existante, à l</w:t>
      </w:r>
      <w:r w:rsidR="000C01B9">
        <w:t>’</w:t>
      </w:r>
      <w:r w:rsidRPr="00F04181">
        <w:t>instar de la Directive sur l</w:t>
      </w:r>
      <w:r w:rsidR="000C01B9">
        <w:t>’</w:t>
      </w:r>
      <w:r w:rsidRPr="00F04181">
        <w:t xml:space="preserve">énergie </w:t>
      </w:r>
      <w:r w:rsidRPr="00F04181">
        <w:lastRenderedPageBreak/>
        <w:t>renouvelable</w:t>
      </w:r>
      <w:r w:rsidRPr="001B51EC">
        <w:rPr>
          <w:rStyle w:val="FootnoteReference"/>
        </w:rPr>
        <w:footnoteReference w:id="11"/>
      </w:r>
      <w:r w:rsidRPr="00F04181">
        <w:t xml:space="preserve"> et la Directive sur la qualité des carburants</w:t>
      </w:r>
      <w:r w:rsidRPr="001B51EC">
        <w:rPr>
          <w:rStyle w:val="FootnoteReference"/>
        </w:rPr>
        <w:footnoteReference w:id="12"/>
      </w:r>
      <w:r w:rsidRPr="00F04181">
        <w:t xml:space="preserve">. Nous proposons de limiter les mélanges de cargaisons à un nombre restreint de </w:t>
      </w:r>
      <w:r w:rsidRPr="006B75C2">
        <w:t>numéros ONU.</w:t>
      </w:r>
      <w:r w:rsidRPr="00F04181">
        <w:t xml:space="preserve"> </w:t>
      </w:r>
    </w:p>
    <w:p w:rsidR="00581B1E" w:rsidRPr="00F04181" w:rsidRDefault="00581B1E" w:rsidP="006D5422">
      <w:pPr>
        <w:pStyle w:val="SingleTxtG"/>
      </w:pPr>
      <w:r w:rsidRPr="00F04181">
        <w:t>13.</w:t>
      </w:r>
      <w:r w:rsidRPr="00F04181">
        <w:tab/>
        <w:t xml:space="preserve">Des règles claires et applicables, définissant clairement les responsabilités et les obligations laisseront moins de place aux interprétations. </w:t>
      </w:r>
    </w:p>
    <w:p w:rsidR="00581B1E" w:rsidRPr="00F04181" w:rsidRDefault="00581B1E" w:rsidP="006D5422">
      <w:pPr>
        <w:pStyle w:val="SingleTxtG"/>
      </w:pPr>
      <w:r w:rsidRPr="00F04181">
        <w:t>14.</w:t>
      </w:r>
      <w:r w:rsidRPr="00F04181">
        <w:tab/>
        <w:t>Des possibilités existent dans le cadre de l</w:t>
      </w:r>
      <w:r w:rsidR="000C01B9">
        <w:t>’</w:t>
      </w:r>
      <w:r w:rsidRPr="00F04181">
        <w:t xml:space="preserve">ADN, comme le montre </w:t>
      </w:r>
      <w:r w:rsidRPr="006B75C2">
        <w:t>le schéma de processus d</w:t>
      </w:r>
      <w:r w:rsidR="000C01B9">
        <w:t>’</w:t>
      </w:r>
      <w:r w:rsidRPr="006B75C2">
        <w:t>une opération ty</w:t>
      </w:r>
      <w:r w:rsidR="009233E1">
        <w:t xml:space="preserve">pe de mélange de cargaisons. </w:t>
      </w:r>
      <w:r w:rsidRPr="006B75C2">
        <w:t>Comme expliqué</w:t>
      </w:r>
      <w:r>
        <w:t xml:space="preserve"> plus loin</w:t>
      </w:r>
      <w:r w:rsidRPr="006B75C2">
        <w:t xml:space="preserve">, des responsabilités et </w:t>
      </w:r>
      <w:r>
        <w:t>d</w:t>
      </w:r>
      <w:r w:rsidRPr="006B75C2">
        <w:t>es obligations claires peuvent être assignées aux divers participants à</w:t>
      </w:r>
      <w:r w:rsidRPr="00F04181">
        <w:t xml:space="preserve"> un tel processus. </w:t>
      </w:r>
    </w:p>
    <w:p w:rsidR="00581B1E" w:rsidRPr="00F04181" w:rsidRDefault="00581B1E" w:rsidP="006D5422">
      <w:pPr>
        <w:pStyle w:val="SingleTxtG"/>
      </w:pPr>
      <w:r w:rsidRPr="00F04181">
        <w:t>15.</w:t>
      </w:r>
      <w:r w:rsidRPr="00F04181">
        <w:tab/>
        <w:t>Fuels Europe, l</w:t>
      </w:r>
      <w:r w:rsidR="000C01B9">
        <w:t>’</w:t>
      </w:r>
      <w:r w:rsidRPr="00F04181">
        <w:t>EBOTA, la FETSA et l</w:t>
      </w:r>
      <w:r w:rsidR="000C01B9">
        <w:t>’</w:t>
      </w:r>
      <w:r w:rsidRPr="00F04181">
        <w:t>OEB/UENF entendent contribuer activement à la formulation, en termes clairs et en toute transparence, des mélanges de cargaisons pouvant être autorisés, avec le soutien de l</w:t>
      </w:r>
      <w:r w:rsidR="000C01B9">
        <w:t>’</w:t>
      </w:r>
      <w:r w:rsidRPr="00F04181">
        <w:t>Association néerlandaise des ports maritimes, dont ceux d</w:t>
      </w:r>
      <w:r w:rsidR="000C01B9">
        <w:t>’</w:t>
      </w:r>
      <w:r w:rsidRPr="00F04181">
        <w:t>Amsterdam, de Rotterdam et de Vlissingen, dans l</w:t>
      </w:r>
      <w:r w:rsidR="000C01B9">
        <w:t>’</w:t>
      </w:r>
      <w:r w:rsidRPr="00F04181">
        <w:t>optique d</w:t>
      </w:r>
      <w:r w:rsidR="000C01B9">
        <w:t>’</w:t>
      </w:r>
      <w:r w:rsidRPr="00F04181">
        <w:t>adapter l</w:t>
      </w:r>
      <w:r w:rsidR="000C01B9">
        <w:t>’</w:t>
      </w:r>
      <w:r w:rsidRPr="00F04181">
        <w:t>ADN en centrant entièrement cette démarche sur la sécurité de l</w:t>
      </w:r>
      <w:r w:rsidR="000C01B9">
        <w:t>’</w:t>
      </w:r>
      <w:r w:rsidR="009233E1">
        <w:t>opération. En </w:t>
      </w:r>
      <w:r w:rsidRPr="00F04181">
        <w:t>conséquence, nous invitons le Comité de sécurité de l</w:t>
      </w:r>
      <w:r w:rsidR="000C01B9">
        <w:t>’</w:t>
      </w:r>
      <w:r w:rsidRPr="00F04181">
        <w:t>ADN à examiner les propositions détaillées dans les annexes au présent document et à élargir le mandat du groupe de travail informel à l</w:t>
      </w:r>
      <w:r w:rsidR="000C01B9">
        <w:t>’</w:t>
      </w:r>
      <w:r w:rsidRPr="00F04181">
        <w:t>examen desdites propositions, notamment celles qui ont trait à des amendements et des insertions touchant les points</w:t>
      </w:r>
      <w:r w:rsidR="009233E1">
        <w:t> </w:t>
      </w:r>
      <w:r w:rsidRPr="00F04181">
        <w:t>1.2.1, 1.4, 2.1, 5.4, 7.2 et 8.6.3 de l</w:t>
      </w:r>
      <w:r w:rsidR="000C01B9">
        <w:t>’</w:t>
      </w:r>
      <w:r w:rsidRPr="00F04181">
        <w:t>ADN, ainsi qu</w:t>
      </w:r>
      <w:r w:rsidR="000C01B9">
        <w:t>’</w:t>
      </w:r>
      <w:r w:rsidRPr="00F04181">
        <w:t>une proposition d</w:t>
      </w:r>
      <w:r w:rsidR="000C01B9">
        <w:t>’</w:t>
      </w:r>
      <w:r w:rsidRPr="00F04181">
        <w:t>ajout, concernant les points</w:t>
      </w:r>
      <w:r w:rsidR="009233E1">
        <w:t> </w:t>
      </w:r>
      <w:r w:rsidRPr="00F04181">
        <w:t>7.2.4.12 et 8.1.11, mentionnant l</w:t>
      </w:r>
      <w:r w:rsidR="000C01B9">
        <w:t>’</w:t>
      </w:r>
      <w:r w:rsidRPr="00F04181">
        <w:t xml:space="preserve">opération qui consiste à mélanger les cargaisons. </w:t>
      </w:r>
    </w:p>
    <w:p w:rsidR="00581B1E" w:rsidRPr="00F04181" w:rsidRDefault="00581B1E" w:rsidP="006D5422">
      <w:pPr>
        <w:pStyle w:val="SingleTxtG"/>
      </w:pPr>
      <w:r w:rsidRPr="00F04181">
        <w:t>16.</w:t>
      </w:r>
      <w:r w:rsidRPr="00F04181">
        <w:tab/>
        <w:t>Notre proposition concerne l</w:t>
      </w:r>
      <w:r w:rsidR="000C01B9">
        <w:t>’</w:t>
      </w:r>
      <w:r w:rsidRPr="00F04181">
        <w:t>autorisation d</w:t>
      </w:r>
      <w:r w:rsidR="000C01B9">
        <w:t>’</w:t>
      </w:r>
      <w:r w:rsidRPr="00F04181">
        <w:t>un nombre limité d</w:t>
      </w:r>
      <w:r w:rsidR="000C01B9">
        <w:t>’</w:t>
      </w:r>
      <w:r w:rsidRPr="00F04181">
        <w:t>opérations consistant à mélanger le</w:t>
      </w:r>
      <w:r w:rsidR="009233E1">
        <w:t>s cargaisons, et en particulier :</w:t>
      </w:r>
    </w:p>
    <w:p w:rsidR="00581B1E" w:rsidRPr="00F04181" w:rsidRDefault="00581B1E" w:rsidP="006D5422">
      <w:pPr>
        <w:pStyle w:val="SingleTxtG"/>
        <w:ind w:firstLine="567"/>
      </w:pPr>
      <w:r w:rsidRPr="00F04181">
        <w:t>a)</w:t>
      </w:r>
      <w:r w:rsidRPr="00F04181">
        <w:tab/>
      </w:r>
      <w:r w:rsidR="006D5422" w:rsidRPr="00F04181">
        <w:t>U</w:t>
      </w:r>
      <w:r w:rsidRPr="00F04181">
        <w:t>n mélange de produits portant le même numéro ONU. Ces produits figurent dans les tableaux 1, 2 et 3 de l</w:t>
      </w:r>
      <w:r w:rsidR="000C01B9">
        <w:t>’</w:t>
      </w:r>
      <w:r w:rsidR="00AD4A49">
        <w:t>annexe I ;</w:t>
      </w:r>
    </w:p>
    <w:p w:rsidR="006D5422" w:rsidRDefault="00581B1E" w:rsidP="006D5422">
      <w:pPr>
        <w:pStyle w:val="SingleTxtG"/>
        <w:ind w:firstLine="567"/>
      </w:pPr>
      <w:r w:rsidRPr="00F04181">
        <w:t>b)</w:t>
      </w:r>
      <w:r w:rsidRPr="00F04181">
        <w:tab/>
      </w:r>
      <w:r w:rsidR="006D5422" w:rsidRPr="00F04181">
        <w:t>L</w:t>
      </w:r>
      <w:r w:rsidRPr="00F04181">
        <w:t>e mélange, à bord du bateau, d</w:t>
      </w:r>
      <w:r w:rsidR="000C01B9">
        <w:t>’</w:t>
      </w:r>
      <w:r w:rsidRPr="00F04181">
        <w:t>essence (</w:t>
      </w:r>
      <w:r w:rsidR="009233E1">
        <w:rPr>
          <w:rFonts w:eastAsia="MS Mincho"/>
        </w:rPr>
        <w:t>n</w:t>
      </w:r>
      <w:r w:rsidR="009233E1">
        <w:rPr>
          <w:rFonts w:eastAsia="MS Mincho"/>
          <w:vertAlign w:val="superscript"/>
        </w:rPr>
        <w:t>o</w:t>
      </w:r>
      <w:r w:rsidR="009233E1">
        <w:t> ONU </w:t>
      </w:r>
      <w:r w:rsidRPr="00F04181">
        <w:t>1203), de gazole (</w:t>
      </w:r>
      <w:r w:rsidR="009233E1">
        <w:rPr>
          <w:rFonts w:eastAsia="MS Mincho"/>
        </w:rPr>
        <w:t>n</w:t>
      </w:r>
      <w:r w:rsidR="009233E1">
        <w:rPr>
          <w:rFonts w:eastAsia="MS Mincho"/>
          <w:vertAlign w:val="superscript"/>
        </w:rPr>
        <w:t>o</w:t>
      </w:r>
      <w:r w:rsidR="009233E1">
        <w:t> </w:t>
      </w:r>
      <w:r w:rsidRPr="00F04181">
        <w:t>ONU</w:t>
      </w:r>
      <w:r w:rsidR="009233E1">
        <w:t> 1202) et de fuel oil lourd (</w:t>
      </w:r>
      <w:r w:rsidR="009233E1">
        <w:rPr>
          <w:rFonts w:eastAsia="MS Mincho"/>
        </w:rPr>
        <w:t>n</w:t>
      </w:r>
      <w:r w:rsidR="009233E1">
        <w:rPr>
          <w:rFonts w:eastAsia="MS Mincho"/>
          <w:vertAlign w:val="superscript"/>
        </w:rPr>
        <w:t>o</w:t>
      </w:r>
      <w:r w:rsidR="009233E1">
        <w:t> </w:t>
      </w:r>
      <w:r w:rsidRPr="00F04181">
        <w:t>ONU</w:t>
      </w:r>
      <w:r w:rsidR="009233E1">
        <w:t> </w:t>
      </w:r>
      <w:r w:rsidRPr="00F04181">
        <w:t xml:space="preserve">3082) avec un nombre limité de (bio)composants </w:t>
      </w:r>
      <w:r w:rsidRPr="006B75C2">
        <w:t>appartenant à leur groupe propre.</w:t>
      </w:r>
      <w:r w:rsidRPr="00F04181">
        <w:t xml:space="preserve"> Les biocomposants sont énumérés au tableau 4 de l</w:t>
      </w:r>
      <w:r w:rsidR="000C01B9">
        <w:t>’</w:t>
      </w:r>
      <w:r w:rsidRPr="00F04181">
        <w:t>annexe I. Les proportions de mélange et l</w:t>
      </w:r>
      <w:r w:rsidR="000C01B9">
        <w:t>’</w:t>
      </w:r>
      <w:r w:rsidRPr="00F04181">
        <w:t>ajout de biocomposants doivent respecter les spécifications de qualité des carburants se trouv</w:t>
      </w:r>
      <w:r w:rsidR="00B605C7">
        <w:t xml:space="preserve">ant déjà à bord de manière </w:t>
      </w:r>
      <w:r w:rsidRPr="00F04181">
        <w:t>que les produits puissent continuer d</w:t>
      </w:r>
      <w:r w:rsidR="000C01B9">
        <w:t>’</w:t>
      </w:r>
      <w:r w:rsidRPr="00F04181">
        <w:t xml:space="preserve">être utilisés </w:t>
      </w:r>
      <w:r w:rsidRPr="006B75C2">
        <w:t>comme carburants pour le transport.</w:t>
      </w:r>
    </w:p>
    <w:p w:rsidR="00581B1E" w:rsidRPr="00F04181" w:rsidRDefault="006D5422" w:rsidP="006D5422">
      <w:pPr>
        <w:pStyle w:val="HChG"/>
      </w:pPr>
      <w:r>
        <w:br w:type="page"/>
      </w:r>
      <w:r w:rsidR="00581B1E" w:rsidRPr="00F04181">
        <w:lastRenderedPageBreak/>
        <w:t>Annexe I</w:t>
      </w:r>
      <w:r w:rsidR="00581B1E" w:rsidRPr="00F04181">
        <w:tab/>
      </w:r>
    </w:p>
    <w:p w:rsidR="00581B1E" w:rsidRPr="00F04181" w:rsidRDefault="00581B1E" w:rsidP="006D5422">
      <w:pPr>
        <w:pStyle w:val="HChG"/>
      </w:pPr>
      <w:r w:rsidRPr="00F04181">
        <w:tab/>
      </w:r>
      <w:r w:rsidRPr="00F04181">
        <w:tab/>
        <w:t>Liste des normes proposées</w:t>
      </w:r>
      <w:bookmarkStart w:id="1" w:name="_Hlk515616800"/>
      <w:bookmarkEnd w:id="1"/>
    </w:p>
    <w:p w:rsidR="00581B1E" w:rsidRPr="00F04181" w:rsidRDefault="006D5422" w:rsidP="00071DCF">
      <w:pPr>
        <w:pStyle w:val="H1G"/>
      </w:pPr>
      <w:r>
        <w:tab/>
      </w:r>
      <w:r w:rsidR="00581B1E" w:rsidRPr="00F04181">
        <w:t>I.</w:t>
      </w:r>
      <w:r w:rsidR="00581B1E">
        <w:tab/>
      </w:r>
      <w:r w:rsidR="00581B1E" w:rsidRPr="00F04181">
        <w:t>Liste des normes proposées</w:t>
      </w:r>
    </w:p>
    <w:p w:rsidR="00581B1E" w:rsidRPr="00F04181" w:rsidRDefault="00581B1E" w:rsidP="006D5422">
      <w:pPr>
        <w:pStyle w:val="SingleTxtG"/>
      </w:pPr>
      <w:r w:rsidRPr="00F04181">
        <w:t>1.</w:t>
      </w:r>
      <w:r w:rsidRPr="00F04181">
        <w:tab/>
        <w:t>En réponse aux questions portant sur</w:t>
      </w:r>
      <w:r w:rsidR="0081166C">
        <w:t xml:space="preserve"> </w:t>
      </w:r>
      <w:r w:rsidRPr="00F04181">
        <w:t>le premier document de travail</w:t>
      </w:r>
      <w:r w:rsidRPr="001B51EC">
        <w:rPr>
          <w:rStyle w:val="FootnoteReference"/>
        </w:rPr>
        <w:footnoteReference w:id="13"/>
      </w:r>
      <w:r w:rsidRPr="00F04181">
        <w:t xml:space="preserve"> et le document INF</w:t>
      </w:r>
      <w:r w:rsidR="006D5422">
        <w:t>.</w:t>
      </w:r>
      <w:r w:rsidRPr="00F04181">
        <w:t>9</w:t>
      </w:r>
      <w:r w:rsidRPr="001B51EC">
        <w:rPr>
          <w:rStyle w:val="FootnoteReference"/>
        </w:rPr>
        <w:footnoteReference w:id="14"/>
      </w:r>
      <w:r w:rsidRPr="00F04181">
        <w:t>, le groupe de travail informel a élaboré une liste non exhaustive d</w:t>
      </w:r>
      <w:r w:rsidR="000C01B9">
        <w:t>’</w:t>
      </w:r>
      <w:r w:rsidRPr="00F04181">
        <w:t xml:space="preserve">exemples de produits, regroupés dans trois tableaux selon leur compatibilité. Les produits cités dans chaque groupe sont des composants habituels dans </w:t>
      </w:r>
      <w:r>
        <w:t xml:space="preserve">les différents </w:t>
      </w:r>
      <w:r w:rsidRPr="00F04181">
        <w:t>type</w:t>
      </w:r>
      <w:r>
        <w:t>s</w:t>
      </w:r>
      <w:r w:rsidRPr="00F04181">
        <w:t xml:space="preserve"> de carburant (ainsi, l</w:t>
      </w:r>
      <w:r w:rsidR="000C01B9">
        <w:t>’</w:t>
      </w:r>
      <w:r w:rsidR="006D5422">
        <w:t>éthanol (</w:t>
      </w:r>
      <w:r w:rsidR="006D5422">
        <w:rPr>
          <w:rFonts w:eastAsia="MS Mincho"/>
        </w:rPr>
        <w:t>n</w:t>
      </w:r>
      <w:r w:rsidR="006D5422">
        <w:rPr>
          <w:rFonts w:eastAsia="MS Mincho"/>
          <w:vertAlign w:val="superscript"/>
        </w:rPr>
        <w:t>o</w:t>
      </w:r>
      <w:r w:rsidR="006D5422">
        <w:t> </w:t>
      </w:r>
      <w:r w:rsidRPr="00F04181">
        <w:t xml:space="preserve">ONU 1170) est un </w:t>
      </w:r>
      <w:r w:rsidR="006D5422">
        <w:t>« </w:t>
      </w:r>
      <w:r w:rsidRPr="00F04181">
        <w:t>ingrédient</w:t>
      </w:r>
      <w:r w:rsidR="006D5422">
        <w:t> »</w:t>
      </w:r>
      <w:r w:rsidRPr="00F04181">
        <w:t xml:space="preserve"> commun du mélange que nous appelons </w:t>
      </w:r>
      <w:r w:rsidR="006D5422">
        <w:t>« </w:t>
      </w:r>
      <w:r w:rsidRPr="00F04181">
        <w:t>essence</w:t>
      </w:r>
      <w:r w:rsidR="006D5422">
        <w:t xml:space="preserve"> », et est classé </w:t>
      </w:r>
      <w:r w:rsidR="006D5422">
        <w:rPr>
          <w:rFonts w:eastAsia="MS Mincho"/>
        </w:rPr>
        <w:t>n</w:t>
      </w:r>
      <w:r w:rsidR="006D5422">
        <w:rPr>
          <w:rFonts w:eastAsia="MS Mincho"/>
          <w:vertAlign w:val="superscript"/>
        </w:rPr>
        <w:t>o</w:t>
      </w:r>
      <w:r w:rsidR="006D5422">
        <w:t> </w:t>
      </w:r>
      <w:r w:rsidRPr="00F04181">
        <w:t>ONU 1203</w:t>
      </w:r>
      <w:r w:rsidR="00F92910">
        <w:t>.</w:t>
      </w:r>
    </w:p>
    <w:p w:rsidR="00581B1E" w:rsidRPr="00F04181" w:rsidRDefault="00581B1E" w:rsidP="006D5422">
      <w:pPr>
        <w:pStyle w:val="SingleTxtG"/>
      </w:pPr>
      <w:r w:rsidRPr="00F04181">
        <w:t>2.</w:t>
      </w:r>
      <w:r w:rsidRPr="00F04181">
        <w:tab/>
        <w:t>Le Comité de sécurité est invité à examiner les trois groupes de substances ci-après, conformément au tableau C du chapitre 3.2 de l</w:t>
      </w:r>
      <w:r w:rsidR="000C01B9">
        <w:t>’</w:t>
      </w:r>
      <w:r w:rsidRPr="00F04181">
        <w:t>ADN, à autoriser en vue d</w:t>
      </w:r>
      <w:r w:rsidR="000C01B9">
        <w:t>’</w:t>
      </w:r>
      <w:r w:rsidRPr="00F04181">
        <w:t xml:space="preserve">un mélange de cargaisons à bord des barges, </w:t>
      </w:r>
      <w:r w:rsidRPr="00161306">
        <w:rPr>
          <w:u w:val="single"/>
        </w:rPr>
        <w:t>dans leur groupe de compatibilité</w:t>
      </w:r>
      <w:r w:rsidRPr="00F04181">
        <w:t xml:space="preserve">, en accord avec le </w:t>
      </w:r>
      <w:r w:rsidR="006D5422">
        <w:t xml:space="preserve">troisième </w:t>
      </w:r>
      <w:r w:rsidRPr="00F04181">
        <w:t>paragraphe du point 7.2.4.13.1 de l</w:t>
      </w:r>
      <w:r w:rsidR="000C01B9">
        <w:t>’</w:t>
      </w:r>
      <w:r w:rsidR="006D5422">
        <w:t xml:space="preserve">ADN, </w:t>
      </w:r>
      <w:r w:rsidRPr="00F04181">
        <w:t xml:space="preserve">et avec les définitions des </w:t>
      </w:r>
      <w:r w:rsidR="006D5422">
        <w:t>« </w:t>
      </w:r>
      <w:r w:rsidRPr="00F04181">
        <w:t>opérations de transport exclusif</w:t>
      </w:r>
      <w:r w:rsidR="006D5422">
        <w:t> »</w:t>
      </w:r>
      <w:r w:rsidRPr="00F04181">
        <w:t xml:space="preserve"> et des </w:t>
      </w:r>
      <w:r w:rsidR="006D5422">
        <w:t>« </w:t>
      </w:r>
      <w:r w:rsidRPr="00F04181">
        <w:t>opérations de transport compatible</w:t>
      </w:r>
      <w:r w:rsidR="006D5422">
        <w:t> »</w:t>
      </w:r>
      <w:r w:rsidRPr="00F04181">
        <w:t>, auxquelles renvoie l</w:t>
      </w:r>
      <w:r w:rsidR="000C01B9">
        <w:t>’</w:t>
      </w:r>
      <w:r w:rsidR="006D5422">
        <w:t>article </w:t>
      </w:r>
      <w:r w:rsidRPr="00F04181">
        <w:t xml:space="preserve">5.01 de la </w:t>
      </w:r>
      <w:r w:rsidRPr="001C7579">
        <w:t>Convention relative à la collecte, au dépôt et à la réception des déchets survenant en navigation rhénane et intérieure</w:t>
      </w:r>
      <w:r w:rsidRPr="00F04181">
        <w:t xml:space="preserve"> (CDNI)</w:t>
      </w:r>
      <w:r w:rsidRPr="001B51EC">
        <w:rPr>
          <w:rStyle w:val="FootnoteReference"/>
        </w:rPr>
        <w:footnoteReference w:id="15"/>
      </w:r>
      <w:r w:rsidRPr="00F04181">
        <w:t xml:space="preserve"> et à la condition expresse que les substances </w:t>
      </w:r>
      <w:r>
        <w:t>en question et leur mélange</w:t>
      </w:r>
      <w:r w:rsidRPr="00F04181">
        <w:t xml:space="preserve"> figurent dans la liste des matières autorisées à bord des bateaux, comme indiqué au point 1.16.1.2.5</w:t>
      </w:r>
      <w:r w:rsidR="00F92910">
        <w:t>.</w:t>
      </w:r>
    </w:p>
    <w:p w:rsidR="00ED172D" w:rsidRDefault="00ED172D" w:rsidP="00ED172D">
      <w:pPr>
        <w:pStyle w:val="Heading1"/>
      </w:pPr>
      <w:r>
        <w:t>Tableau 1</w:t>
      </w:r>
    </w:p>
    <w:p w:rsidR="00581B1E" w:rsidRPr="00F04181" w:rsidRDefault="00581B1E" w:rsidP="00ED172D">
      <w:pPr>
        <w:pStyle w:val="Heading1"/>
        <w:spacing w:after="120"/>
        <w:rPr>
          <w:b/>
          <w:bCs/>
        </w:rPr>
      </w:pPr>
      <w:r w:rsidRPr="00F04181">
        <w:rPr>
          <w:b/>
        </w:rPr>
        <w:t>Groupe de compatibilité I</w:t>
      </w:r>
    </w:p>
    <w:tbl>
      <w:tblPr>
        <w:tblW w:w="7370" w:type="dxa"/>
        <w:tblInd w:w="1134" w:type="dxa"/>
        <w:tblLayout w:type="fixed"/>
        <w:tblCellMar>
          <w:left w:w="0" w:type="dxa"/>
          <w:right w:w="0" w:type="dxa"/>
        </w:tblCellMar>
        <w:tblLook w:val="04A0" w:firstRow="1" w:lastRow="0" w:firstColumn="1" w:lastColumn="0" w:noHBand="0" w:noVBand="1"/>
      </w:tblPr>
      <w:tblGrid>
        <w:gridCol w:w="851"/>
        <w:gridCol w:w="851"/>
        <w:gridCol w:w="5668"/>
      </w:tblGrid>
      <w:tr w:rsidR="00581B1E" w:rsidRPr="00AD4A49" w:rsidTr="00F81355">
        <w:trPr>
          <w:tblHeader/>
        </w:trPr>
        <w:tc>
          <w:tcPr>
            <w:tcW w:w="851" w:type="dxa"/>
            <w:tcBorders>
              <w:top w:val="single" w:sz="4" w:space="0" w:color="auto"/>
              <w:bottom w:val="single" w:sz="12" w:space="0" w:color="auto"/>
            </w:tcBorders>
            <w:shd w:val="clear" w:color="auto" w:fill="auto"/>
            <w:vAlign w:val="bottom"/>
            <w:hideMark/>
          </w:tcPr>
          <w:p w:rsidR="00581B1E" w:rsidRPr="00AD4A49" w:rsidRDefault="00581B1E" w:rsidP="00AD4A49">
            <w:pPr>
              <w:spacing w:before="80" w:after="80" w:line="200" w:lineRule="exact"/>
              <w:ind w:right="113"/>
              <w:rPr>
                <w:i/>
                <w:sz w:val="16"/>
                <w:szCs w:val="22"/>
              </w:rPr>
            </w:pPr>
            <w:r w:rsidRPr="00AD4A49">
              <w:rPr>
                <w:i/>
                <w:sz w:val="16"/>
              </w:rPr>
              <w:t>Groupe</w:t>
            </w:r>
          </w:p>
        </w:tc>
        <w:tc>
          <w:tcPr>
            <w:tcW w:w="851" w:type="dxa"/>
            <w:tcBorders>
              <w:top w:val="single" w:sz="4" w:space="0" w:color="auto"/>
              <w:bottom w:val="single" w:sz="12" w:space="0" w:color="auto"/>
            </w:tcBorders>
            <w:shd w:val="clear" w:color="auto" w:fill="auto"/>
            <w:vAlign w:val="bottom"/>
            <w:hideMark/>
          </w:tcPr>
          <w:p w:rsidR="00581B1E" w:rsidRPr="00AD4A49" w:rsidRDefault="00AD4A49" w:rsidP="00AD4A49">
            <w:pPr>
              <w:spacing w:before="80" w:after="80" w:line="200" w:lineRule="exact"/>
              <w:ind w:right="113"/>
              <w:rPr>
                <w:i/>
                <w:sz w:val="16"/>
                <w:szCs w:val="22"/>
              </w:rPr>
            </w:pPr>
            <w:r w:rsidRPr="00AD4A49">
              <w:rPr>
                <w:rFonts w:eastAsia="MS Mincho"/>
                <w:i/>
                <w:sz w:val="16"/>
              </w:rPr>
              <w:t>n</w:t>
            </w:r>
            <w:r w:rsidRPr="00AD4A49">
              <w:rPr>
                <w:rFonts w:eastAsia="MS Mincho"/>
                <w:i/>
                <w:sz w:val="16"/>
                <w:vertAlign w:val="superscript"/>
              </w:rPr>
              <w:t>o</w:t>
            </w:r>
            <w:r>
              <w:rPr>
                <w:i/>
                <w:sz w:val="16"/>
              </w:rPr>
              <w:t> </w:t>
            </w:r>
            <w:r w:rsidR="00581B1E" w:rsidRPr="00AD4A49">
              <w:rPr>
                <w:i/>
                <w:sz w:val="16"/>
              </w:rPr>
              <w:t>ONU</w:t>
            </w:r>
          </w:p>
        </w:tc>
        <w:tc>
          <w:tcPr>
            <w:tcW w:w="5668" w:type="dxa"/>
            <w:tcBorders>
              <w:top w:val="single" w:sz="4" w:space="0" w:color="auto"/>
              <w:bottom w:val="single" w:sz="12" w:space="0" w:color="auto"/>
            </w:tcBorders>
            <w:shd w:val="clear" w:color="auto" w:fill="auto"/>
            <w:vAlign w:val="bottom"/>
            <w:hideMark/>
          </w:tcPr>
          <w:p w:rsidR="00581B1E" w:rsidRPr="00AD4A49" w:rsidRDefault="00581B1E" w:rsidP="00AD4A49">
            <w:pPr>
              <w:spacing w:before="80" w:after="80" w:line="200" w:lineRule="exact"/>
              <w:ind w:right="113"/>
              <w:rPr>
                <w:i/>
                <w:sz w:val="16"/>
                <w:szCs w:val="22"/>
              </w:rPr>
            </w:pPr>
            <w:r w:rsidRPr="00AD4A49">
              <w:rPr>
                <w:i/>
                <w:sz w:val="16"/>
              </w:rPr>
              <w:t>Désignation officielle de transport</w:t>
            </w:r>
          </w:p>
        </w:tc>
      </w:tr>
      <w:tr w:rsidR="00581B1E" w:rsidRPr="00AD4A49" w:rsidTr="00F81355">
        <w:tc>
          <w:tcPr>
            <w:tcW w:w="851" w:type="dxa"/>
            <w:shd w:val="clear" w:color="auto" w:fill="auto"/>
            <w:noWrap/>
            <w:hideMark/>
          </w:tcPr>
          <w:p w:rsidR="00581B1E" w:rsidRPr="00AD4A49" w:rsidRDefault="00581B1E" w:rsidP="0014713E">
            <w:pPr>
              <w:spacing w:before="40" w:after="100"/>
              <w:ind w:right="113"/>
              <w:rPr>
                <w:szCs w:val="22"/>
              </w:rPr>
            </w:pPr>
            <w:r w:rsidRPr="00AD4A49">
              <w:t>Gasoline</w:t>
            </w:r>
          </w:p>
        </w:tc>
        <w:tc>
          <w:tcPr>
            <w:tcW w:w="851" w:type="dxa"/>
            <w:shd w:val="clear" w:color="auto" w:fill="auto"/>
            <w:hideMark/>
          </w:tcPr>
          <w:p w:rsidR="00581B1E" w:rsidRPr="00AD4A49" w:rsidRDefault="00F31887" w:rsidP="0014713E">
            <w:pPr>
              <w:spacing w:before="40" w:after="100"/>
              <w:ind w:right="113"/>
              <w:rPr>
                <w:szCs w:val="22"/>
              </w:rPr>
            </w:pPr>
            <w:r>
              <w:t>1</w:t>
            </w:r>
            <w:r w:rsidR="00581B1E" w:rsidRPr="00AD4A49">
              <w:t>203</w:t>
            </w:r>
          </w:p>
        </w:tc>
        <w:tc>
          <w:tcPr>
            <w:tcW w:w="5668" w:type="dxa"/>
            <w:shd w:val="clear" w:color="auto" w:fill="auto"/>
            <w:noWrap/>
            <w:hideMark/>
          </w:tcPr>
          <w:p w:rsidR="00581B1E" w:rsidRPr="00AD4A49" w:rsidRDefault="00581B1E" w:rsidP="0014713E">
            <w:pPr>
              <w:spacing w:before="40" w:after="100"/>
              <w:ind w:right="113"/>
              <w:rPr>
                <w:szCs w:val="22"/>
              </w:rPr>
            </w:pPr>
            <w:r w:rsidRPr="00AD4A49">
              <w:t>ESSENCE 2)</w:t>
            </w:r>
          </w:p>
        </w:tc>
      </w:tr>
      <w:tr w:rsidR="00581B1E" w:rsidRPr="00AD4A49" w:rsidTr="00F81355">
        <w:tc>
          <w:tcPr>
            <w:tcW w:w="851" w:type="dxa"/>
            <w:shd w:val="clear" w:color="auto" w:fill="auto"/>
            <w:noWrap/>
            <w:hideMark/>
          </w:tcPr>
          <w:p w:rsidR="00581B1E" w:rsidRPr="00AD4A49" w:rsidRDefault="00581B1E" w:rsidP="0014713E">
            <w:pPr>
              <w:spacing w:before="40" w:after="100"/>
              <w:ind w:right="113"/>
              <w:rPr>
                <w:szCs w:val="22"/>
              </w:rPr>
            </w:pPr>
          </w:p>
        </w:tc>
        <w:tc>
          <w:tcPr>
            <w:tcW w:w="851" w:type="dxa"/>
            <w:shd w:val="clear" w:color="auto" w:fill="auto"/>
            <w:hideMark/>
          </w:tcPr>
          <w:p w:rsidR="00581B1E" w:rsidRPr="00AD4A49" w:rsidRDefault="00F31887" w:rsidP="0014713E">
            <w:pPr>
              <w:spacing w:before="40" w:after="100"/>
              <w:ind w:right="113"/>
              <w:rPr>
                <w:szCs w:val="22"/>
              </w:rPr>
            </w:pPr>
            <w:r>
              <w:t>1</w:t>
            </w:r>
            <w:r w:rsidR="00581B1E" w:rsidRPr="00AD4A49">
              <w:t>170</w:t>
            </w:r>
          </w:p>
        </w:tc>
        <w:tc>
          <w:tcPr>
            <w:tcW w:w="5668" w:type="dxa"/>
            <w:shd w:val="clear" w:color="auto" w:fill="auto"/>
            <w:noWrap/>
            <w:hideMark/>
          </w:tcPr>
          <w:p w:rsidR="00581B1E" w:rsidRPr="00AD4A49" w:rsidRDefault="00581B1E" w:rsidP="0014713E">
            <w:pPr>
              <w:spacing w:before="40" w:after="100"/>
              <w:ind w:right="113"/>
              <w:rPr>
                <w:szCs w:val="22"/>
              </w:rPr>
            </w:pPr>
            <w:r w:rsidRPr="00AD4A49">
              <w:t>ÉTHANOL (ALCOOL ÉTHYLIQUE) ou ÉTHANOL EN SOLUTION (ALCOOL ÉTHYLIQUE EN SOLUTION) 1)</w:t>
            </w:r>
          </w:p>
        </w:tc>
      </w:tr>
      <w:tr w:rsidR="00581B1E" w:rsidRPr="00AD4A49" w:rsidTr="00F81355">
        <w:tc>
          <w:tcPr>
            <w:tcW w:w="851" w:type="dxa"/>
            <w:shd w:val="clear" w:color="auto" w:fill="auto"/>
            <w:noWrap/>
            <w:hideMark/>
          </w:tcPr>
          <w:p w:rsidR="00581B1E" w:rsidRPr="00AD4A49" w:rsidRDefault="00581B1E" w:rsidP="0014713E">
            <w:pPr>
              <w:spacing w:before="40" w:after="100"/>
              <w:ind w:right="113"/>
              <w:rPr>
                <w:szCs w:val="22"/>
              </w:rPr>
            </w:pPr>
          </w:p>
        </w:tc>
        <w:tc>
          <w:tcPr>
            <w:tcW w:w="851" w:type="dxa"/>
            <w:shd w:val="clear" w:color="auto" w:fill="auto"/>
            <w:hideMark/>
          </w:tcPr>
          <w:p w:rsidR="00581B1E" w:rsidRPr="00AD4A49" w:rsidRDefault="00F31887" w:rsidP="0014713E">
            <w:pPr>
              <w:spacing w:before="40" w:after="100"/>
              <w:ind w:right="113"/>
              <w:rPr>
                <w:szCs w:val="22"/>
              </w:rPr>
            </w:pPr>
            <w:r>
              <w:t>1</w:t>
            </w:r>
            <w:r w:rsidR="00581B1E" w:rsidRPr="00AD4A49">
              <w:t>179</w:t>
            </w:r>
          </w:p>
        </w:tc>
        <w:tc>
          <w:tcPr>
            <w:tcW w:w="5668" w:type="dxa"/>
            <w:shd w:val="clear" w:color="auto" w:fill="auto"/>
            <w:noWrap/>
            <w:hideMark/>
          </w:tcPr>
          <w:p w:rsidR="00581B1E" w:rsidRPr="00AD4A49" w:rsidRDefault="00581B1E" w:rsidP="0014713E">
            <w:pPr>
              <w:spacing w:before="40" w:after="100"/>
              <w:ind w:right="113"/>
              <w:rPr>
                <w:szCs w:val="22"/>
              </w:rPr>
            </w:pPr>
            <w:r w:rsidRPr="00AD4A49">
              <w:t xml:space="preserve">ÉTHER ÉTHYLBUTYLIQUE </w:t>
            </w:r>
          </w:p>
        </w:tc>
      </w:tr>
      <w:tr w:rsidR="00581B1E" w:rsidRPr="00AD4A49" w:rsidTr="00F81355">
        <w:tc>
          <w:tcPr>
            <w:tcW w:w="851" w:type="dxa"/>
            <w:shd w:val="clear" w:color="auto" w:fill="auto"/>
            <w:noWrap/>
            <w:hideMark/>
          </w:tcPr>
          <w:p w:rsidR="00581B1E" w:rsidRPr="00AD4A49" w:rsidRDefault="00581B1E" w:rsidP="0014713E">
            <w:pPr>
              <w:spacing w:before="40" w:after="100"/>
              <w:ind w:right="113"/>
              <w:rPr>
                <w:szCs w:val="22"/>
              </w:rPr>
            </w:pPr>
          </w:p>
        </w:tc>
        <w:tc>
          <w:tcPr>
            <w:tcW w:w="851" w:type="dxa"/>
            <w:shd w:val="clear" w:color="auto" w:fill="auto"/>
            <w:hideMark/>
          </w:tcPr>
          <w:p w:rsidR="00581B1E" w:rsidRPr="00AD4A49" w:rsidRDefault="00F31887" w:rsidP="0014713E">
            <w:pPr>
              <w:spacing w:before="40" w:after="100"/>
              <w:ind w:right="113"/>
              <w:rPr>
                <w:szCs w:val="22"/>
              </w:rPr>
            </w:pPr>
            <w:r>
              <w:t>1</w:t>
            </w:r>
            <w:r w:rsidR="00581B1E" w:rsidRPr="00AD4A49">
              <w:t>230</w:t>
            </w:r>
          </w:p>
        </w:tc>
        <w:tc>
          <w:tcPr>
            <w:tcW w:w="5668" w:type="dxa"/>
            <w:shd w:val="clear" w:color="auto" w:fill="auto"/>
            <w:noWrap/>
            <w:hideMark/>
          </w:tcPr>
          <w:p w:rsidR="00581B1E" w:rsidRPr="00AD4A49" w:rsidRDefault="00581B1E" w:rsidP="0014713E">
            <w:pPr>
              <w:spacing w:before="40" w:after="100"/>
              <w:ind w:right="113"/>
              <w:rPr>
                <w:szCs w:val="22"/>
              </w:rPr>
            </w:pPr>
            <w:r w:rsidRPr="00AD4A49">
              <w:t>MÉTHANOL</w:t>
            </w:r>
          </w:p>
        </w:tc>
      </w:tr>
      <w:tr w:rsidR="00581B1E" w:rsidRPr="00AD4A49" w:rsidTr="00F81355">
        <w:tc>
          <w:tcPr>
            <w:tcW w:w="851" w:type="dxa"/>
            <w:shd w:val="clear" w:color="auto" w:fill="auto"/>
            <w:noWrap/>
            <w:hideMark/>
          </w:tcPr>
          <w:p w:rsidR="00581B1E" w:rsidRPr="00AD4A49" w:rsidRDefault="00581B1E" w:rsidP="0014713E">
            <w:pPr>
              <w:spacing w:before="40" w:after="100"/>
              <w:ind w:right="113"/>
              <w:rPr>
                <w:szCs w:val="22"/>
              </w:rPr>
            </w:pPr>
          </w:p>
        </w:tc>
        <w:tc>
          <w:tcPr>
            <w:tcW w:w="851" w:type="dxa"/>
            <w:shd w:val="clear" w:color="auto" w:fill="auto"/>
            <w:hideMark/>
          </w:tcPr>
          <w:p w:rsidR="00581B1E" w:rsidRPr="00AD4A49" w:rsidRDefault="00F31887" w:rsidP="0014713E">
            <w:pPr>
              <w:spacing w:before="40" w:after="100"/>
              <w:ind w:right="113"/>
              <w:rPr>
                <w:szCs w:val="22"/>
              </w:rPr>
            </w:pPr>
            <w:r>
              <w:t>1</w:t>
            </w:r>
            <w:r w:rsidR="00581B1E" w:rsidRPr="00AD4A49">
              <w:t>268</w:t>
            </w:r>
          </w:p>
        </w:tc>
        <w:tc>
          <w:tcPr>
            <w:tcW w:w="5668" w:type="dxa"/>
            <w:shd w:val="clear" w:color="auto" w:fill="auto"/>
            <w:noWrap/>
            <w:hideMark/>
          </w:tcPr>
          <w:p w:rsidR="00581B1E" w:rsidRPr="00AD4A49" w:rsidRDefault="00581B1E" w:rsidP="0014713E">
            <w:pPr>
              <w:spacing w:before="40" w:after="100"/>
              <w:ind w:right="113"/>
              <w:rPr>
                <w:szCs w:val="22"/>
              </w:rPr>
            </w:pPr>
            <w:r w:rsidRPr="00AD4A49">
              <w:t>DISTILLATS DE PÉTROLE, N.S.A. ou PRODUITS PÉTROLIERS, N.S.A. 2)</w:t>
            </w:r>
          </w:p>
        </w:tc>
      </w:tr>
      <w:tr w:rsidR="00581B1E" w:rsidRPr="00AD4A49" w:rsidTr="00F81355">
        <w:tc>
          <w:tcPr>
            <w:tcW w:w="851" w:type="dxa"/>
            <w:shd w:val="clear" w:color="auto" w:fill="auto"/>
            <w:noWrap/>
            <w:hideMark/>
          </w:tcPr>
          <w:p w:rsidR="00581B1E" w:rsidRPr="00AD4A49" w:rsidRDefault="00581B1E" w:rsidP="0014713E">
            <w:pPr>
              <w:spacing w:before="40" w:after="100"/>
              <w:ind w:right="113"/>
              <w:rPr>
                <w:szCs w:val="22"/>
              </w:rPr>
            </w:pPr>
          </w:p>
        </w:tc>
        <w:tc>
          <w:tcPr>
            <w:tcW w:w="851" w:type="dxa"/>
            <w:shd w:val="clear" w:color="auto" w:fill="auto"/>
            <w:hideMark/>
          </w:tcPr>
          <w:p w:rsidR="00581B1E" w:rsidRPr="00AD4A49" w:rsidRDefault="00F31887" w:rsidP="0014713E">
            <w:pPr>
              <w:spacing w:before="40" w:after="100"/>
              <w:ind w:right="113"/>
              <w:rPr>
                <w:szCs w:val="22"/>
              </w:rPr>
            </w:pPr>
            <w:r>
              <w:t>1</w:t>
            </w:r>
            <w:r w:rsidR="00581B1E" w:rsidRPr="00AD4A49">
              <w:t>294</w:t>
            </w:r>
          </w:p>
        </w:tc>
        <w:tc>
          <w:tcPr>
            <w:tcW w:w="5668" w:type="dxa"/>
            <w:shd w:val="clear" w:color="auto" w:fill="auto"/>
            <w:noWrap/>
            <w:hideMark/>
          </w:tcPr>
          <w:p w:rsidR="00581B1E" w:rsidRPr="00AD4A49" w:rsidRDefault="00581B1E" w:rsidP="0014713E">
            <w:pPr>
              <w:spacing w:before="40" w:after="100"/>
              <w:ind w:right="113"/>
              <w:rPr>
                <w:szCs w:val="22"/>
              </w:rPr>
            </w:pPr>
            <w:r w:rsidRPr="00AD4A49">
              <w:t>TOLUÈNE</w:t>
            </w:r>
          </w:p>
        </w:tc>
      </w:tr>
      <w:tr w:rsidR="00581B1E" w:rsidRPr="00AD4A49" w:rsidTr="00F81355">
        <w:tc>
          <w:tcPr>
            <w:tcW w:w="851" w:type="dxa"/>
            <w:shd w:val="clear" w:color="auto" w:fill="auto"/>
            <w:noWrap/>
            <w:hideMark/>
          </w:tcPr>
          <w:p w:rsidR="00581B1E" w:rsidRPr="00AD4A49" w:rsidRDefault="00581B1E" w:rsidP="0014713E">
            <w:pPr>
              <w:spacing w:before="40" w:after="100"/>
              <w:ind w:right="113"/>
              <w:rPr>
                <w:szCs w:val="22"/>
              </w:rPr>
            </w:pPr>
          </w:p>
        </w:tc>
        <w:tc>
          <w:tcPr>
            <w:tcW w:w="851" w:type="dxa"/>
            <w:shd w:val="clear" w:color="auto" w:fill="auto"/>
            <w:hideMark/>
          </w:tcPr>
          <w:p w:rsidR="00581B1E" w:rsidRPr="00AD4A49" w:rsidRDefault="00F31887" w:rsidP="0014713E">
            <w:pPr>
              <w:spacing w:before="40" w:after="100"/>
              <w:ind w:right="113"/>
              <w:rPr>
                <w:szCs w:val="22"/>
              </w:rPr>
            </w:pPr>
            <w:r>
              <w:t>1</w:t>
            </w:r>
            <w:r w:rsidR="00581B1E" w:rsidRPr="00AD4A49">
              <w:t>307</w:t>
            </w:r>
          </w:p>
        </w:tc>
        <w:tc>
          <w:tcPr>
            <w:tcW w:w="5668" w:type="dxa"/>
            <w:shd w:val="clear" w:color="auto" w:fill="auto"/>
            <w:noWrap/>
            <w:hideMark/>
          </w:tcPr>
          <w:p w:rsidR="00581B1E" w:rsidRPr="00AD4A49" w:rsidRDefault="00581B1E" w:rsidP="0014713E">
            <w:pPr>
              <w:spacing w:before="40" w:after="100"/>
              <w:ind w:right="113"/>
              <w:rPr>
                <w:szCs w:val="22"/>
              </w:rPr>
            </w:pPr>
            <w:r w:rsidRPr="00AD4A49">
              <w:t>XYLÈNES 1)</w:t>
            </w:r>
          </w:p>
        </w:tc>
      </w:tr>
      <w:tr w:rsidR="00581B1E" w:rsidRPr="00AD4A49" w:rsidTr="00F81355">
        <w:tc>
          <w:tcPr>
            <w:tcW w:w="851" w:type="dxa"/>
            <w:shd w:val="clear" w:color="auto" w:fill="auto"/>
            <w:noWrap/>
            <w:hideMark/>
          </w:tcPr>
          <w:p w:rsidR="00581B1E" w:rsidRPr="00AD4A49" w:rsidRDefault="00581B1E" w:rsidP="0014713E">
            <w:pPr>
              <w:spacing w:before="40" w:after="100"/>
              <w:ind w:right="113"/>
              <w:rPr>
                <w:szCs w:val="22"/>
              </w:rPr>
            </w:pPr>
          </w:p>
        </w:tc>
        <w:tc>
          <w:tcPr>
            <w:tcW w:w="851" w:type="dxa"/>
            <w:shd w:val="clear" w:color="auto" w:fill="auto"/>
            <w:hideMark/>
          </w:tcPr>
          <w:p w:rsidR="00581B1E" w:rsidRPr="00AD4A49" w:rsidRDefault="00F31887" w:rsidP="0014713E">
            <w:pPr>
              <w:spacing w:before="40" w:after="100"/>
              <w:ind w:right="113"/>
              <w:rPr>
                <w:szCs w:val="22"/>
              </w:rPr>
            </w:pPr>
            <w:r>
              <w:t>2</w:t>
            </w:r>
            <w:r w:rsidR="00581B1E" w:rsidRPr="00AD4A49">
              <w:t>398</w:t>
            </w:r>
          </w:p>
        </w:tc>
        <w:tc>
          <w:tcPr>
            <w:tcW w:w="5668" w:type="dxa"/>
            <w:shd w:val="clear" w:color="auto" w:fill="auto"/>
            <w:noWrap/>
            <w:hideMark/>
          </w:tcPr>
          <w:p w:rsidR="00581B1E" w:rsidRPr="00AD4A49" w:rsidRDefault="003E46B0" w:rsidP="0014713E">
            <w:pPr>
              <w:spacing w:before="40" w:after="100"/>
              <w:ind w:right="113"/>
              <w:rPr>
                <w:szCs w:val="22"/>
              </w:rPr>
            </w:pPr>
            <w:r>
              <w:t>ÉTHER MÉTHYL tert-</w:t>
            </w:r>
            <w:r w:rsidR="00581B1E" w:rsidRPr="00AD4A49">
              <w:t>BUTYLIQUE</w:t>
            </w:r>
          </w:p>
        </w:tc>
      </w:tr>
      <w:tr w:rsidR="00581B1E" w:rsidRPr="00AD4A49" w:rsidTr="00F81355">
        <w:tc>
          <w:tcPr>
            <w:tcW w:w="851" w:type="dxa"/>
            <w:shd w:val="clear" w:color="auto" w:fill="auto"/>
            <w:noWrap/>
          </w:tcPr>
          <w:p w:rsidR="00581B1E" w:rsidRPr="00AD4A49" w:rsidRDefault="00581B1E" w:rsidP="0014713E">
            <w:pPr>
              <w:spacing w:before="40" w:after="100"/>
              <w:ind w:right="113"/>
              <w:rPr>
                <w:szCs w:val="22"/>
              </w:rPr>
            </w:pPr>
          </w:p>
        </w:tc>
        <w:tc>
          <w:tcPr>
            <w:tcW w:w="851" w:type="dxa"/>
            <w:shd w:val="clear" w:color="auto" w:fill="auto"/>
          </w:tcPr>
          <w:p w:rsidR="00581B1E" w:rsidRPr="00AD4A49" w:rsidRDefault="00F31887" w:rsidP="0014713E">
            <w:pPr>
              <w:spacing w:before="40" w:after="100"/>
              <w:ind w:right="113"/>
              <w:rPr>
                <w:szCs w:val="22"/>
              </w:rPr>
            </w:pPr>
            <w:r>
              <w:t>3</w:t>
            </w:r>
            <w:r w:rsidR="00581B1E" w:rsidRPr="00AD4A49">
              <w:t>475</w:t>
            </w:r>
          </w:p>
        </w:tc>
        <w:tc>
          <w:tcPr>
            <w:tcW w:w="5668" w:type="dxa"/>
            <w:shd w:val="clear" w:color="auto" w:fill="auto"/>
            <w:noWrap/>
          </w:tcPr>
          <w:p w:rsidR="00581B1E" w:rsidRPr="00AD4A49" w:rsidRDefault="00827E3E" w:rsidP="0014713E">
            <w:pPr>
              <w:spacing w:before="40" w:after="100"/>
              <w:ind w:right="113"/>
              <w:rPr>
                <w:szCs w:val="22"/>
              </w:rPr>
            </w:pPr>
            <w:r>
              <w:rPr>
                <w:szCs w:val="22"/>
              </w:rPr>
              <w:t>É</w:t>
            </w:r>
            <w:r w:rsidR="00581B1E" w:rsidRPr="00AD4A49">
              <w:rPr>
                <w:szCs w:val="22"/>
              </w:rPr>
              <w:t xml:space="preserve">THANOL ET ESSENCE </w:t>
            </w:r>
            <w:r>
              <w:rPr>
                <w:szCs w:val="22"/>
              </w:rPr>
              <w:t>EN MÉLANGE ou ÉTHANOL ET ESSENCE POUR MOTEURS D’</w:t>
            </w:r>
            <w:r w:rsidR="00990062">
              <w:rPr>
                <w:szCs w:val="22"/>
              </w:rPr>
              <w:t xml:space="preserve">AUTOMOBILES, EN </w:t>
            </w:r>
            <w:r>
              <w:rPr>
                <w:szCs w:val="22"/>
              </w:rPr>
              <w:t>MÉLANGE</w:t>
            </w:r>
          </w:p>
        </w:tc>
      </w:tr>
      <w:tr w:rsidR="00581B1E" w:rsidRPr="00AD4A49" w:rsidTr="00F81355">
        <w:tc>
          <w:tcPr>
            <w:tcW w:w="851" w:type="dxa"/>
            <w:shd w:val="clear" w:color="auto" w:fill="auto"/>
            <w:noWrap/>
            <w:hideMark/>
          </w:tcPr>
          <w:p w:rsidR="00581B1E" w:rsidRPr="00AD4A49" w:rsidRDefault="00581B1E" w:rsidP="0014713E">
            <w:pPr>
              <w:spacing w:before="40" w:after="100"/>
              <w:ind w:right="113"/>
              <w:rPr>
                <w:szCs w:val="22"/>
              </w:rPr>
            </w:pPr>
          </w:p>
        </w:tc>
        <w:tc>
          <w:tcPr>
            <w:tcW w:w="851" w:type="dxa"/>
            <w:shd w:val="clear" w:color="auto" w:fill="auto"/>
            <w:hideMark/>
          </w:tcPr>
          <w:p w:rsidR="00581B1E" w:rsidRPr="00AD4A49" w:rsidRDefault="00F31887" w:rsidP="0014713E">
            <w:pPr>
              <w:spacing w:before="40" w:after="100"/>
              <w:ind w:right="113"/>
              <w:rPr>
                <w:szCs w:val="22"/>
              </w:rPr>
            </w:pPr>
            <w:r>
              <w:t>3</w:t>
            </w:r>
            <w:r w:rsidR="00581B1E" w:rsidRPr="00AD4A49">
              <w:t>295</w:t>
            </w:r>
          </w:p>
        </w:tc>
        <w:tc>
          <w:tcPr>
            <w:tcW w:w="5668" w:type="dxa"/>
            <w:shd w:val="clear" w:color="auto" w:fill="auto"/>
            <w:noWrap/>
            <w:hideMark/>
          </w:tcPr>
          <w:p w:rsidR="00581B1E" w:rsidRPr="00AD4A49" w:rsidRDefault="00581B1E" w:rsidP="0014713E">
            <w:pPr>
              <w:spacing w:before="40" w:after="100"/>
              <w:ind w:right="113"/>
              <w:rPr>
                <w:rFonts w:eastAsia="Calibri"/>
                <w:szCs w:val="22"/>
              </w:rPr>
            </w:pPr>
            <w:r w:rsidRPr="00AD4A49">
              <w:t>HYDROCARBURES LIQUIDES, N.S.A. 2)</w:t>
            </w:r>
          </w:p>
        </w:tc>
      </w:tr>
      <w:tr w:rsidR="00581B1E" w:rsidRPr="00AD4A49" w:rsidTr="00F81355">
        <w:tc>
          <w:tcPr>
            <w:tcW w:w="851" w:type="dxa"/>
            <w:shd w:val="clear" w:color="auto" w:fill="auto"/>
            <w:noWrap/>
            <w:hideMark/>
          </w:tcPr>
          <w:p w:rsidR="00581B1E" w:rsidRPr="00AD4A49" w:rsidRDefault="00581B1E" w:rsidP="0014713E">
            <w:pPr>
              <w:spacing w:before="40" w:after="100"/>
              <w:ind w:right="113"/>
              <w:rPr>
                <w:rFonts w:eastAsia="Calibri"/>
                <w:szCs w:val="22"/>
              </w:rPr>
            </w:pPr>
          </w:p>
        </w:tc>
        <w:tc>
          <w:tcPr>
            <w:tcW w:w="851" w:type="dxa"/>
            <w:shd w:val="clear" w:color="auto" w:fill="auto"/>
            <w:hideMark/>
          </w:tcPr>
          <w:p w:rsidR="00581B1E" w:rsidRPr="00AD4A49" w:rsidRDefault="00581B1E" w:rsidP="0014713E">
            <w:pPr>
              <w:spacing w:before="40" w:after="100"/>
              <w:ind w:right="113"/>
              <w:rPr>
                <w:rFonts w:eastAsia="Calibri"/>
                <w:szCs w:val="22"/>
              </w:rPr>
            </w:pPr>
          </w:p>
        </w:tc>
        <w:tc>
          <w:tcPr>
            <w:tcW w:w="5668" w:type="dxa"/>
            <w:shd w:val="clear" w:color="auto" w:fill="auto"/>
            <w:noWrap/>
            <w:hideMark/>
          </w:tcPr>
          <w:p w:rsidR="00581B1E" w:rsidRPr="00AD4A49" w:rsidRDefault="00581B1E" w:rsidP="0014713E">
            <w:pPr>
              <w:spacing w:before="40" w:after="100"/>
              <w:ind w:right="113"/>
              <w:rPr>
                <w:szCs w:val="22"/>
              </w:rPr>
            </w:pPr>
            <w:r w:rsidRPr="00AD4A49">
              <w:rPr>
                <w:szCs w:val="22"/>
              </w:rPr>
              <w:t>Biocomposants, conformes à l</w:t>
            </w:r>
            <w:r w:rsidR="000C01B9">
              <w:rPr>
                <w:szCs w:val="22"/>
              </w:rPr>
              <w:t>’</w:t>
            </w:r>
            <w:r w:rsidRPr="00AD4A49">
              <w:rPr>
                <w:szCs w:val="22"/>
              </w:rPr>
              <w:t>annexe III, RED</w:t>
            </w:r>
          </w:p>
        </w:tc>
      </w:tr>
      <w:tr w:rsidR="00581B1E" w:rsidRPr="00AD4A49" w:rsidTr="00F81355">
        <w:tc>
          <w:tcPr>
            <w:tcW w:w="851" w:type="dxa"/>
            <w:tcBorders>
              <w:bottom w:val="single" w:sz="12" w:space="0" w:color="auto"/>
            </w:tcBorders>
            <w:shd w:val="clear" w:color="auto" w:fill="auto"/>
            <w:noWrap/>
            <w:hideMark/>
          </w:tcPr>
          <w:p w:rsidR="00581B1E" w:rsidRPr="00AD4A49" w:rsidRDefault="00581B1E" w:rsidP="0014713E">
            <w:pPr>
              <w:spacing w:before="40" w:after="100"/>
              <w:ind w:right="113"/>
              <w:rPr>
                <w:szCs w:val="22"/>
              </w:rPr>
            </w:pPr>
          </w:p>
        </w:tc>
        <w:tc>
          <w:tcPr>
            <w:tcW w:w="851" w:type="dxa"/>
            <w:tcBorders>
              <w:bottom w:val="single" w:sz="12" w:space="0" w:color="auto"/>
            </w:tcBorders>
            <w:shd w:val="clear" w:color="auto" w:fill="auto"/>
            <w:hideMark/>
          </w:tcPr>
          <w:p w:rsidR="00581B1E" w:rsidRPr="00AD4A49" w:rsidRDefault="00581B1E" w:rsidP="0014713E">
            <w:pPr>
              <w:spacing w:before="40" w:after="100"/>
              <w:ind w:right="113"/>
              <w:rPr>
                <w:szCs w:val="22"/>
              </w:rPr>
            </w:pPr>
          </w:p>
        </w:tc>
        <w:tc>
          <w:tcPr>
            <w:tcW w:w="5668" w:type="dxa"/>
            <w:tcBorders>
              <w:bottom w:val="single" w:sz="12" w:space="0" w:color="auto"/>
            </w:tcBorders>
            <w:shd w:val="clear" w:color="auto" w:fill="auto"/>
            <w:noWrap/>
            <w:hideMark/>
          </w:tcPr>
          <w:p w:rsidR="00581B1E" w:rsidRPr="00AD4A49" w:rsidRDefault="00581B1E" w:rsidP="0014713E">
            <w:pPr>
              <w:spacing w:before="40" w:after="100"/>
              <w:ind w:right="113"/>
              <w:rPr>
                <w:szCs w:val="22"/>
              </w:rPr>
            </w:pPr>
            <w:r w:rsidRPr="00AD4A49">
              <w:rPr>
                <w:szCs w:val="22"/>
              </w:rPr>
              <w:t>Biocomposants, non dangereux, conformes à l</w:t>
            </w:r>
            <w:r w:rsidR="000C01B9">
              <w:rPr>
                <w:szCs w:val="22"/>
              </w:rPr>
              <w:t>’</w:t>
            </w:r>
            <w:r w:rsidRPr="00AD4A49">
              <w:rPr>
                <w:szCs w:val="22"/>
              </w:rPr>
              <w:t>annexe III, RED</w:t>
            </w:r>
          </w:p>
        </w:tc>
      </w:tr>
    </w:tbl>
    <w:p w:rsidR="00ED172D" w:rsidRDefault="00581B1E" w:rsidP="00ED172D">
      <w:pPr>
        <w:pStyle w:val="Heading1"/>
        <w:spacing w:before="240"/>
      </w:pPr>
      <w:r w:rsidRPr="00F04181">
        <w:lastRenderedPageBreak/>
        <w:t xml:space="preserve">Tableau 2 </w:t>
      </w:r>
    </w:p>
    <w:p w:rsidR="00581B1E" w:rsidRPr="00D03B9C" w:rsidRDefault="00581B1E" w:rsidP="00ED172D">
      <w:pPr>
        <w:pStyle w:val="Heading1"/>
        <w:spacing w:after="120"/>
        <w:rPr>
          <w:b/>
          <w:bCs/>
        </w:rPr>
      </w:pPr>
      <w:r w:rsidRPr="00D03B9C">
        <w:rPr>
          <w:b/>
        </w:rPr>
        <w:t>Groupe de compatibilité II</w:t>
      </w:r>
    </w:p>
    <w:tbl>
      <w:tblPr>
        <w:tblW w:w="7370" w:type="dxa"/>
        <w:tblInd w:w="1134" w:type="dxa"/>
        <w:tblLayout w:type="fixed"/>
        <w:tblCellMar>
          <w:left w:w="0" w:type="dxa"/>
          <w:right w:w="0" w:type="dxa"/>
        </w:tblCellMar>
        <w:tblLook w:val="04A0" w:firstRow="1" w:lastRow="0" w:firstColumn="1" w:lastColumn="0" w:noHBand="0" w:noVBand="1"/>
      </w:tblPr>
      <w:tblGrid>
        <w:gridCol w:w="851"/>
        <w:gridCol w:w="851"/>
        <w:gridCol w:w="5668"/>
      </w:tblGrid>
      <w:tr w:rsidR="00581B1E" w:rsidRPr="00AD4A49" w:rsidTr="00F81355">
        <w:trPr>
          <w:tblHeader/>
        </w:trPr>
        <w:tc>
          <w:tcPr>
            <w:tcW w:w="851" w:type="dxa"/>
            <w:tcBorders>
              <w:top w:val="single" w:sz="4" w:space="0" w:color="auto"/>
              <w:bottom w:val="single" w:sz="12" w:space="0" w:color="auto"/>
            </w:tcBorders>
            <w:shd w:val="clear" w:color="auto" w:fill="auto"/>
            <w:noWrap/>
            <w:vAlign w:val="bottom"/>
            <w:hideMark/>
          </w:tcPr>
          <w:p w:rsidR="00581B1E" w:rsidRPr="00AD4A49" w:rsidRDefault="00581B1E" w:rsidP="00AD4A49">
            <w:pPr>
              <w:spacing w:before="80" w:after="80" w:line="200" w:lineRule="exact"/>
              <w:ind w:right="113"/>
              <w:rPr>
                <w:i/>
                <w:sz w:val="16"/>
              </w:rPr>
            </w:pPr>
            <w:r w:rsidRPr="00AD4A49">
              <w:rPr>
                <w:i/>
                <w:sz w:val="16"/>
              </w:rPr>
              <w:t>Gazole</w:t>
            </w:r>
          </w:p>
        </w:tc>
        <w:tc>
          <w:tcPr>
            <w:tcW w:w="851" w:type="dxa"/>
            <w:tcBorders>
              <w:top w:val="single" w:sz="4" w:space="0" w:color="auto"/>
              <w:bottom w:val="single" w:sz="12" w:space="0" w:color="auto"/>
            </w:tcBorders>
            <w:shd w:val="clear" w:color="auto" w:fill="auto"/>
            <w:vAlign w:val="bottom"/>
            <w:hideMark/>
          </w:tcPr>
          <w:p w:rsidR="00581B1E" w:rsidRPr="00AD4A49" w:rsidRDefault="00581B1E" w:rsidP="00AD4A49">
            <w:pPr>
              <w:spacing w:before="80" w:after="80" w:line="200" w:lineRule="exact"/>
              <w:ind w:right="113"/>
              <w:rPr>
                <w:i/>
                <w:sz w:val="16"/>
              </w:rPr>
            </w:pPr>
            <w:r w:rsidRPr="00AD4A49">
              <w:rPr>
                <w:i/>
                <w:sz w:val="16"/>
              </w:rPr>
              <w:t>1202</w:t>
            </w:r>
          </w:p>
        </w:tc>
        <w:tc>
          <w:tcPr>
            <w:tcW w:w="5668" w:type="dxa"/>
            <w:tcBorders>
              <w:top w:val="single" w:sz="4" w:space="0" w:color="auto"/>
              <w:bottom w:val="single" w:sz="12" w:space="0" w:color="auto"/>
            </w:tcBorders>
            <w:shd w:val="clear" w:color="auto" w:fill="auto"/>
            <w:noWrap/>
            <w:vAlign w:val="bottom"/>
            <w:hideMark/>
          </w:tcPr>
          <w:p w:rsidR="00581B1E" w:rsidRPr="00AD4A49" w:rsidRDefault="00581B1E" w:rsidP="00AD4A49">
            <w:pPr>
              <w:spacing w:before="80" w:after="80" w:line="200" w:lineRule="exact"/>
              <w:ind w:right="113"/>
              <w:rPr>
                <w:i/>
                <w:sz w:val="16"/>
              </w:rPr>
            </w:pPr>
            <w:r w:rsidRPr="00AD4A49">
              <w:rPr>
                <w:i/>
                <w:sz w:val="16"/>
              </w:rPr>
              <w:t>CARBURANT DIESEL ou GAZOLE ou HUILE DE CHAUFFE (LÉGÈRE) 1)</w:t>
            </w:r>
          </w:p>
        </w:tc>
      </w:tr>
      <w:tr w:rsidR="00581B1E" w:rsidRPr="00AD4A49" w:rsidTr="00F81355">
        <w:tc>
          <w:tcPr>
            <w:tcW w:w="851" w:type="dxa"/>
            <w:shd w:val="clear" w:color="auto" w:fill="auto"/>
            <w:noWrap/>
            <w:hideMark/>
          </w:tcPr>
          <w:p w:rsidR="00581B1E" w:rsidRPr="00AD4A49" w:rsidRDefault="00581B1E" w:rsidP="00AD4A49">
            <w:pPr>
              <w:spacing w:before="40" w:after="120"/>
              <w:ind w:right="113"/>
            </w:pPr>
          </w:p>
        </w:tc>
        <w:tc>
          <w:tcPr>
            <w:tcW w:w="851" w:type="dxa"/>
            <w:shd w:val="clear" w:color="auto" w:fill="auto"/>
            <w:hideMark/>
          </w:tcPr>
          <w:p w:rsidR="00581B1E" w:rsidRPr="00AD4A49" w:rsidRDefault="00581B1E" w:rsidP="00AD4A49">
            <w:pPr>
              <w:spacing w:before="40" w:after="120"/>
              <w:ind w:right="113"/>
            </w:pPr>
          </w:p>
        </w:tc>
        <w:tc>
          <w:tcPr>
            <w:tcW w:w="5668" w:type="dxa"/>
            <w:shd w:val="clear" w:color="auto" w:fill="auto"/>
            <w:noWrap/>
            <w:hideMark/>
          </w:tcPr>
          <w:p w:rsidR="00581B1E" w:rsidRPr="00AD4A49" w:rsidRDefault="00581B1E" w:rsidP="00AD4A49">
            <w:pPr>
              <w:spacing w:before="40" w:after="120"/>
              <w:ind w:right="113"/>
            </w:pPr>
            <w:r w:rsidRPr="00AD4A49">
              <w:t>Biocomposants, conformes à l</w:t>
            </w:r>
            <w:r w:rsidR="000C01B9">
              <w:t>’</w:t>
            </w:r>
            <w:r w:rsidRPr="00AD4A49">
              <w:t>annexe III, RED</w:t>
            </w:r>
          </w:p>
        </w:tc>
      </w:tr>
      <w:tr w:rsidR="00581B1E" w:rsidRPr="00AD4A49" w:rsidTr="00F81355">
        <w:tc>
          <w:tcPr>
            <w:tcW w:w="851" w:type="dxa"/>
            <w:tcBorders>
              <w:bottom w:val="single" w:sz="12" w:space="0" w:color="auto"/>
            </w:tcBorders>
            <w:shd w:val="clear" w:color="auto" w:fill="auto"/>
            <w:noWrap/>
            <w:hideMark/>
          </w:tcPr>
          <w:p w:rsidR="00581B1E" w:rsidRPr="00AD4A49" w:rsidRDefault="00581B1E" w:rsidP="00AD4A49">
            <w:pPr>
              <w:spacing w:before="40" w:after="120"/>
              <w:ind w:right="113"/>
            </w:pPr>
          </w:p>
        </w:tc>
        <w:tc>
          <w:tcPr>
            <w:tcW w:w="851" w:type="dxa"/>
            <w:tcBorders>
              <w:bottom w:val="single" w:sz="12" w:space="0" w:color="auto"/>
            </w:tcBorders>
            <w:shd w:val="clear" w:color="auto" w:fill="auto"/>
            <w:hideMark/>
          </w:tcPr>
          <w:p w:rsidR="00581B1E" w:rsidRPr="00AD4A49" w:rsidRDefault="00581B1E" w:rsidP="00AD4A49">
            <w:pPr>
              <w:spacing w:before="40" w:after="120"/>
              <w:ind w:right="113"/>
            </w:pPr>
          </w:p>
        </w:tc>
        <w:tc>
          <w:tcPr>
            <w:tcW w:w="5668" w:type="dxa"/>
            <w:tcBorders>
              <w:bottom w:val="single" w:sz="12" w:space="0" w:color="auto"/>
            </w:tcBorders>
            <w:shd w:val="clear" w:color="auto" w:fill="auto"/>
            <w:noWrap/>
            <w:hideMark/>
          </w:tcPr>
          <w:p w:rsidR="00581B1E" w:rsidRPr="00AD4A49" w:rsidRDefault="00581B1E" w:rsidP="00AD4A49">
            <w:pPr>
              <w:spacing w:before="40" w:after="120"/>
              <w:ind w:right="113"/>
            </w:pPr>
            <w:r w:rsidRPr="00AD4A49">
              <w:t>Biocomposants, non dangereux, conformes à l</w:t>
            </w:r>
            <w:r w:rsidR="000C01B9">
              <w:t>’</w:t>
            </w:r>
            <w:r w:rsidRPr="00AD4A49">
              <w:t>annexe III, RED</w:t>
            </w:r>
          </w:p>
        </w:tc>
      </w:tr>
    </w:tbl>
    <w:p w:rsidR="00581B1E" w:rsidRPr="00F04181" w:rsidRDefault="00581B1E" w:rsidP="00ED172D">
      <w:pPr>
        <w:pStyle w:val="Heading1"/>
        <w:spacing w:before="240"/>
      </w:pPr>
      <w:r w:rsidRPr="00F04181">
        <w:t xml:space="preserve">Tableau 3 </w:t>
      </w:r>
    </w:p>
    <w:p w:rsidR="00581B1E" w:rsidRPr="00F04181" w:rsidRDefault="00581B1E" w:rsidP="00ED172D">
      <w:pPr>
        <w:pStyle w:val="Heading1"/>
        <w:spacing w:after="120"/>
        <w:rPr>
          <w:b/>
          <w:bCs/>
        </w:rPr>
      </w:pPr>
      <w:r w:rsidRPr="00F04181">
        <w:rPr>
          <w:b/>
        </w:rPr>
        <w:t>Groupe de compatibilité III</w:t>
      </w:r>
    </w:p>
    <w:tbl>
      <w:tblPr>
        <w:tblW w:w="7370" w:type="dxa"/>
        <w:tblInd w:w="1134" w:type="dxa"/>
        <w:tblLayout w:type="fixed"/>
        <w:tblCellMar>
          <w:left w:w="0" w:type="dxa"/>
          <w:right w:w="0" w:type="dxa"/>
        </w:tblCellMar>
        <w:tblLook w:val="04A0" w:firstRow="1" w:lastRow="0" w:firstColumn="1" w:lastColumn="0" w:noHBand="0" w:noVBand="1"/>
      </w:tblPr>
      <w:tblGrid>
        <w:gridCol w:w="851"/>
        <w:gridCol w:w="851"/>
        <w:gridCol w:w="5668"/>
      </w:tblGrid>
      <w:tr w:rsidR="005B5D9A" w:rsidRPr="00720740" w:rsidTr="00780F3D">
        <w:tc>
          <w:tcPr>
            <w:tcW w:w="851" w:type="dxa"/>
            <w:tcBorders>
              <w:top w:val="single" w:sz="4" w:space="0" w:color="auto"/>
            </w:tcBorders>
            <w:shd w:val="clear" w:color="auto" w:fill="auto"/>
            <w:noWrap/>
            <w:tcMar>
              <w:top w:w="0" w:type="dxa"/>
              <w:left w:w="0" w:type="dxa"/>
              <w:bottom w:w="0" w:type="dxa"/>
              <w:right w:w="0" w:type="dxa"/>
            </w:tcMar>
            <w:vAlign w:val="bottom"/>
          </w:tcPr>
          <w:p w:rsidR="005B5D9A" w:rsidRPr="00720740" w:rsidRDefault="005B5D9A" w:rsidP="005B5D9A">
            <w:pPr>
              <w:spacing w:before="80" w:after="80" w:line="200" w:lineRule="exact"/>
              <w:ind w:right="113"/>
              <w:rPr>
                <w:rFonts w:eastAsia="Calibri"/>
                <w:i/>
                <w:sz w:val="16"/>
                <w:szCs w:val="22"/>
              </w:rPr>
            </w:pPr>
            <w:r w:rsidRPr="005B5D9A">
              <w:t>Fuel oil lourd</w:t>
            </w:r>
            <w:r w:rsidRPr="00720740">
              <w:rPr>
                <w:i/>
                <w:sz w:val="16"/>
              </w:rPr>
              <w:t xml:space="preserve"> </w:t>
            </w:r>
          </w:p>
        </w:tc>
        <w:tc>
          <w:tcPr>
            <w:tcW w:w="851" w:type="dxa"/>
            <w:tcBorders>
              <w:top w:val="single" w:sz="4" w:space="0" w:color="auto"/>
            </w:tcBorders>
            <w:shd w:val="clear" w:color="auto" w:fill="auto"/>
            <w:tcMar>
              <w:top w:w="0" w:type="dxa"/>
              <w:left w:w="0" w:type="dxa"/>
              <w:bottom w:w="0" w:type="dxa"/>
              <w:right w:w="0" w:type="dxa"/>
            </w:tcMar>
            <w:vAlign w:val="bottom"/>
          </w:tcPr>
          <w:p w:rsidR="005B5D9A" w:rsidRPr="00720740" w:rsidRDefault="00F31887" w:rsidP="005B5D9A">
            <w:pPr>
              <w:spacing w:before="80" w:after="80" w:line="200" w:lineRule="exact"/>
              <w:ind w:right="113"/>
              <w:rPr>
                <w:rFonts w:eastAsia="Calibri"/>
                <w:i/>
                <w:sz w:val="16"/>
                <w:szCs w:val="22"/>
              </w:rPr>
            </w:pPr>
            <w:r>
              <w:t>3</w:t>
            </w:r>
            <w:r w:rsidR="005B5D9A" w:rsidRPr="005B5D9A">
              <w:t>082</w:t>
            </w:r>
          </w:p>
        </w:tc>
        <w:tc>
          <w:tcPr>
            <w:tcW w:w="5668" w:type="dxa"/>
            <w:tcBorders>
              <w:top w:val="single" w:sz="4" w:space="0" w:color="auto"/>
            </w:tcBorders>
            <w:shd w:val="clear" w:color="auto" w:fill="auto"/>
            <w:noWrap/>
            <w:tcMar>
              <w:top w:w="0" w:type="dxa"/>
              <w:left w:w="0" w:type="dxa"/>
              <w:bottom w:w="0" w:type="dxa"/>
              <w:right w:w="0" w:type="dxa"/>
            </w:tcMar>
            <w:vAlign w:val="bottom"/>
          </w:tcPr>
          <w:p w:rsidR="005B5D9A" w:rsidRPr="00720740" w:rsidRDefault="005B5D9A" w:rsidP="005B5D9A">
            <w:pPr>
              <w:spacing w:before="80" w:after="80" w:line="200" w:lineRule="exact"/>
              <w:ind w:right="113"/>
              <w:rPr>
                <w:rFonts w:eastAsia="Calibri"/>
                <w:i/>
                <w:sz w:val="16"/>
                <w:szCs w:val="22"/>
              </w:rPr>
            </w:pPr>
            <w:r w:rsidRPr="005B5D9A">
              <w:t>3082 MATIÈRES DANGEREUSES POUR L’ENVIRONNEMENT, LIQUIDES, N.S.A. (HUILE DE CHAUFFE LOURDE) 3)</w:t>
            </w:r>
          </w:p>
        </w:tc>
      </w:tr>
      <w:tr w:rsidR="00581B1E" w:rsidRPr="00720740" w:rsidTr="005B5D9A">
        <w:tc>
          <w:tcPr>
            <w:tcW w:w="851" w:type="dxa"/>
            <w:shd w:val="clear" w:color="auto" w:fill="auto"/>
            <w:noWrap/>
            <w:tcMar>
              <w:top w:w="0" w:type="dxa"/>
              <w:left w:w="0" w:type="dxa"/>
              <w:bottom w:w="0" w:type="dxa"/>
              <w:right w:w="0" w:type="dxa"/>
            </w:tcMar>
            <w:hideMark/>
          </w:tcPr>
          <w:p w:rsidR="00581B1E" w:rsidRPr="00720740" w:rsidRDefault="00581B1E" w:rsidP="00720740">
            <w:pPr>
              <w:spacing w:before="40" w:after="120"/>
              <w:ind w:right="113"/>
              <w:rPr>
                <w:rFonts w:eastAsia="Calibri"/>
                <w:szCs w:val="22"/>
              </w:rPr>
            </w:pPr>
          </w:p>
        </w:tc>
        <w:tc>
          <w:tcPr>
            <w:tcW w:w="851" w:type="dxa"/>
            <w:shd w:val="clear" w:color="auto" w:fill="auto"/>
            <w:tcMar>
              <w:top w:w="0" w:type="dxa"/>
              <w:left w:w="0" w:type="dxa"/>
              <w:bottom w:w="0" w:type="dxa"/>
              <w:right w:w="0" w:type="dxa"/>
            </w:tcMar>
            <w:hideMark/>
          </w:tcPr>
          <w:p w:rsidR="00581B1E" w:rsidRPr="00720740" w:rsidRDefault="00287BCE" w:rsidP="00720740">
            <w:pPr>
              <w:spacing w:before="40" w:after="120"/>
              <w:ind w:right="113"/>
              <w:rPr>
                <w:rFonts w:eastAsia="Calibri"/>
                <w:szCs w:val="22"/>
              </w:rPr>
            </w:pPr>
            <w:r>
              <w:t>1</w:t>
            </w:r>
            <w:r w:rsidR="00581B1E" w:rsidRPr="00720740">
              <w:t>202</w:t>
            </w:r>
          </w:p>
        </w:tc>
        <w:tc>
          <w:tcPr>
            <w:tcW w:w="5668" w:type="dxa"/>
            <w:shd w:val="clear" w:color="auto" w:fill="auto"/>
            <w:noWrap/>
            <w:tcMar>
              <w:top w:w="0" w:type="dxa"/>
              <w:left w:w="0" w:type="dxa"/>
              <w:bottom w:w="0" w:type="dxa"/>
              <w:right w:w="0" w:type="dxa"/>
            </w:tcMar>
            <w:hideMark/>
          </w:tcPr>
          <w:p w:rsidR="00581B1E" w:rsidRPr="00720740" w:rsidRDefault="00581B1E" w:rsidP="00720740">
            <w:pPr>
              <w:spacing w:before="40" w:after="120"/>
              <w:ind w:right="113"/>
              <w:rPr>
                <w:rFonts w:eastAsia="Calibri"/>
                <w:szCs w:val="22"/>
              </w:rPr>
            </w:pPr>
            <w:r w:rsidRPr="00720740">
              <w:t>CARBURANT DIESEL ou GAZOLE ou HUILE DE CHAUFFE LÉGÈRE 1)</w:t>
            </w:r>
          </w:p>
        </w:tc>
      </w:tr>
      <w:tr w:rsidR="00581B1E" w:rsidRPr="00720740" w:rsidTr="005B5D9A">
        <w:tc>
          <w:tcPr>
            <w:tcW w:w="851" w:type="dxa"/>
            <w:shd w:val="clear" w:color="auto" w:fill="auto"/>
            <w:noWrap/>
            <w:tcMar>
              <w:top w:w="0" w:type="dxa"/>
              <w:left w:w="0" w:type="dxa"/>
              <w:bottom w:w="0" w:type="dxa"/>
              <w:right w:w="0" w:type="dxa"/>
            </w:tcMar>
          </w:tcPr>
          <w:p w:rsidR="00581B1E" w:rsidRPr="00720740" w:rsidRDefault="00581B1E" w:rsidP="00720740">
            <w:pPr>
              <w:spacing w:before="40" w:after="120"/>
              <w:ind w:right="113"/>
              <w:rPr>
                <w:rFonts w:eastAsia="Calibri"/>
                <w:szCs w:val="22"/>
              </w:rPr>
            </w:pPr>
          </w:p>
        </w:tc>
        <w:tc>
          <w:tcPr>
            <w:tcW w:w="851" w:type="dxa"/>
            <w:shd w:val="clear" w:color="auto" w:fill="auto"/>
            <w:tcMar>
              <w:top w:w="0" w:type="dxa"/>
              <w:left w:w="0" w:type="dxa"/>
              <w:bottom w:w="0" w:type="dxa"/>
              <w:right w:w="0" w:type="dxa"/>
            </w:tcMar>
            <w:hideMark/>
          </w:tcPr>
          <w:p w:rsidR="00581B1E" w:rsidRPr="00720740" w:rsidRDefault="00F31887" w:rsidP="00720740">
            <w:pPr>
              <w:spacing w:before="40" w:after="120"/>
              <w:ind w:right="113"/>
              <w:rPr>
                <w:rFonts w:eastAsia="Calibri"/>
                <w:szCs w:val="22"/>
              </w:rPr>
            </w:pPr>
            <w:r>
              <w:t>3</w:t>
            </w:r>
            <w:r w:rsidR="00581B1E" w:rsidRPr="00720740">
              <w:t>256</w:t>
            </w:r>
          </w:p>
        </w:tc>
        <w:tc>
          <w:tcPr>
            <w:tcW w:w="5668" w:type="dxa"/>
            <w:shd w:val="clear" w:color="auto" w:fill="auto"/>
            <w:noWrap/>
            <w:tcMar>
              <w:top w:w="0" w:type="dxa"/>
              <w:left w:w="0" w:type="dxa"/>
              <w:bottom w:w="0" w:type="dxa"/>
              <w:right w:w="0" w:type="dxa"/>
            </w:tcMar>
            <w:hideMark/>
          </w:tcPr>
          <w:p w:rsidR="00581B1E" w:rsidRPr="00720740" w:rsidRDefault="00581B1E" w:rsidP="00720740">
            <w:pPr>
              <w:spacing w:before="40" w:after="120"/>
              <w:ind w:right="113"/>
              <w:rPr>
                <w:rFonts w:eastAsia="Calibri"/>
                <w:szCs w:val="22"/>
              </w:rPr>
            </w:pPr>
            <w:r w:rsidRPr="00720740">
              <w:t>LIQUIDE TRANSPORTÉ À CHAUD, INFLAMMABLE, N.S.A., ayant un point d</w:t>
            </w:r>
            <w:r w:rsidR="000C01B9">
              <w:t>’</w:t>
            </w:r>
            <w:r w:rsidRPr="00720740">
              <w:t>éclair supérieur à 60 °C, à une température égale ou supérieure à son point d</w:t>
            </w:r>
            <w:r w:rsidR="000C01B9">
              <w:t>’</w:t>
            </w:r>
            <w:r w:rsidR="00D83C73">
              <w:t>éclair</w:t>
            </w:r>
            <w:r w:rsidRPr="00720740">
              <w:t xml:space="preserve"> 4), 5)</w:t>
            </w:r>
          </w:p>
        </w:tc>
      </w:tr>
      <w:tr w:rsidR="00581B1E" w:rsidRPr="00720740" w:rsidTr="005B5D9A">
        <w:tc>
          <w:tcPr>
            <w:tcW w:w="851" w:type="dxa"/>
            <w:shd w:val="clear" w:color="auto" w:fill="auto"/>
            <w:noWrap/>
            <w:tcMar>
              <w:top w:w="0" w:type="dxa"/>
              <w:left w:w="0" w:type="dxa"/>
              <w:bottom w:w="0" w:type="dxa"/>
              <w:right w:w="0" w:type="dxa"/>
            </w:tcMar>
            <w:hideMark/>
          </w:tcPr>
          <w:p w:rsidR="00581B1E" w:rsidRPr="00720740" w:rsidRDefault="00581B1E" w:rsidP="00720740">
            <w:pPr>
              <w:spacing w:before="40" w:after="120"/>
              <w:ind w:right="113"/>
              <w:rPr>
                <w:rFonts w:eastAsia="Calibri"/>
                <w:szCs w:val="22"/>
              </w:rPr>
            </w:pPr>
          </w:p>
        </w:tc>
        <w:tc>
          <w:tcPr>
            <w:tcW w:w="851" w:type="dxa"/>
            <w:shd w:val="clear" w:color="auto" w:fill="auto"/>
            <w:tcMar>
              <w:top w:w="0" w:type="dxa"/>
              <w:left w:w="0" w:type="dxa"/>
              <w:bottom w:w="0" w:type="dxa"/>
              <w:right w:w="0" w:type="dxa"/>
            </w:tcMar>
            <w:hideMark/>
          </w:tcPr>
          <w:p w:rsidR="00581B1E" w:rsidRPr="00720740" w:rsidRDefault="00581B1E" w:rsidP="00720740">
            <w:pPr>
              <w:spacing w:before="40" w:after="120"/>
              <w:ind w:right="113"/>
              <w:rPr>
                <w:rFonts w:eastAsia="Calibri"/>
                <w:szCs w:val="22"/>
              </w:rPr>
            </w:pPr>
          </w:p>
        </w:tc>
        <w:tc>
          <w:tcPr>
            <w:tcW w:w="5668" w:type="dxa"/>
            <w:shd w:val="clear" w:color="auto" w:fill="auto"/>
            <w:noWrap/>
            <w:tcMar>
              <w:top w:w="0" w:type="dxa"/>
              <w:left w:w="0" w:type="dxa"/>
              <w:bottom w:w="0" w:type="dxa"/>
              <w:right w:w="0" w:type="dxa"/>
            </w:tcMar>
            <w:hideMark/>
          </w:tcPr>
          <w:p w:rsidR="00581B1E" w:rsidRPr="00720740" w:rsidRDefault="00581B1E" w:rsidP="00720740">
            <w:pPr>
              <w:spacing w:before="40" w:after="120"/>
              <w:ind w:right="113"/>
              <w:rPr>
                <w:rFonts w:eastAsia="Calibri"/>
                <w:szCs w:val="22"/>
              </w:rPr>
            </w:pPr>
            <w:r w:rsidRPr="00720740">
              <w:rPr>
                <w:rFonts w:eastAsia="Calibri"/>
                <w:szCs w:val="22"/>
              </w:rPr>
              <w:t>Biocomposants, conformes à l</w:t>
            </w:r>
            <w:r w:rsidR="000C01B9">
              <w:rPr>
                <w:rFonts w:eastAsia="Calibri"/>
                <w:szCs w:val="22"/>
              </w:rPr>
              <w:t>’</w:t>
            </w:r>
            <w:r w:rsidRPr="00720740">
              <w:rPr>
                <w:rFonts w:eastAsia="Calibri"/>
                <w:szCs w:val="22"/>
              </w:rPr>
              <w:t>annexe III, RED</w:t>
            </w:r>
          </w:p>
        </w:tc>
      </w:tr>
      <w:tr w:rsidR="00581B1E" w:rsidRPr="00720740" w:rsidTr="005B5D9A">
        <w:tc>
          <w:tcPr>
            <w:tcW w:w="851" w:type="dxa"/>
            <w:tcBorders>
              <w:bottom w:val="single" w:sz="12" w:space="0" w:color="auto"/>
            </w:tcBorders>
            <w:shd w:val="clear" w:color="auto" w:fill="auto"/>
            <w:noWrap/>
            <w:tcMar>
              <w:top w:w="0" w:type="dxa"/>
              <w:left w:w="0" w:type="dxa"/>
              <w:bottom w:w="0" w:type="dxa"/>
              <w:right w:w="0" w:type="dxa"/>
            </w:tcMar>
            <w:hideMark/>
          </w:tcPr>
          <w:p w:rsidR="00581B1E" w:rsidRPr="00720740" w:rsidRDefault="00581B1E" w:rsidP="00720740">
            <w:pPr>
              <w:spacing w:before="40" w:after="120"/>
              <w:ind w:right="113"/>
              <w:rPr>
                <w:rFonts w:eastAsia="Calibri"/>
                <w:szCs w:val="22"/>
              </w:rPr>
            </w:pPr>
          </w:p>
        </w:tc>
        <w:tc>
          <w:tcPr>
            <w:tcW w:w="851" w:type="dxa"/>
            <w:tcBorders>
              <w:bottom w:val="single" w:sz="12" w:space="0" w:color="auto"/>
            </w:tcBorders>
            <w:shd w:val="clear" w:color="auto" w:fill="auto"/>
            <w:tcMar>
              <w:top w:w="0" w:type="dxa"/>
              <w:left w:w="0" w:type="dxa"/>
              <w:bottom w:w="0" w:type="dxa"/>
              <w:right w:w="0" w:type="dxa"/>
            </w:tcMar>
            <w:hideMark/>
          </w:tcPr>
          <w:p w:rsidR="00581B1E" w:rsidRPr="00720740" w:rsidRDefault="00581B1E" w:rsidP="00720740">
            <w:pPr>
              <w:spacing w:before="40" w:after="120"/>
              <w:ind w:right="113"/>
              <w:rPr>
                <w:rFonts w:eastAsia="Calibri"/>
                <w:szCs w:val="22"/>
              </w:rPr>
            </w:pPr>
          </w:p>
        </w:tc>
        <w:tc>
          <w:tcPr>
            <w:tcW w:w="5668" w:type="dxa"/>
            <w:tcBorders>
              <w:bottom w:val="single" w:sz="12" w:space="0" w:color="auto"/>
            </w:tcBorders>
            <w:shd w:val="clear" w:color="auto" w:fill="auto"/>
            <w:noWrap/>
            <w:tcMar>
              <w:top w:w="0" w:type="dxa"/>
              <w:left w:w="0" w:type="dxa"/>
              <w:bottom w:w="0" w:type="dxa"/>
              <w:right w:w="0" w:type="dxa"/>
            </w:tcMar>
            <w:hideMark/>
          </w:tcPr>
          <w:p w:rsidR="00581B1E" w:rsidRPr="00720740" w:rsidRDefault="00581B1E" w:rsidP="00720740">
            <w:pPr>
              <w:spacing w:before="40" w:after="120"/>
              <w:ind w:right="113"/>
              <w:rPr>
                <w:rFonts w:eastAsia="Calibri"/>
                <w:szCs w:val="22"/>
              </w:rPr>
            </w:pPr>
            <w:r w:rsidRPr="00720740">
              <w:rPr>
                <w:rFonts w:eastAsia="Calibri"/>
                <w:szCs w:val="22"/>
              </w:rPr>
              <w:t>Biocomposants, non dangereux, conformes à l</w:t>
            </w:r>
            <w:r w:rsidR="000C01B9">
              <w:rPr>
                <w:rFonts w:eastAsia="Calibri"/>
                <w:szCs w:val="22"/>
              </w:rPr>
              <w:t>’</w:t>
            </w:r>
            <w:r w:rsidRPr="00720740">
              <w:rPr>
                <w:rFonts w:eastAsia="Calibri"/>
                <w:szCs w:val="22"/>
              </w:rPr>
              <w:t>annexe III, RED</w:t>
            </w:r>
          </w:p>
        </w:tc>
      </w:tr>
    </w:tbl>
    <w:p w:rsidR="00581B1E" w:rsidRPr="00F04181" w:rsidRDefault="00D33351" w:rsidP="00D33351">
      <w:pPr>
        <w:pStyle w:val="SingleTxtG"/>
        <w:spacing w:before="120" w:after="0"/>
        <w:ind w:firstLine="170"/>
        <w:rPr>
          <w:sz w:val="18"/>
          <w:szCs w:val="18"/>
        </w:rPr>
      </w:pPr>
      <w:r>
        <w:rPr>
          <w:sz w:val="18"/>
          <w:szCs w:val="18"/>
        </w:rPr>
        <w:t>1)</w:t>
      </w:r>
      <w:r w:rsidR="00A4634D">
        <w:rPr>
          <w:sz w:val="18"/>
          <w:szCs w:val="18"/>
        </w:rPr>
        <w:t xml:space="preserve"> </w:t>
      </w:r>
      <w:r w:rsidR="00C84A42">
        <w:rPr>
          <w:sz w:val="18"/>
          <w:szCs w:val="18"/>
        </w:rPr>
        <w:t xml:space="preserve"> </w:t>
      </w:r>
      <w:r w:rsidR="00581B1E" w:rsidRPr="00F04181">
        <w:rPr>
          <w:sz w:val="18"/>
          <w:szCs w:val="18"/>
        </w:rPr>
        <w:t>Tableau C</w:t>
      </w:r>
      <w:r w:rsidR="00A4634D">
        <w:rPr>
          <w:sz w:val="18"/>
          <w:szCs w:val="18"/>
        </w:rPr>
        <w:t> :</w:t>
      </w:r>
      <w:r w:rsidR="00581B1E" w:rsidRPr="00F04181">
        <w:rPr>
          <w:sz w:val="18"/>
          <w:szCs w:val="18"/>
        </w:rPr>
        <w:t xml:space="preserve"> Toutes entrées sous ce </w:t>
      </w:r>
      <w:r>
        <w:rPr>
          <w:rFonts w:eastAsia="MS Mincho"/>
          <w:sz w:val="18"/>
          <w:szCs w:val="18"/>
        </w:rPr>
        <w:t>numéro</w:t>
      </w:r>
      <w:r w:rsidRPr="00F04181">
        <w:rPr>
          <w:sz w:val="18"/>
          <w:szCs w:val="18"/>
        </w:rPr>
        <w:t xml:space="preserve"> </w:t>
      </w:r>
      <w:r w:rsidR="00581B1E" w:rsidRPr="00F04181">
        <w:rPr>
          <w:sz w:val="18"/>
          <w:szCs w:val="18"/>
        </w:rPr>
        <w:t>ONU.</w:t>
      </w:r>
    </w:p>
    <w:p w:rsidR="00581B1E" w:rsidRPr="00F04181" w:rsidRDefault="00581B1E" w:rsidP="00D33351">
      <w:pPr>
        <w:pStyle w:val="SingleTxtG"/>
        <w:spacing w:after="0"/>
        <w:ind w:firstLine="170"/>
        <w:rPr>
          <w:sz w:val="18"/>
          <w:szCs w:val="18"/>
        </w:rPr>
      </w:pPr>
      <w:r w:rsidRPr="00F04181">
        <w:rPr>
          <w:sz w:val="18"/>
          <w:szCs w:val="18"/>
        </w:rPr>
        <w:t>2)</w:t>
      </w:r>
      <w:r w:rsidRPr="00CB12D2">
        <w:rPr>
          <w:spacing w:val="-40"/>
          <w:sz w:val="18"/>
          <w:szCs w:val="18"/>
        </w:rPr>
        <w:t xml:space="preserve"> </w:t>
      </w:r>
      <w:r w:rsidR="00C84A42">
        <w:rPr>
          <w:spacing w:val="-40"/>
          <w:sz w:val="18"/>
          <w:szCs w:val="18"/>
        </w:rPr>
        <w:t xml:space="preserve"> </w:t>
      </w:r>
      <w:r w:rsidRPr="00F04181">
        <w:rPr>
          <w:sz w:val="18"/>
          <w:szCs w:val="18"/>
        </w:rPr>
        <w:t>Tableau C</w:t>
      </w:r>
      <w:r w:rsidR="00A4634D">
        <w:rPr>
          <w:sz w:val="18"/>
          <w:szCs w:val="18"/>
        </w:rPr>
        <w:t> :</w:t>
      </w:r>
      <w:r w:rsidRPr="00F04181">
        <w:rPr>
          <w:sz w:val="18"/>
          <w:szCs w:val="18"/>
        </w:rPr>
        <w:t xml:space="preserve"> Toutes entrées sous ce </w:t>
      </w:r>
      <w:r w:rsidR="00D33351">
        <w:rPr>
          <w:rFonts w:eastAsia="MS Mincho"/>
          <w:sz w:val="18"/>
          <w:szCs w:val="18"/>
        </w:rPr>
        <w:t>numéro</w:t>
      </w:r>
      <w:r w:rsidR="00D33351" w:rsidRPr="00F04181">
        <w:rPr>
          <w:sz w:val="18"/>
          <w:szCs w:val="18"/>
        </w:rPr>
        <w:t xml:space="preserve"> </w:t>
      </w:r>
      <w:r w:rsidRPr="00F04181">
        <w:rPr>
          <w:sz w:val="18"/>
          <w:szCs w:val="18"/>
        </w:rPr>
        <w:t>ONU, hormis celles cl</w:t>
      </w:r>
      <w:r w:rsidR="00780F3D">
        <w:rPr>
          <w:sz w:val="18"/>
          <w:szCs w:val="18"/>
        </w:rPr>
        <w:t>assées C-1-1 dans les colonnes </w:t>
      </w:r>
      <w:r w:rsidR="00A4634D">
        <w:rPr>
          <w:sz w:val="18"/>
          <w:szCs w:val="18"/>
        </w:rPr>
        <w:t xml:space="preserve">6), 7) et </w:t>
      </w:r>
      <w:r w:rsidRPr="00F04181">
        <w:rPr>
          <w:sz w:val="18"/>
          <w:szCs w:val="18"/>
        </w:rPr>
        <w:t>8) ou classées C-1-1 en raison du point 3.2.3.3.</w:t>
      </w:r>
    </w:p>
    <w:p w:rsidR="00581B1E" w:rsidRPr="00F04181" w:rsidRDefault="00581B1E" w:rsidP="00D33351">
      <w:pPr>
        <w:pStyle w:val="SingleTxtG"/>
        <w:spacing w:after="0"/>
        <w:ind w:firstLine="170"/>
        <w:rPr>
          <w:sz w:val="18"/>
          <w:szCs w:val="18"/>
        </w:rPr>
      </w:pPr>
      <w:r w:rsidRPr="00F04181">
        <w:rPr>
          <w:sz w:val="18"/>
          <w:szCs w:val="18"/>
        </w:rPr>
        <w:t xml:space="preserve">3) </w:t>
      </w:r>
      <w:r w:rsidR="00C84A42">
        <w:rPr>
          <w:sz w:val="18"/>
          <w:szCs w:val="18"/>
        </w:rPr>
        <w:t xml:space="preserve"> </w:t>
      </w:r>
      <w:r w:rsidRPr="00F04181">
        <w:rPr>
          <w:sz w:val="18"/>
          <w:szCs w:val="18"/>
        </w:rPr>
        <w:t>Tableau C</w:t>
      </w:r>
      <w:r w:rsidR="00A4634D">
        <w:rPr>
          <w:sz w:val="18"/>
          <w:szCs w:val="18"/>
        </w:rPr>
        <w:t> :</w:t>
      </w:r>
      <w:r w:rsidRPr="00F04181">
        <w:rPr>
          <w:sz w:val="18"/>
          <w:szCs w:val="18"/>
        </w:rPr>
        <w:t xml:space="preserve"> Entrées 1 et 2 sous ce </w:t>
      </w:r>
      <w:r w:rsidR="00D33351">
        <w:rPr>
          <w:rFonts w:eastAsia="MS Mincho"/>
          <w:sz w:val="18"/>
          <w:szCs w:val="18"/>
        </w:rPr>
        <w:t xml:space="preserve">numéro </w:t>
      </w:r>
      <w:r w:rsidRPr="00F04181">
        <w:rPr>
          <w:sz w:val="18"/>
          <w:szCs w:val="18"/>
        </w:rPr>
        <w:t>ONU</w:t>
      </w:r>
      <w:r w:rsidR="009879BC">
        <w:rPr>
          <w:sz w:val="18"/>
          <w:szCs w:val="18"/>
        </w:rPr>
        <w:t>.</w:t>
      </w:r>
    </w:p>
    <w:p w:rsidR="00581B1E" w:rsidRPr="00F04181" w:rsidRDefault="00581B1E" w:rsidP="00D33351">
      <w:pPr>
        <w:pStyle w:val="SingleTxtG"/>
        <w:spacing w:after="0"/>
        <w:ind w:firstLine="170"/>
        <w:rPr>
          <w:sz w:val="18"/>
          <w:szCs w:val="18"/>
        </w:rPr>
      </w:pPr>
      <w:r w:rsidRPr="00F04181">
        <w:rPr>
          <w:sz w:val="18"/>
          <w:szCs w:val="18"/>
        </w:rPr>
        <w:t>4)</w:t>
      </w:r>
      <w:r w:rsidR="00A4634D">
        <w:rPr>
          <w:sz w:val="18"/>
          <w:szCs w:val="18"/>
        </w:rPr>
        <w:t xml:space="preserve"> </w:t>
      </w:r>
      <w:r w:rsidR="00C84A42">
        <w:rPr>
          <w:sz w:val="18"/>
          <w:szCs w:val="18"/>
        </w:rPr>
        <w:t xml:space="preserve"> </w:t>
      </w:r>
      <w:r w:rsidR="00A4634D">
        <w:rPr>
          <w:sz w:val="18"/>
          <w:szCs w:val="18"/>
        </w:rPr>
        <w:t>Tableau C :</w:t>
      </w:r>
      <w:r w:rsidR="00D33351">
        <w:rPr>
          <w:sz w:val="18"/>
          <w:szCs w:val="18"/>
        </w:rPr>
        <w:t xml:space="preserve"> </w:t>
      </w:r>
      <w:r w:rsidR="00D33351" w:rsidRPr="00D33351">
        <w:rPr>
          <w:rFonts w:eastAsia="MS Mincho"/>
          <w:sz w:val="18"/>
          <w:szCs w:val="18"/>
        </w:rPr>
        <w:t>n</w:t>
      </w:r>
      <w:r w:rsidR="00D33351" w:rsidRPr="00D33351">
        <w:rPr>
          <w:rFonts w:eastAsia="MS Mincho"/>
          <w:sz w:val="18"/>
          <w:szCs w:val="18"/>
          <w:vertAlign w:val="superscript"/>
        </w:rPr>
        <w:t>o</w:t>
      </w:r>
      <w:r w:rsidR="00D33351">
        <w:rPr>
          <w:sz w:val="18"/>
          <w:szCs w:val="18"/>
        </w:rPr>
        <w:t> </w:t>
      </w:r>
      <w:r w:rsidRPr="00F04181">
        <w:rPr>
          <w:sz w:val="18"/>
          <w:szCs w:val="18"/>
        </w:rPr>
        <w:t>ONU 3256, première entrée.</w:t>
      </w:r>
    </w:p>
    <w:p w:rsidR="00581B1E" w:rsidRDefault="00D33351" w:rsidP="00D33351">
      <w:pPr>
        <w:pStyle w:val="SingleTxtG"/>
        <w:ind w:firstLine="170"/>
        <w:rPr>
          <w:sz w:val="18"/>
          <w:szCs w:val="18"/>
        </w:rPr>
      </w:pPr>
      <w:r>
        <w:rPr>
          <w:sz w:val="18"/>
          <w:szCs w:val="18"/>
        </w:rPr>
        <w:t>5)</w:t>
      </w:r>
      <w:r w:rsidR="00A4634D" w:rsidRPr="00CB12D2">
        <w:rPr>
          <w:spacing w:val="-40"/>
          <w:sz w:val="18"/>
          <w:szCs w:val="18"/>
        </w:rPr>
        <w:t xml:space="preserve"> </w:t>
      </w:r>
      <w:r w:rsidR="00C84A42">
        <w:rPr>
          <w:spacing w:val="-40"/>
          <w:sz w:val="18"/>
          <w:szCs w:val="18"/>
        </w:rPr>
        <w:t xml:space="preserve"> </w:t>
      </w:r>
      <w:r w:rsidR="00581B1E" w:rsidRPr="00F04181">
        <w:rPr>
          <w:sz w:val="18"/>
          <w:szCs w:val="18"/>
        </w:rPr>
        <w:t xml:space="preserve">Cette substance renvoie explicitement </w:t>
      </w:r>
      <w:r w:rsidR="00581B1E">
        <w:rPr>
          <w:sz w:val="18"/>
          <w:szCs w:val="18"/>
        </w:rPr>
        <w:t>à l</w:t>
      </w:r>
      <w:r w:rsidR="000C01B9">
        <w:rPr>
          <w:sz w:val="18"/>
          <w:szCs w:val="18"/>
        </w:rPr>
        <w:t>’</w:t>
      </w:r>
      <w:r w:rsidR="00581B1E">
        <w:rPr>
          <w:sz w:val="18"/>
          <w:szCs w:val="18"/>
        </w:rPr>
        <w:t xml:space="preserve">HUILE DE CHAUFFE LOURDE </w:t>
      </w:r>
      <w:r w:rsidR="00581B1E" w:rsidRPr="00F04181">
        <w:rPr>
          <w:sz w:val="18"/>
          <w:szCs w:val="18"/>
        </w:rPr>
        <w:t>(</w:t>
      </w:r>
      <w:r w:rsidR="00581B1E" w:rsidRPr="008329E5">
        <w:rPr>
          <w:sz w:val="18"/>
          <w:szCs w:val="18"/>
        </w:rPr>
        <w:t>MATIÈRE DANGEREUSE DU POINT DE VUE DE L</w:t>
      </w:r>
      <w:r w:rsidR="000C01B9">
        <w:rPr>
          <w:sz w:val="18"/>
          <w:szCs w:val="18"/>
        </w:rPr>
        <w:t>’</w:t>
      </w:r>
      <w:r w:rsidR="00581B1E" w:rsidRPr="008329E5">
        <w:rPr>
          <w:sz w:val="18"/>
          <w:szCs w:val="18"/>
        </w:rPr>
        <w:t xml:space="preserve">ENVIRONNEMENT, LIQUIDE, N.S.A. </w:t>
      </w:r>
      <w:r w:rsidR="00581B1E" w:rsidRPr="00F04181">
        <w:rPr>
          <w:sz w:val="18"/>
          <w:szCs w:val="18"/>
        </w:rPr>
        <w:t>(</w:t>
      </w:r>
      <w:r w:rsidR="00581B1E">
        <w:rPr>
          <w:sz w:val="18"/>
          <w:szCs w:val="18"/>
        </w:rPr>
        <w:t>HUILE DE CHAUFFE LOURDE</w:t>
      </w:r>
      <w:r w:rsidR="009879BC">
        <w:rPr>
          <w:sz w:val="18"/>
          <w:szCs w:val="18"/>
        </w:rPr>
        <w:t>)), 9 </w:t>
      </w:r>
      <w:r w:rsidR="00581B1E" w:rsidRPr="00F04181">
        <w:rPr>
          <w:sz w:val="18"/>
          <w:szCs w:val="18"/>
        </w:rPr>
        <w:t>+</w:t>
      </w:r>
      <w:r w:rsidR="009879BC">
        <w:rPr>
          <w:sz w:val="18"/>
          <w:szCs w:val="18"/>
        </w:rPr>
        <w:t> </w:t>
      </w:r>
      <w:r w:rsidR="00581B1E" w:rsidRPr="00F04181">
        <w:rPr>
          <w:sz w:val="18"/>
          <w:szCs w:val="18"/>
        </w:rPr>
        <w:t>CMR (N1, N2, F o</w:t>
      </w:r>
      <w:r w:rsidR="00581B1E">
        <w:rPr>
          <w:sz w:val="18"/>
          <w:szCs w:val="18"/>
        </w:rPr>
        <w:t>u</w:t>
      </w:r>
      <w:r w:rsidR="00581B1E" w:rsidRPr="00F04181">
        <w:rPr>
          <w:sz w:val="18"/>
          <w:szCs w:val="18"/>
        </w:rPr>
        <w:t xml:space="preserve"> S), III</w:t>
      </w:r>
      <w:r w:rsidR="00581B1E">
        <w:rPr>
          <w:sz w:val="18"/>
          <w:szCs w:val="18"/>
        </w:rPr>
        <w:t>, qui, du fait de son chargement à une température égale ou supérieure à son point d</w:t>
      </w:r>
      <w:r w:rsidR="000C01B9">
        <w:rPr>
          <w:sz w:val="18"/>
          <w:szCs w:val="18"/>
        </w:rPr>
        <w:t>’</w:t>
      </w:r>
      <w:r w:rsidR="00581B1E">
        <w:rPr>
          <w:sz w:val="18"/>
          <w:szCs w:val="18"/>
        </w:rPr>
        <w:t>éclair,</w:t>
      </w:r>
      <w:r w:rsidR="0081166C">
        <w:rPr>
          <w:sz w:val="18"/>
          <w:szCs w:val="18"/>
        </w:rPr>
        <w:t xml:space="preserve"> </w:t>
      </w:r>
      <w:r w:rsidR="00581B1E">
        <w:rPr>
          <w:sz w:val="18"/>
          <w:szCs w:val="18"/>
        </w:rPr>
        <w:t xml:space="preserve">doit être classée </w:t>
      </w:r>
      <w:r w:rsidR="008F0DB8">
        <w:rPr>
          <w:sz w:val="18"/>
          <w:szCs w:val="18"/>
        </w:rPr>
        <w:t xml:space="preserve">sous le </w:t>
      </w:r>
      <w:r w:rsidR="008F0DB8" w:rsidRPr="008F0DB8">
        <w:rPr>
          <w:rFonts w:eastAsia="MS Mincho"/>
          <w:sz w:val="18"/>
          <w:szCs w:val="18"/>
        </w:rPr>
        <w:t>n</w:t>
      </w:r>
      <w:r w:rsidR="008F0DB8" w:rsidRPr="008F0DB8">
        <w:rPr>
          <w:rFonts w:eastAsia="MS Mincho"/>
          <w:sz w:val="18"/>
          <w:szCs w:val="18"/>
          <w:vertAlign w:val="superscript"/>
        </w:rPr>
        <w:t>o</w:t>
      </w:r>
      <w:r w:rsidR="008F0DB8">
        <w:rPr>
          <w:sz w:val="18"/>
          <w:szCs w:val="18"/>
        </w:rPr>
        <w:t> </w:t>
      </w:r>
      <w:r w:rsidR="00581B1E">
        <w:rPr>
          <w:sz w:val="18"/>
          <w:szCs w:val="18"/>
        </w:rPr>
        <w:t xml:space="preserve">ONU 3256. </w:t>
      </w:r>
    </w:p>
    <w:p w:rsidR="00581B1E" w:rsidRPr="00F04181" w:rsidRDefault="00581B1E" w:rsidP="00BA294B">
      <w:pPr>
        <w:pStyle w:val="SingleTxtG"/>
      </w:pPr>
      <w:r w:rsidRPr="00F04181">
        <w:t>3.</w:t>
      </w:r>
      <w:r w:rsidRPr="00F04181">
        <w:tab/>
      </w:r>
      <w:r>
        <w:t>D</w:t>
      </w:r>
      <w:r w:rsidR="000C01B9">
        <w:t>’</w:t>
      </w:r>
      <w:r>
        <w:t>autre part, le groupe de travail informel invite le Comité de la sécurité à examiner les produits du tableau 4, dont il est question à l</w:t>
      </w:r>
      <w:r w:rsidR="000C01B9">
        <w:t>’</w:t>
      </w:r>
      <w:r>
        <w:t>annexe III de la directive relative à l</w:t>
      </w:r>
      <w:r w:rsidR="000C01B9">
        <w:t>’</w:t>
      </w:r>
      <w:r>
        <w:t>énergie produite à partir de sources renouvelables</w:t>
      </w:r>
      <w:r w:rsidRPr="001B51EC">
        <w:rPr>
          <w:rStyle w:val="FootnoteReference"/>
        </w:rPr>
        <w:footnoteReference w:id="16"/>
      </w:r>
      <w:r>
        <w:t>, en vue d</w:t>
      </w:r>
      <w:r w:rsidR="000C01B9">
        <w:t>’</w:t>
      </w:r>
      <w:r>
        <w:t>autoriser leur chargement à bord de barges ayant déjà embarqué d</w:t>
      </w:r>
      <w:r w:rsidR="000C01B9">
        <w:t>’</w:t>
      </w:r>
      <w:r>
        <w:t>autr</w:t>
      </w:r>
      <w:r w:rsidR="00061E49">
        <w:t>es cargaisons, conformément au troisième paragraphe du point </w:t>
      </w:r>
      <w:r w:rsidRPr="00F04181">
        <w:t>7.2.4.13.1</w:t>
      </w:r>
      <w:r>
        <w:t xml:space="preserve"> de l</w:t>
      </w:r>
      <w:r w:rsidR="000C01B9">
        <w:t>’</w:t>
      </w:r>
      <w:r>
        <w:t>ADN</w:t>
      </w:r>
      <w:r w:rsidRPr="00F04181">
        <w:t xml:space="preserve">, </w:t>
      </w:r>
      <w:r>
        <w:t xml:space="preserve">et en accord avec les définitions de </w:t>
      </w:r>
      <w:r w:rsidR="009879BC">
        <w:t>« </w:t>
      </w:r>
      <w:r w:rsidRPr="009879BC">
        <w:rPr>
          <w:i/>
        </w:rPr>
        <w:t>transports exclusifs</w:t>
      </w:r>
      <w:r w:rsidR="009879BC">
        <w:rPr>
          <w:i/>
        </w:rPr>
        <w:t> </w:t>
      </w:r>
      <w:r w:rsidR="009879BC" w:rsidRPr="009879BC">
        <w:t>»</w:t>
      </w:r>
      <w:r>
        <w:t xml:space="preserve"> et de </w:t>
      </w:r>
      <w:r w:rsidR="009879BC">
        <w:t>« </w:t>
      </w:r>
      <w:r w:rsidRPr="009879BC">
        <w:rPr>
          <w:i/>
        </w:rPr>
        <w:t>transports compatibles</w:t>
      </w:r>
      <w:r w:rsidR="009879BC">
        <w:t> »</w:t>
      </w:r>
      <w:r>
        <w:t xml:space="preserve"> données à l</w:t>
      </w:r>
      <w:r w:rsidR="000C01B9">
        <w:t>’</w:t>
      </w:r>
      <w:r>
        <w:t>article 5.</w:t>
      </w:r>
      <w:r w:rsidR="00061E49">
        <w:t xml:space="preserve">01 de la CDNI, </w:t>
      </w:r>
      <w:r>
        <w:t xml:space="preserve">à la condition expresse que les substances en question et leur mélange figurent bien </w:t>
      </w:r>
      <w:r w:rsidRPr="00F04181">
        <w:t xml:space="preserve">dans la liste des matières autorisées à bord des </w:t>
      </w:r>
      <w:r w:rsidR="00061E49">
        <w:t>bateaux, comme indiqué au point </w:t>
      </w:r>
      <w:r w:rsidRPr="00F04181">
        <w:t>1.16.1.2.5</w:t>
      </w:r>
      <w:r w:rsidR="009C1CB3">
        <w:t> :</w:t>
      </w:r>
      <w:r>
        <w:t xml:space="preserve"> </w:t>
      </w:r>
    </w:p>
    <w:p w:rsidR="00581B1E" w:rsidRPr="00F04181" w:rsidRDefault="00581B1E" w:rsidP="00BA294B">
      <w:pPr>
        <w:pStyle w:val="Heading1"/>
        <w:spacing w:before="240"/>
      </w:pPr>
      <w:r w:rsidRPr="00F04181">
        <w:t xml:space="preserve">Tableau 4 </w:t>
      </w:r>
    </w:p>
    <w:p w:rsidR="00581B1E" w:rsidRDefault="00581B1E" w:rsidP="00BA294B">
      <w:pPr>
        <w:pStyle w:val="Heading1"/>
        <w:spacing w:after="120"/>
        <w:rPr>
          <w:b/>
          <w:bCs/>
        </w:rPr>
      </w:pPr>
      <w:r>
        <w:rPr>
          <w:b/>
          <w:bCs/>
        </w:rPr>
        <w:t xml:space="preserve">Groupe </w:t>
      </w:r>
      <w:r w:rsidRPr="00F04181">
        <w:rPr>
          <w:b/>
          <w:bCs/>
        </w:rPr>
        <w:t>RED</w:t>
      </w:r>
    </w:p>
    <w:tbl>
      <w:tblPr>
        <w:tblStyle w:val="TabTxt"/>
        <w:tblW w:w="7391" w:type="dxa"/>
        <w:tblInd w:w="1134" w:type="dxa"/>
        <w:tblLayout w:type="fixed"/>
        <w:tblLook w:val="04E0" w:firstRow="1" w:lastRow="1" w:firstColumn="1" w:lastColumn="0" w:noHBand="0" w:noVBand="1"/>
      </w:tblPr>
      <w:tblGrid>
        <w:gridCol w:w="7391"/>
      </w:tblGrid>
      <w:tr w:rsidR="00DA20CF" w:rsidRPr="00DA20CF" w:rsidTr="00DA20CF">
        <w:trPr>
          <w:trHeight w:val="103"/>
        </w:trPr>
        <w:tc>
          <w:tcPr>
            <w:tcW w:w="7391" w:type="dxa"/>
          </w:tcPr>
          <w:p w:rsidR="00DA20CF" w:rsidRPr="00B95304" w:rsidRDefault="00DA20CF" w:rsidP="00DA20CF">
            <w:pPr>
              <w:pStyle w:val="Bullet1GR"/>
              <w:ind w:left="170" w:right="0"/>
              <w:rPr>
                <w:rFonts w:eastAsia="Calibri"/>
                <w:szCs w:val="17"/>
                <w:lang w:val="fr-CH"/>
              </w:rPr>
            </w:pPr>
            <w:r w:rsidRPr="00B95304">
              <w:rPr>
                <w:lang w:val="fr-CH"/>
              </w:rPr>
              <w:t>Bioéthanol (éthanol produit à partir de la biomasse)</w:t>
            </w:r>
          </w:p>
        </w:tc>
      </w:tr>
      <w:tr w:rsidR="00DA20CF" w:rsidRPr="00DA20CF" w:rsidTr="00FE2983">
        <w:trPr>
          <w:trHeight w:val="199"/>
        </w:trPr>
        <w:tc>
          <w:tcPr>
            <w:tcW w:w="7391" w:type="dxa"/>
            <w:tcBorders>
              <w:bottom w:val="nil"/>
            </w:tcBorders>
          </w:tcPr>
          <w:p w:rsidR="00DA20CF" w:rsidRPr="00DA20CF" w:rsidRDefault="00DA20CF" w:rsidP="00DA20CF">
            <w:pPr>
              <w:pStyle w:val="Bullet1GR"/>
              <w:ind w:left="170" w:right="0"/>
              <w:rPr>
                <w:rFonts w:eastAsia="Calibri"/>
                <w:szCs w:val="17"/>
                <w:lang w:val="fr-CH"/>
              </w:rPr>
            </w:pPr>
            <w:r w:rsidRPr="00DA20CF">
              <w:rPr>
                <w:lang w:val="fr-CH"/>
              </w:rPr>
              <w:t>Bio-ETBE (éthyl-tertio-butyl éther produit à partir de bioéthanol)</w:t>
            </w:r>
          </w:p>
        </w:tc>
      </w:tr>
      <w:tr w:rsidR="00DA20CF" w:rsidRPr="00DA20CF" w:rsidTr="00FE2983">
        <w:trPr>
          <w:trHeight w:val="199"/>
        </w:trPr>
        <w:tc>
          <w:tcPr>
            <w:tcW w:w="7391" w:type="dxa"/>
            <w:tcBorders>
              <w:top w:val="nil"/>
              <w:bottom w:val="nil"/>
            </w:tcBorders>
          </w:tcPr>
          <w:p w:rsidR="00DA20CF" w:rsidRPr="00DA20CF" w:rsidRDefault="00DA20CF" w:rsidP="00DA20CF">
            <w:pPr>
              <w:pStyle w:val="Bullet1GR"/>
              <w:ind w:left="170" w:right="0"/>
              <w:rPr>
                <w:rFonts w:eastAsia="Calibri"/>
                <w:szCs w:val="17"/>
                <w:lang w:val="fr-CH"/>
              </w:rPr>
            </w:pPr>
            <w:r w:rsidRPr="00DA20CF">
              <w:rPr>
                <w:lang w:val="fr-CH"/>
              </w:rPr>
              <w:t>Biométhanol (méthanol produit à partir de la biomasse pour servir de biocarburant)</w:t>
            </w:r>
          </w:p>
        </w:tc>
      </w:tr>
      <w:tr w:rsidR="00DA20CF" w:rsidRPr="00DA20CF" w:rsidTr="00FE2983">
        <w:trPr>
          <w:trHeight w:val="63"/>
        </w:trPr>
        <w:tc>
          <w:tcPr>
            <w:tcW w:w="7391" w:type="dxa"/>
            <w:tcBorders>
              <w:top w:val="nil"/>
              <w:bottom w:val="nil"/>
            </w:tcBorders>
          </w:tcPr>
          <w:p w:rsidR="00DA20CF" w:rsidRPr="00DA20CF" w:rsidRDefault="00DA20CF" w:rsidP="00DA20CF">
            <w:pPr>
              <w:pStyle w:val="Bullet1GR"/>
              <w:ind w:left="170" w:right="0"/>
              <w:rPr>
                <w:rFonts w:eastAsia="Calibri"/>
                <w:szCs w:val="17"/>
                <w:lang w:val="fr-CH"/>
              </w:rPr>
            </w:pPr>
            <w:r w:rsidRPr="00DA20CF">
              <w:rPr>
                <w:rFonts w:eastAsia="Calibri"/>
                <w:szCs w:val="17"/>
                <w:lang w:val="fr-CH"/>
              </w:rPr>
              <w:t>Bio-MTBE</w:t>
            </w:r>
            <w:r w:rsidR="0081166C">
              <w:rPr>
                <w:rFonts w:eastAsia="Calibri"/>
                <w:szCs w:val="17"/>
                <w:lang w:val="fr-CH"/>
              </w:rPr>
              <w:t xml:space="preserve"> </w:t>
            </w:r>
            <w:r w:rsidRPr="00DA20CF">
              <w:rPr>
                <w:lang w:val="fr-CH"/>
              </w:rPr>
              <w:t>(méthyl-tertio-butyl éther produit à partir de biométhanol)</w:t>
            </w:r>
          </w:p>
        </w:tc>
      </w:tr>
      <w:tr w:rsidR="00DA20CF" w:rsidRPr="00DA20CF" w:rsidTr="00C61B68">
        <w:trPr>
          <w:trHeight w:val="199"/>
        </w:trPr>
        <w:tc>
          <w:tcPr>
            <w:tcW w:w="7391" w:type="dxa"/>
            <w:tcBorders>
              <w:top w:val="nil"/>
              <w:bottom w:val="nil"/>
            </w:tcBorders>
          </w:tcPr>
          <w:p w:rsidR="00DA20CF" w:rsidRPr="00DA20CF" w:rsidRDefault="00DA20CF" w:rsidP="00DA20CF">
            <w:pPr>
              <w:pStyle w:val="Bullet1GR"/>
              <w:ind w:left="170" w:right="0"/>
              <w:rPr>
                <w:rFonts w:eastAsia="Calibri"/>
                <w:szCs w:val="17"/>
                <w:lang w:val="fr-CH"/>
              </w:rPr>
            </w:pPr>
            <w:r w:rsidRPr="00DA20CF">
              <w:rPr>
                <w:lang w:val="fr-CH"/>
              </w:rPr>
              <w:t>Bio-DME (diméthyléther produit à partir de la biomasse pour servir de biocarburant)</w:t>
            </w:r>
          </w:p>
        </w:tc>
      </w:tr>
      <w:tr w:rsidR="00DA20CF" w:rsidRPr="00DA20CF" w:rsidTr="00C61B68">
        <w:trPr>
          <w:trHeight w:val="199"/>
        </w:trPr>
        <w:tc>
          <w:tcPr>
            <w:tcW w:w="7391" w:type="dxa"/>
            <w:tcBorders>
              <w:top w:val="nil"/>
            </w:tcBorders>
          </w:tcPr>
          <w:p w:rsidR="00DA20CF" w:rsidRPr="00B95304" w:rsidRDefault="00D61F5C" w:rsidP="00DA20CF">
            <w:pPr>
              <w:pStyle w:val="Bullet1GR"/>
              <w:ind w:left="170" w:right="0"/>
              <w:rPr>
                <w:lang w:val="fr-CH"/>
              </w:rPr>
            </w:pPr>
            <w:r>
              <w:rPr>
                <w:lang w:val="fr-CH"/>
              </w:rPr>
              <w:lastRenderedPageBreak/>
              <w:t>Bio-TAEE (</w:t>
            </w:r>
            <w:r w:rsidR="00DA20CF" w:rsidRPr="00B95304">
              <w:rPr>
                <w:lang w:val="fr-CH"/>
              </w:rPr>
              <w:t>tertioamyléthyléther produit à partir de bioéthanol)</w:t>
            </w:r>
          </w:p>
        </w:tc>
      </w:tr>
      <w:tr w:rsidR="00DA20CF" w:rsidRPr="00DA20CF" w:rsidTr="00DA20CF">
        <w:trPr>
          <w:trHeight w:val="199"/>
        </w:trPr>
        <w:tc>
          <w:tcPr>
            <w:tcW w:w="7391" w:type="dxa"/>
          </w:tcPr>
          <w:p w:rsidR="00DA20CF" w:rsidRPr="00B95304" w:rsidRDefault="00DA20CF" w:rsidP="00DA20CF">
            <w:pPr>
              <w:pStyle w:val="Bullet1GR"/>
              <w:ind w:left="170" w:right="0"/>
              <w:rPr>
                <w:lang w:val="fr-CH"/>
              </w:rPr>
            </w:pPr>
            <w:r w:rsidRPr="00B95304">
              <w:rPr>
                <w:lang w:val="fr-CH"/>
              </w:rPr>
              <w:t>Biobutanol (butanol produit à partir de la biomasse, pour servir de biocarburant)</w:t>
            </w:r>
          </w:p>
        </w:tc>
      </w:tr>
      <w:tr w:rsidR="00DA20CF" w:rsidRPr="00DA20CF" w:rsidTr="00DA20CF">
        <w:trPr>
          <w:trHeight w:val="199"/>
        </w:trPr>
        <w:tc>
          <w:tcPr>
            <w:tcW w:w="7391" w:type="dxa"/>
          </w:tcPr>
          <w:p w:rsidR="00DA20CF" w:rsidRPr="0081166C" w:rsidRDefault="00DA20CF" w:rsidP="00DA20CF">
            <w:pPr>
              <w:pStyle w:val="Bullet1GR"/>
              <w:ind w:left="170" w:right="0"/>
              <w:rPr>
                <w:lang w:val="fr-CH"/>
              </w:rPr>
            </w:pPr>
            <w:r w:rsidRPr="0081166C">
              <w:rPr>
                <w:lang w:val="fr-CH"/>
              </w:rPr>
              <w:t>Agrogazole (méthyléther produit à partir de graisses végétales ou animales de qualité diesel,</w:t>
            </w:r>
            <w:r w:rsidR="0081166C" w:rsidRPr="0081166C">
              <w:rPr>
                <w:lang w:val="fr-CH"/>
              </w:rPr>
              <w:t xml:space="preserve"> </w:t>
            </w:r>
            <w:r w:rsidRPr="0081166C">
              <w:rPr>
                <w:lang w:val="fr-CH"/>
              </w:rPr>
              <w:t>pour servir de biocarburant)</w:t>
            </w:r>
          </w:p>
        </w:tc>
      </w:tr>
      <w:tr w:rsidR="00DA20CF" w:rsidRPr="00DA20CF" w:rsidTr="00DA20CF">
        <w:trPr>
          <w:trHeight w:val="199"/>
        </w:trPr>
        <w:tc>
          <w:tcPr>
            <w:tcW w:w="7391" w:type="dxa"/>
          </w:tcPr>
          <w:p w:rsidR="00DA20CF" w:rsidRPr="00B95304" w:rsidRDefault="00DA20CF" w:rsidP="00DA20CF">
            <w:pPr>
              <w:pStyle w:val="Bullet1GR"/>
              <w:ind w:left="170" w:right="0"/>
              <w:rPr>
                <w:lang w:val="fr-CH"/>
              </w:rPr>
            </w:pPr>
            <w:r w:rsidRPr="00B95304">
              <w:rPr>
                <w:lang w:val="fr-CH"/>
              </w:rPr>
              <w:t>Gazole de synthèse de Fischer-Tropsch (hydrocarbure de synthèse ou mélange d</w:t>
            </w:r>
            <w:r w:rsidR="000C01B9">
              <w:rPr>
                <w:lang w:val="fr-CH"/>
              </w:rPr>
              <w:t>’</w:t>
            </w:r>
            <w:r w:rsidRPr="00B95304">
              <w:rPr>
                <w:lang w:val="fr-CH"/>
              </w:rPr>
              <w:t>hydrocarbures de synthèse produit à partir de la biomasse)</w:t>
            </w:r>
          </w:p>
        </w:tc>
      </w:tr>
      <w:tr w:rsidR="00DA20CF" w:rsidRPr="00DA20CF" w:rsidTr="00DA20CF">
        <w:trPr>
          <w:trHeight w:val="199"/>
        </w:trPr>
        <w:tc>
          <w:tcPr>
            <w:tcW w:w="7391" w:type="dxa"/>
          </w:tcPr>
          <w:p w:rsidR="00DA20CF" w:rsidRPr="00B95304" w:rsidRDefault="00DA20CF" w:rsidP="00DA20CF">
            <w:pPr>
              <w:pStyle w:val="Bullet1GR"/>
              <w:ind w:left="170" w:right="0"/>
              <w:rPr>
                <w:lang w:val="fr-CH"/>
              </w:rPr>
            </w:pPr>
            <w:r w:rsidRPr="00B95304">
              <w:rPr>
                <w:lang w:val="fr-CH"/>
              </w:rPr>
              <w:t>Huile végétale hydrotraitée (huile végétale traitée par voie thermochimique avec injection d</w:t>
            </w:r>
            <w:r w:rsidR="000C01B9">
              <w:rPr>
                <w:lang w:val="fr-CH"/>
              </w:rPr>
              <w:t>’</w:t>
            </w:r>
            <w:r w:rsidRPr="00B95304">
              <w:rPr>
                <w:lang w:val="fr-CH"/>
              </w:rPr>
              <w:t>hydrogène)</w:t>
            </w:r>
          </w:p>
        </w:tc>
      </w:tr>
      <w:tr w:rsidR="00DA20CF" w:rsidRPr="00DA20CF" w:rsidTr="00DA20CF">
        <w:trPr>
          <w:trHeight w:val="390"/>
        </w:trPr>
        <w:tc>
          <w:tcPr>
            <w:tcW w:w="7391" w:type="dxa"/>
          </w:tcPr>
          <w:p w:rsidR="00DA20CF" w:rsidRPr="006144D6" w:rsidRDefault="00DA20CF" w:rsidP="00DA20CF">
            <w:pPr>
              <w:pStyle w:val="Bullet1GR"/>
              <w:ind w:left="170" w:right="0"/>
              <w:rPr>
                <w:lang w:val="fr-CH"/>
              </w:rPr>
            </w:pPr>
            <w:r w:rsidRPr="006144D6">
              <w:rPr>
                <w:lang w:val="fr-CH"/>
              </w:rPr>
              <w:t>Huile végétale pure (huile produite à partir de plantes oléagineuses, après pressage, extraction ou autre procédé, brute ou raffinée m</w:t>
            </w:r>
            <w:r w:rsidR="006144D6" w:rsidRPr="006144D6">
              <w:rPr>
                <w:lang w:val="fr-CH"/>
              </w:rPr>
              <w:t xml:space="preserve">ais chimiquement non modifiée, </w:t>
            </w:r>
            <w:r w:rsidRPr="006144D6">
              <w:rPr>
                <w:lang w:val="fr-CH"/>
              </w:rPr>
              <w:t>dès lors qu</w:t>
            </w:r>
            <w:r w:rsidR="000C01B9">
              <w:rPr>
                <w:lang w:val="fr-CH"/>
              </w:rPr>
              <w:t>’</w:t>
            </w:r>
            <w:r w:rsidRPr="006144D6">
              <w:rPr>
                <w:lang w:val="fr-CH"/>
              </w:rPr>
              <w:t>elle est compatible avec les types de moteur auxquels elle est destinée et que les prescriptions en matière d</w:t>
            </w:r>
            <w:r w:rsidR="000C01B9">
              <w:rPr>
                <w:lang w:val="fr-CH"/>
              </w:rPr>
              <w:t>’</w:t>
            </w:r>
            <w:r w:rsidRPr="006144D6">
              <w:rPr>
                <w:lang w:val="fr-CH"/>
              </w:rPr>
              <w:t>émissions sont respectées)</w:t>
            </w:r>
          </w:p>
        </w:tc>
      </w:tr>
      <w:tr w:rsidR="00DA20CF" w:rsidRPr="00DA20CF" w:rsidTr="00DA20CF">
        <w:trPr>
          <w:trHeight w:val="294"/>
        </w:trPr>
        <w:tc>
          <w:tcPr>
            <w:tcW w:w="7391" w:type="dxa"/>
          </w:tcPr>
          <w:p w:rsidR="00DA20CF" w:rsidRPr="00B95304" w:rsidRDefault="00DA20CF" w:rsidP="00DA20CF">
            <w:pPr>
              <w:pStyle w:val="Bullet1GR"/>
              <w:ind w:left="170" w:right="0"/>
              <w:rPr>
                <w:lang w:val="fr-CH"/>
              </w:rPr>
            </w:pPr>
            <w:r w:rsidRPr="00B95304">
              <w:rPr>
                <w:lang w:val="fr-CH"/>
              </w:rPr>
              <w:t xml:space="preserve">Biogaz (gaz combustible produit à partir de la biomasse et/ou de la fraction biodégradable de déchets, pouvant être purifié pour obtenir la qualité du gaz naturel, utilisé comme biocarburant, également appelé gaz de bois) </w:t>
            </w:r>
          </w:p>
        </w:tc>
      </w:tr>
      <w:tr w:rsidR="00DA20CF" w:rsidRPr="008319D8" w:rsidTr="00DA20CF">
        <w:trPr>
          <w:trHeight w:val="103"/>
        </w:trPr>
        <w:tc>
          <w:tcPr>
            <w:tcW w:w="7391" w:type="dxa"/>
          </w:tcPr>
          <w:p w:rsidR="00DA20CF" w:rsidRPr="00DA20CF" w:rsidRDefault="00DA20CF" w:rsidP="00DA20CF">
            <w:pPr>
              <w:pStyle w:val="Bullet1GR"/>
              <w:ind w:left="170" w:right="0"/>
            </w:pPr>
            <w:r w:rsidRPr="00F04181">
              <w:t>Essence</w:t>
            </w:r>
          </w:p>
        </w:tc>
      </w:tr>
      <w:tr w:rsidR="00DA20CF" w:rsidRPr="008319D8" w:rsidTr="00DA20CF">
        <w:trPr>
          <w:trHeight w:val="103"/>
        </w:trPr>
        <w:tc>
          <w:tcPr>
            <w:tcW w:w="7391" w:type="dxa"/>
          </w:tcPr>
          <w:p w:rsidR="00DA20CF" w:rsidRPr="00DA20CF" w:rsidRDefault="00DA20CF" w:rsidP="00DA20CF">
            <w:pPr>
              <w:pStyle w:val="Bullet1GR"/>
              <w:ind w:left="170" w:right="0"/>
            </w:pPr>
            <w:r w:rsidRPr="00F04181">
              <w:t>Gazole</w:t>
            </w:r>
          </w:p>
        </w:tc>
      </w:tr>
    </w:tbl>
    <w:p w:rsidR="00581B1E" w:rsidRPr="008329E5" w:rsidRDefault="00581B1E" w:rsidP="008329E5">
      <w:pPr>
        <w:pStyle w:val="SingleTxtG"/>
        <w:spacing w:before="120"/>
        <w:ind w:firstLine="170"/>
        <w:rPr>
          <w:sz w:val="18"/>
          <w:szCs w:val="18"/>
        </w:rPr>
      </w:pPr>
      <w:r w:rsidRPr="008329E5">
        <w:rPr>
          <w:i/>
          <w:iCs/>
          <w:sz w:val="18"/>
          <w:szCs w:val="18"/>
        </w:rPr>
        <w:t>Note</w:t>
      </w:r>
      <w:r w:rsidR="008329E5">
        <w:rPr>
          <w:i/>
          <w:iCs/>
          <w:sz w:val="18"/>
          <w:szCs w:val="18"/>
        </w:rPr>
        <w:t> </w:t>
      </w:r>
      <w:r w:rsidR="008329E5">
        <w:rPr>
          <w:iCs/>
          <w:sz w:val="18"/>
          <w:szCs w:val="18"/>
        </w:rPr>
        <w:t>:</w:t>
      </w:r>
      <w:r w:rsidRPr="008329E5">
        <w:rPr>
          <w:sz w:val="18"/>
          <w:szCs w:val="18"/>
        </w:rPr>
        <w:t xml:space="preserve"> Les principes de la classification des substances résultant d</w:t>
      </w:r>
      <w:r w:rsidR="000C01B9">
        <w:rPr>
          <w:sz w:val="18"/>
          <w:szCs w:val="18"/>
        </w:rPr>
        <w:t>’</w:t>
      </w:r>
      <w:r w:rsidR="0087621F">
        <w:rPr>
          <w:sz w:val="18"/>
          <w:szCs w:val="18"/>
        </w:rPr>
        <w:t>un mélange figurent en </w:t>
      </w:r>
      <w:r w:rsidR="00061E49">
        <w:rPr>
          <w:sz w:val="18"/>
          <w:szCs w:val="18"/>
        </w:rPr>
        <w:t>annexe </w:t>
      </w:r>
      <w:r w:rsidRPr="008329E5">
        <w:rPr>
          <w:sz w:val="18"/>
          <w:szCs w:val="18"/>
        </w:rPr>
        <w:t>IV.</w:t>
      </w:r>
    </w:p>
    <w:p w:rsidR="00581B1E" w:rsidRPr="00F04181" w:rsidRDefault="008329E5" w:rsidP="008329E5">
      <w:pPr>
        <w:pStyle w:val="HChG"/>
      </w:pPr>
      <w:r>
        <w:tab/>
      </w:r>
      <w:r w:rsidR="00581B1E" w:rsidRPr="00F04181">
        <w:t>II.</w:t>
      </w:r>
      <w:r w:rsidR="00581B1E" w:rsidRPr="00F04181">
        <w:tab/>
        <w:t>Ex</w:t>
      </w:r>
      <w:r w:rsidR="00581B1E">
        <w:t>e</w:t>
      </w:r>
      <w:r w:rsidR="00581B1E" w:rsidRPr="00F04181">
        <w:t xml:space="preserve">mples </w:t>
      </w:r>
      <w:r w:rsidR="00581B1E">
        <w:t xml:space="preserve">de mélange de cargaisons à bord des barges </w:t>
      </w:r>
    </w:p>
    <w:p w:rsidR="008329E5" w:rsidRDefault="00581B1E" w:rsidP="008329E5">
      <w:pPr>
        <w:pStyle w:val="SingleTxtG"/>
      </w:pPr>
      <w:r w:rsidRPr="00F04181">
        <w:t>1.</w:t>
      </w:r>
      <w:r w:rsidRPr="00F04181">
        <w:tab/>
      </w:r>
      <w:r>
        <w:t>Le groupe de travail informel du mélange de cargaisons à bord des barges invite le Comité de sécurité à examiner les exemples ci-après de mélange de cargaisons. Il convient de noter que le chargement des subst</w:t>
      </w:r>
      <w:r w:rsidR="0087621F">
        <w:t>ances</w:t>
      </w:r>
      <w:r>
        <w:t xml:space="preserve"> 1 et 2 peut s</w:t>
      </w:r>
      <w:r w:rsidR="000C01B9">
        <w:t>’</w:t>
      </w:r>
      <w:r>
        <w:t xml:space="preserve">effectuer à différents sites et/ou depuis différentes citernes de stockage à terre sur le même site de chargement, et de prêter attention </w:t>
      </w:r>
      <w:r w:rsidRPr="00D03B9C">
        <w:t>aux notes 1</w:t>
      </w:r>
      <w:r w:rsidR="0087621F">
        <w:t>), 2) et</w:t>
      </w:r>
      <w:r w:rsidRPr="00F04181">
        <w:t xml:space="preserve"> 3) </w:t>
      </w:r>
      <w:r>
        <w:t xml:space="preserve">qui suivent les tableaux </w:t>
      </w:r>
      <w:r w:rsidRPr="00F04181">
        <w:t>1, 2</w:t>
      </w:r>
      <w:r>
        <w:t xml:space="preserve"> et </w:t>
      </w:r>
      <w:r w:rsidRPr="00F04181">
        <w:t>3</w:t>
      </w:r>
      <w:r>
        <w:t xml:space="preserve"> précédemment évoqués, ainsi que le tableau 4, et aussi aux points </w:t>
      </w:r>
      <w:r w:rsidRPr="00F04181">
        <w:t>7.2.4.</w:t>
      </w:r>
      <w:r w:rsidRPr="0089217E">
        <w:t>7 (Lieux de chargement et de déchargement) et 7.2.4.9 de l</w:t>
      </w:r>
      <w:r w:rsidR="000C01B9">
        <w:t>’</w:t>
      </w:r>
      <w:r w:rsidRPr="0089217E">
        <w:t>ADN (Transbordement).</w:t>
      </w:r>
    </w:p>
    <w:p w:rsidR="00581B1E" w:rsidRPr="00F04181" w:rsidRDefault="00581B1E" w:rsidP="006144D6">
      <w:pPr>
        <w:pStyle w:val="SingleTxtG"/>
        <w:kinsoku/>
        <w:overflowPunct/>
        <w:autoSpaceDE/>
        <w:autoSpaceDN/>
        <w:adjustRightInd/>
        <w:snapToGrid/>
      </w:pPr>
      <w:r w:rsidRPr="00F04181">
        <w:t>2.</w:t>
      </w:r>
      <w:r w:rsidRPr="00F04181">
        <w:tab/>
        <w:t xml:space="preserve">Substances </w:t>
      </w:r>
      <w:r>
        <w:t>ayant le même numéro ONU dans le même groupe de compatibilité</w:t>
      </w:r>
      <w:r w:rsidR="009C1CB3">
        <w:t> ;</w:t>
      </w:r>
      <w:r>
        <w:t xml:space="preserve"> </w:t>
      </w:r>
    </w:p>
    <w:p w:rsidR="00581B1E" w:rsidRPr="001E3E8D" w:rsidRDefault="001E3E8D" w:rsidP="006144D6">
      <w:pPr>
        <w:pStyle w:val="SingleTxtG"/>
        <w:kinsoku/>
        <w:overflowPunct/>
        <w:autoSpaceDE/>
        <w:autoSpaceDN/>
        <w:adjustRightInd/>
        <w:snapToGrid/>
        <w:ind w:firstLine="567"/>
        <w:rPr>
          <w:lang w:val="es-ES"/>
        </w:rPr>
      </w:pPr>
      <w:r w:rsidRPr="001E3E8D">
        <w:rPr>
          <w:lang w:val="es-ES"/>
        </w:rPr>
        <w:t>Par exemple</w:t>
      </w:r>
      <w:r w:rsidR="00581B1E" w:rsidRPr="001E3E8D">
        <w:rPr>
          <w:lang w:val="es-ES"/>
        </w:rPr>
        <w:t xml:space="preserve"> </w:t>
      </w:r>
      <w:r w:rsidRPr="001E3E8D">
        <w:rPr>
          <w:rFonts w:eastAsia="MS Mincho"/>
          <w:lang w:val="es-ES"/>
        </w:rPr>
        <w:t>n</w:t>
      </w:r>
      <w:r w:rsidRPr="001E3E8D">
        <w:rPr>
          <w:rFonts w:eastAsia="MS Mincho"/>
          <w:vertAlign w:val="superscript"/>
          <w:lang w:val="es-ES"/>
        </w:rPr>
        <w:t>o</w:t>
      </w:r>
      <w:r w:rsidRPr="001E3E8D">
        <w:rPr>
          <w:lang w:val="es-ES"/>
        </w:rPr>
        <w:t> </w:t>
      </w:r>
      <w:r w:rsidR="00581B1E" w:rsidRPr="001E3E8D">
        <w:rPr>
          <w:lang w:val="es-ES"/>
        </w:rPr>
        <w:t xml:space="preserve">ONU 3295 + </w:t>
      </w:r>
      <w:r w:rsidRPr="001E3E8D">
        <w:rPr>
          <w:rFonts w:eastAsia="MS Mincho"/>
          <w:lang w:val="es-ES"/>
        </w:rPr>
        <w:t>n</w:t>
      </w:r>
      <w:r w:rsidRPr="001E3E8D">
        <w:rPr>
          <w:rFonts w:eastAsia="MS Mincho"/>
          <w:vertAlign w:val="superscript"/>
          <w:lang w:val="es-ES"/>
        </w:rPr>
        <w:t>o</w:t>
      </w:r>
      <w:r w:rsidRPr="001E3E8D">
        <w:rPr>
          <w:lang w:val="es-ES"/>
        </w:rPr>
        <w:t> </w:t>
      </w:r>
      <w:r w:rsidR="00581B1E" w:rsidRPr="001E3E8D">
        <w:rPr>
          <w:lang w:val="es-ES"/>
        </w:rPr>
        <w:t>ONU</w:t>
      </w:r>
      <w:r>
        <w:rPr>
          <w:lang w:val="es-ES"/>
        </w:rPr>
        <w:t xml:space="preserve"> 3295 ;</w:t>
      </w:r>
    </w:p>
    <w:p w:rsidR="00581B1E" w:rsidRPr="00F04181" w:rsidRDefault="00581B1E" w:rsidP="008329E5">
      <w:pPr>
        <w:pStyle w:val="SingleTxtG"/>
      </w:pPr>
      <w:r w:rsidRPr="00F04181">
        <w:t>3.</w:t>
      </w:r>
      <w:r w:rsidRPr="00F04181">
        <w:tab/>
        <w:t xml:space="preserve">Substances </w:t>
      </w:r>
      <w:r>
        <w:t>du groupe I de compatibilité et substances du groupe I de compatibilité</w:t>
      </w:r>
      <w:r w:rsidR="009C1CB3">
        <w:t> ;</w:t>
      </w:r>
    </w:p>
    <w:p w:rsidR="00581B1E" w:rsidRPr="001E3E8D" w:rsidRDefault="001E3E8D" w:rsidP="006144D6">
      <w:pPr>
        <w:pStyle w:val="SingleTxtG"/>
        <w:kinsoku/>
        <w:overflowPunct/>
        <w:autoSpaceDE/>
        <w:autoSpaceDN/>
        <w:adjustRightInd/>
        <w:snapToGrid/>
        <w:ind w:firstLine="567"/>
        <w:rPr>
          <w:lang w:val="es-ES"/>
        </w:rPr>
      </w:pPr>
      <w:r w:rsidRPr="001E3E8D">
        <w:rPr>
          <w:lang w:val="es-ES"/>
        </w:rPr>
        <w:t xml:space="preserve">Par exemple </w:t>
      </w:r>
      <w:r w:rsidRPr="001E3E8D">
        <w:rPr>
          <w:rFonts w:eastAsia="MS Mincho"/>
          <w:lang w:val="es-ES"/>
        </w:rPr>
        <w:t>n</w:t>
      </w:r>
      <w:r w:rsidRPr="001E3E8D">
        <w:rPr>
          <w:rFonts w:eastAsia="MS Mincho"/>
          <w:vertAlign w:val="superscript"/>
          <w:lang w:val="es-ES"/>
        </w:rPr>
        <w:t>o</w:t>
      </w:r>
      <w:r w:rsidRPr="001E3E8D">
        <w:rPr>
          <w:lang w:val="es-ES"/>
        </w:rPr>
        <w:t> </w:t>
      </w:r>
      <w:r w:rsidR="00581B1E" w:rsidRPr="001E3E8D">
        <w:rPr>
          <w:lang w:val="es-ES"/>
        </w:rPr>
        <w:t xml:space="preserve">ONU 1203 + </w:t>
      </w:r>
      <w:r w:rsidRPr="001E3E8D">
        <w:rPr>
          <w:rFonts w:eastAsia="MS Mincho"/>
          <w:lang w:val="es-ES"/>
        </w:rPr>
        <w:t>n</w:t>
      </w:r>
      <w:r w:rsidRPr="001E3E8D">
        <w:rPr>
          <w:rFonts w:eastAsia="MS Mincho"/>
          <w:vertAlign w:val="superscript"/>
          <w:lang w:val="es-ES"/>
        </w:rPr>
        <w:t>o</w:t>
      </w:r>
      <w:r w:rsidRPr="001E3E8D">
        <w:rPr>
          <w:lang w:val="es-ES"/>
        </w:rPr>
        <w:t> </w:t>
      </w:r>
      <w:r w:rsidR="00581B1E" w:rsidRPr="001E3E8D">
        <w:rPr>
          <w:lang w:val="es-ES"/>
        </w:rPr>
        <w:t>ONU</w:t>
      </w:r>
      <w:r w:rsidRPr="001E3E8D">
        <w:rPr>
          <w:lang w:val="es-ES"/>
        </w:rPr>
        <w:t xml:space="preserve"> 1170 ;</w:t>
      </w:r>
      <w:r w:rsidR="00581B1E" w:rsidRPr="001E3E8D">
        <w:rPr>
          <w:lang w:val="es-ES"/>
        </w:rPr>
        <w:t xml:space="preserve"> </w:t>
      </w:r>
      <w:r w:rsidRPr="001E3E8D">
        <w:rPr>
          <w:rFonts w:eastAsia="MS Mincho"/>
          <w:lang w:val="es-ES"/>
        </w:rPr>
        <w:t>n</w:t>
      </w:r>
      <w:r w:rsidRPr="001E3E8D">
        <w:rPr>
          <w:rFonts w:eastAsia="MS Mincho"/>
          <w:vertAlign w:val="superscript"/>
          <w:lang w:val="es-ES"/>
        </w:rPr>
        <w:t>o</w:t>
      </w:r>
      <w:r w:rsidRPr="001E3E8D">
        <w:rPr>
          <w:lang w:val="es-ES"/>
        </w:rPr>
        <w:t> </w:t>
      </w:r>
      <w:r w:rsidR="00581B1E" w:rsidRPr="001E3E8D">
        <w:rPr>
          <w:lang w:val="es-ES"/>
        </w:rPr>
        <w:t xml:space="preserve">ONU 1268 + </w:t>
      </w:r>
      <w:r w:rsidRPr="001E3E8D">
        <w:rPr>
          <w:rFonts w:eastAsia="MS Mincho"/>
          <w:lang w:val="es-ES"/>
        </w:rPr>
        <w:t>n</w:t>
      </w:r>
      <w:r w:rsidRPr="001E3E8D">
        <w:rPr>
          <w:rFonts w:eastAsia="MS Mincho"/>
          <w:vertAlign w:val="superscript"/>
          <w:lang w:val="es-ES"/>
        </w:rPr>
        <w:t>o</w:t>
      </w:r>
      <w:r w:rsidRPr="001E3E8D">
        <w:rPr>
          <w:lang w:val="es-ES"/>
        </w:rPr>
        <w:t> </w:t>
      </w:r>
      <w:r w:rsidR="00581B1E" w:rsidRPr="001E3E8D">
        <w:rPr>
          <w:lang w:val="es-ES"/>
        </w:rPr>
        <w:t>ONU 3295</w:t>
      </w:r>
    </w:p>
    <w:p w:rsidR="00581B1E" w:rsidRPr="00F04181" w:rsidRDefault="00581B1E" w:rsidP="008329E5">
      <w:pPr>
        <w:pStyle w:val="SingleTxtG"/>
      </w:pPr>
      <w:r w:rsidRPr="00F04181">
        <w:t>4.</w:t>
      </w:r>
      <w:r w:rsidRPr="00F04181">
        <w:tab/>
        <w:t xml:space="preserve">Substances </w:t>
      </w:r>
      <w:r>
        <w:t>du groupe II de compatibilité et substances du g</w:t>
      </w:r>
      <w:r w:rsidRPr="00F04181">
        <w:t>roup</w:t>
      </w:r>
      <w:r>
        <w:t>e</w:t>
      </w:r>
      <w:r w:rsidRPr="00F04181">
        <w:t xml:space="preserve"> II </w:t>
      </w:r>
      <w:r>
        <w:t>de compatibilité</w:t>
      </w:r>
      <w:r w:rsidR="001E3E8D">
        <w:t> </w:t>
      </w:r>
      <w:r w:rsidRPr="00F04181">
        <w:t>;</w:t>
      </w:r>
    </w:p>
    <w:p w:rsidR="00581B1E" w:rsidRPr="00F04181" w:rsidRDefault="001E3E8D" w:rsidP="006144D6">
      <w:pPr>
        <w:pStyle w:val="SingleTxtG"/>
        <w:kinsoku/>
        <w:overflowPunct/>
        <w:autoSpaceDE/>
        <w:autoSpaceDN/>
        <w:adjustRightInd/>
        <w:snapToGrid/>
        <w:ind w:firstLine="567"/>
      </w:pPr>
      <w:r>
        <w:t>Par exemple</w:t>
      </w:r>
      <w:r w:rsidR="00581B1E">
        <w:t xml:space="preserve"> </w:t>
      </w:r>
      <w:r>
        <w:rPr>
          <w:rFonts w:eastAsia="MS Mincho"/>
        </w:rPr>
        <w:t>n</w:t>
      </w:r>
      <w:r>
        <w:rPr>
          <w:rFonts w:eastAsia="MS Mincho"/>
          <w:vertAlign w:val="superscript"/>
        </w:rPr>
        <w:t>o</w:t>
      </w:r>
      <w:r>
        <w:t> </w:t>
      </w:r>
      <w:r w:rsidR="00581B1E">
        <w:t>ONU</w:t>
      </w:r>
      <w:r w:rsidR="00581B1E" w:rsidRPr="00F04181">
        <w:t xml:space="preserve"> 1202 + </w:t>
      </w:r>
      <w:r w:rsidR="00581B1E">
        <w:t>biocomposants de l</w:t>
      </w:r>
      <w:r w:rsidR="000C01B9">
        <w:t>’</w:t>
      </w:r>
      <w:r w:rsidR="00581B1E">
        <w:t>annexe III</w:t>
      </w:r>
      <w:r w:rsidR="00581B1E" w:rsidRPr="00F04181">
        <w:t xml:space="preserve"> RED (table</w:t>
      </w:r>
      <w:r w:rsidR="00581B1E">
        <w:t>au</w:t>
      </w:r>
      <w:r w:rsidR="00581B1E" w:rsidRPr="00F04181">
        <w:t xml:space="preserve"> 4)</w:t>
      </w:r>
    </w:p>
    <w:p w:rsidR="00581B1E" w:rsidRPr="00F04181" w:rsidRDefault="00581B1E" w:rsidP="00787203">
      <w:pPr>
        <w:pStyle w:val="SingleTxtG"/>
        <w:kinsoku/>
        <w:overflowPunct/>
        <w:autoSpaceDE/>
        <w:autoSpaceDN/>
        <w:adjustRightInd/>
        <w:snapToGrid/>
      </w:pPr>
      <w:r w:rsidRPr="00F04181">
        <w:t>5.</w:t>
      </w:r>
      <w:r w:rsidRPr="00F04181">
        <w:tab/>
        <w:t xml:space="preserve">Substances </w:t>
      </w:r>
      <w:r>
        <w:t>du groupe III de compatibilité et substances du g</w:t>
      </w:r>
      <w:r w:rsidRPr="00F04181">
        <w:t>roup</w:t>
      </w:r>
      <w:r>
        <w:t>e</w:t>
      </w:r>
      <w:r w:rsidRPr="00F04181">
        <w:t xml:space="preserve"> II</w:t>
      </w:r>
      <w:r>
        <w:t>I</w:t>
      </w:r>
      <w:r w:rsidRPr="00F04181">
        <w:t xml:space="preserve"> </w:t>
      </w:r>
      <w:r>
        <w:t>de compatibilité</w:t>
      </w:r>
      <w:r w:rsidR="001E3E8D">
        <w:t> </w:t>
      </w:r>
      <w:r w:rsidRPr="00F04181">
        <w:t>;</w:t>
      </w:r>
    </w:p>
    <w:p w:rsidR="00581B1E" w:rsidRPr="001E3E8D" w:rsidRDefault="001E3E8D" w:rsidP="006144D6">
      <w:pPr>
        <w:pStyle w:val="SingleTxtG"/>
        <w:kinsoku/>
        <w:overflowPunct/>
        <w:autoSpaceDE/>
        <w:autoSpaceDN/>
        <w:adjustRightInd/>
        <w:snapToGrid/>
        <w:ind w:firstLine="567"/>
        <w:rPr>
          <w:lang w:val="es-ES"/>
        </w:rPr>
      </w:pPr>
      <w:r w:rsidRPr="001E3E8D">
        <w:rPr>
          <w:lang w:val="es-ES"/>
        </w:rPr>
        <w:t>Par exemple</w:t>
      </w:r>
      <w:r w:rsidR="00581B1E" w:rsidRPr="001E3E8D">
        <w:rPr>
          <w:lang w:val="es-ES"/>
        </w:rPr>
        <w:t xml:space="preserve"> </w:t>
      </w:r>
      <w:r w:rsidRPr="001E3E8D">
        <w:rPr>
          <w:rFonts w:eastAsia="MS Mincho"/>
          <w:lang w:val="es-ES"/>
        </w:rPr>
        <w:t>n</w:t>
      </w:r>
      <w:r w:rsidRPr="001E3E8D">
        <w:rPr>
          <w:rFonts w:eastAsia="MS Mincho"/>
          <w:vertAlign w:val="superscript"/>
          <w:lang w:val="es-ES"/>
        </w:rPr>
        <w:t>o</w:t>
      </w:r>
      <w:r w:rsidRPr="001E3E8D">
        <w:rPr>
          <w:lang w:val="es-ES"/>
        </w:rPr>
        <w:t> </w:t>
      </w:r>
      <w:r w:rsidR="00581B1E" w:rsidRPr="001E3E8D">
        <w:rPr>
          <w:lang w:val="es-ES"/>
        </w:rPr>
        <w:t xml:space="preserve">ONU 3082 + </w:t>
      </w:r>
      <w:r w:rsidRPr="001E3E8D">
        <w:rPr>
          <w:rFonts w:eastAsia="MS Mincho"/>
          <w:lang w:val="es-ES"/>
        </w:rPr>
        <w:t>n</w:t>
      </w:r>
      <w:r w:rsidRPr="001E3E8D">
        <w:rPr>
          <w:rFonts w:eastAsia="MS Mincho"/>
          <w:vertAlign w:val="superscript"/>
          <w:lang w:val="es-ES"/>
        </w:rPr>
        <w:t>o</w:t>
      </w:r>
      <w:r w:rsidRPr="001E3E8D">
        <w:rPr>
          <w:lang w:val="es-ES"/>
        </w:rPr>
        <w:t> </w:t>
      </w:r>
      <w:r w:rsidR="00581B1E" w:rsidRPr="001E3E8D">
        <w:rPr>
          <w:lang w:val="es-ES"/>
        </w:rPr>
        <w:t>ONU 1202</w:t>
      </w:r>
    </w:p>
    <w:p w:rsidR="00581B1E" w:rsidRPr="00F04181" w:rsidRDefault="00581B1E" w:rsidP="008329E5">
      <w:pPr>
        <w:pStyle w:val="SingleTxtG"/>
      </w:pPr>
      <w:r w:rsidRPr="00F04181">
        <w:t>6.</w:t>
      </w:r>
      <w:r w:rsidRPr="00F04181">
        <w:tab/>
        <w:t xml:space="preserve">Substances </w:t>
      </w:r>
      <w:r>
        <w:t xml:space="preserve">du groupe </w:t>
      </w:r>
      <w:r w:rsidRPr="00F04181">
        <w:t xml:space="preserve">RED </w:t>
      </w:r>
      <w:r>
        <w:t>et s</w:t>
      </w:r>
      <w:r w:rsidRPr="00F04181">
        <w:t xml:space="preserve">ubstances </w:t>
      </w:r>
      <w:r>
        <w:t>du groupe RED</w:t>
      </w:r>
      <w:r w:rsidR="001E3E8D">
        <w:t> ;</w:t>
      </w:r>
    </w:p>
    <w:p w:rsidR="00BB27D9" w:rsidRDefault="001E3E8D" w:rsidP="006144D6">
      <w:pPr>
        <w:pStyle w:val="SingleTxtG"/>
        <w:kinsoku/>
        <w:overflowPunct/>
        <w:autoSpaceDE/>
        <w:autoSpaceDN/>
        <w:adjustRightInd/>
        <w:snapToGrid/>
        <w:ind w:firstLine="567"/>
      </w:pPr>
      <w:r>
        <w:t>Par exemple</w:t>
      </w:r>
      <w:r w:rsidR="00581B1E">
        <w:t xml:space="preserve"> huile végétale hydrotraitée </w:t>
      </w:r>
      <w:r w:rsidR="00581B1E" w:rsidRPr="00F04181">
        <w:t xml:space="preserve">+ </w:t>
      </w:r>
      <w:r w:rsidR="00581B1E">
        <w:t>gazole</w:t>
      </w:r>
      <w:r w:rsidR="001D14D9">
        <w:t>.</w:t>
      </w:r>
    </w:p>
    <w:p w:rsidR="007A5266" w:rsidRDefault="007A5266" w:rsidP="006144D6">
      <w:pPr>
        <w:pStyle w:val="SingleTxtG"/>
        <w:kinsoku/>
        <w:overflowPunct/>
        <w:autoSpaceDE/>
        <w:autoSpaceDN/>
        <w:adjustRightInd/>
        <w:snapToGrid/>
        <w:ind w:firstLine="567"/>
      </w:pPr>
    </w:p>
    <w:p w:rsidR="007A5266" w:rsidRDefault="007A5266" w:rsidP="006144D6">
      <w:pPr>
        <w:pStyle w:val="SingleTxtG"/>
        <w:kinsoku/>
        <w:overflowPunct/>
        <w:autoSpaceDE/>
        <w:autoSpaceDN/>
        <w:adjustRightInd/>
        <w:snapToGrid/>
        <w:ind w:firstLine="567"/>
        <w:sectPr w:rsidR="007A5266" w:rsidSect="00210C96">
          <w:headerReference w:type="even" r:id="rId9"/>
          <w:headerReference w:type="default" r:id="rId10"/>
          <w:footerReference w:type="even" r:id="rId11"/>
          <w:footerReference w:type="default" r:id="rId12"/>
          <w:footerReference w:type="first" r:id="rId13"/>
          <w:endnotePr>
            <w:numFmt w:val="decimal"/>
          </w:endnotePr>
          <w:pgSz w:w="11906" w:h="16838" w:code="9"/>
          <w:pgMar w:top="1417" w:right="1134" w:bottom="1134" w:left="1134" w:header="850" w:footer="567" w:gutter="0"/>
          <w:cols w:space="708"/>
          <w:titlePg/>
          <w:docGrid w:linePitch="360"/>
        </w:sectPr>
      </w:pPr>
    </w:p>
    <w:p w:rsidR="001D14D9" w:rsidRDefault="00BB27D9" w:rsidP="00FE1875">
      <w:pPr>
        <w:pStyle w:val="HChG"/>
      </w:pPr>
      <w:r>
        <w:lastRenderedPageBreak/>
        <w:t>Annexe II</w:t>
      </w:r>
    </w:p>
    <w:p w:rsidR="00BB27D9" w:rsidRDefault="00FE1875" w:rsidP="00FE1875">
      <w:pPr>
        <w:pStyle w:val="HChG"/>
      </w:pPr>
      <w:r>
        <w:tab/>
      </w:r>
      <w:r>
        <w:tab/>
      </w:r>
      <w:r w:rsidR="00BB27D9">
        <w:t>Diagramme d</w:t>
      </w:r>
      <w:r w:rsidR="000C01B9">
        <w:t>’</w:t>
      </w:r>
      <w:r w:rsidR="00BB27D9">
        <w:t>une opération de mélange de cargaisons</w:t>
      </w:r>
    </w:p>
    <w:p w:rsidR="00BB27D9" w:rsidRDefault="00BB27D9" w:rsidP="00BB27D9">
      <w:r w:rsidRPr="00F04181">
        <w:rPr>
          <w:rFonts w:cs="Calibri"/>
          <w:noProof/>
          <w:lang w:eastAsia="fr-CH"/>
        </w:rPr>
        <w:drawing>
          <wp:inline distT="0" distB="0" distL="0" distR="0" wp14:anchorId="4A6E3641" wp14:editId="01244305">
            <wp:extent cx="8869045" cy="3435350"/>
            <wp:effectExtent l="0" t="0" r="0" b="0"/>
            <wp:docPr id="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9045" cy="3435350"/>
                    </a:xfrm>
                    <a:prstGeom prst="rect">
                      <a:avLst/>
                    </a:prstGeom>
                    <a:noFill/>
                    <a:ln>
                      <a:noFill/>
                    </a:ln>
                  </pic:spPr>
                </pic:pic>
              </a:graphicData>
            </a:graphic>
          </wp:inline>
        </w:drawing>
      </w:r>
    </w:p>
    <w:p w:rsidR="00340752" w:rsidRDefault="00340752" w:rsidP="00BB27D9">
      <w:pPr>
        <w:sectPr w:rsidR="00340752" w:rsidSect="00BB27D9">
          <w:headerReference w:type="even" r:id="rId15"/>
          <w:headerReference w:type="default" r:id="rId16"/>
          <w:footerReference w:type="even" r:id="rId17"/>
          <w:footerReference w:type="default" r:id="rId18"/>
          <w:endnotePr>
            <w:numFmt w:val="decimal"/>
          </w:endnotePr>
          <w:pgSz w:w="16838" w:h="11906" w:orient="landscape" w:code="9"/>
          <w:pgMar w:top="1134" w:right="1417" w:bottom="1134" w:left="1134" w:header="567" w:footer="567" w:gutter="0"/>
          <w:cols w:space="708"/>
          <w:docGrid w:linePitch="360"/>
        </w:sectPr>
      </w:pPr>
    </w:p>
    <w:p w:rsidR="00B95304" w:rsidRPr="00F04181" w:rsidRDefault="00B95304" w:rsidP="008F2F17">
      <w:pPr>
        <w:pStyle w:val="HChG"/>
      </w:pPr>
      <w:r>
        <w:lastRenderedPageBreak/>
        <w:t>Annexe III</w:t>
      </w:r>
    </w:p>
    <w:p w:rsidR="00B95304" w:rsidRPr="00F04181" w:rsidRDefault="008F2F17" w:rsidP="008F2F17">
      <w:pPr>
        <w:pStyle w:val="HChG"/>
      </w:pPr>
      <w:bookmarkStart w:id="2" w:name="_Hlk511729445"/>
      <w:r>
        <w:tab/>
      </w:r>
      <w:r>
        <w:tab/>
      </w:r>
      <w:r w:rsidR="00B95304">
        <w:t>Rôles et responsabilités d</w:t>
      </w:r>
      <w:r>
        <w:t>es participants à une opération</w:t>
      </w:r>
      <w:r>
        <w:br/>
      </w:r>
      <w:r w:rsidR="00B95304">
        <w:t xml:space="preserve">de mélange de cargaisons </w:t>
      </w:r>
    </w:p>
    <w:bookmarkEnd w:id="2"/>
    <w:p w:rsidR="00B95304" w:rsidRPr="00F04181" w:rsidRDefault="00B95304" w:rsidP="008F2F17">
      <w:pPr>
        <w:pStyle w:val="SingleTxtG"/>
      </w:pPr>
      <w:r w:rsidRPr="00F04181">
        <w:t>1.</w:t>
      </w:r>
      <w:r w:rsidRPr="00F04181">
        <w:tab/>
      </w:r>
      <w:r w:rsidR="00B17DE3">
        <w:t>Les intervenants clef</w:t>
      </w:r>
      <w:r>
        <w:t>s dans une opération de mélange de cargaisons à bord d</w:t>
      </w:r>
      <w:r w:rsidR="000C01B9">
        <w:t>’</w:t>
      </w:r>
      <w:r>
        <w:t>une barge sont l</w:t>
      </w:r>
      <w:r w:rsidR="000C01B9">
        <w:t>’</w:t>
      </w:r>
      <w:r>
        <w:t xml:space="preserve">expéditeur, le remplisseur et le transporteur. Leurs responsabilités respectives sont décrites au point </w:t>
      </w:r>
      <w:r w:rsidRPr="00F04181">
        <w:t>1.4.1.</w:t>
      </w:r>
    </w:p>
    <w:p w:rsidR="00B95304" w:rsidRDefault="00B95304" w:rsidP="008F2F17">
      <w:pPr>
        <w:pStyle w:val="SingleTxtG"/>
      </w:pPr>
      <w:r w:rsidRPr="00F04181">
        <w:t>2.</w:t>
      </w:r>
      <w:r w:rsidRPr="00F04181">
        <w:tab/>
      </w:r>
      <w:r>
        <w:t>Ces responsabilités ne changent pas pour l</w:t>
      </w:r>
      <w:r w:rsidR="000C01B9">
        <w:t>’</w:t>
      </w:r>
      <w:r>
        <w:t>essentiel lorsqu</w:t>
      </w:r>
      <w:r w:rsidR="000C01B9">
        <w:t>’</w:t>
      </w:r>
      <w:r>
        <w:t>il s</w:t>
      </w:r>
      <w:r w:rsidR="000C01B9">
        <w:t>’</w:t>
      </w:r>
      <w:r>
        <w:t>agit d</w:t>
      </w:r>
      <w:r w:rsidR="000C01B9">
        <w:t>’</w:t>
      </w:r>
      <w:r>
        <w:t xml:space="preserve">un mélange de cargaisons. </w:t>
      </w:r>
    </w:p>
    <w:p w:rsidR="00B95304" w:rsidRPr="00F04181" w:rsidRDefault="00B95304" w:rsidP="008F2F17">
      <w:pPr>
        <w:pStyle w:val="SingleTxtG"/>
      </w:pPr>
      <w:r w:rsidRPr="00F04181">
        <w:t>3.</w:t>
      </w:r>
      <w:r w:rsidRPr="00F04181">
        <w:tab/>
      </w:r>
      <w:r>
        <w:t>Néanmoins, l</w:t>
      </w:r>
      <w:r w:rsidR="000C01B9">
        <w:t>’</w:t>
      </w:r>
      <w:r>
        <w:t>expéditeur, le transporteur et le remplisseur sont tenus au respect de leurs obligations respectives selon l</w:t>
      </w:r>
      <w:r w:rsidR="000C01B9">
        <w:t>’</w:t>
      </w:r>
      <w:r>
        <w:t xml:space="preserve">ADN. </w:t>
      </w:r>
    </w:p>
    <w:p w:rsidR="00B95304" w:rsidRPr="00F04181" w:rsidRDefault="00B95304" w:rsidP="008F2F17">
      <w:pPr>
        <w:pStyle w:val="SingleTxtG"/>
      </w:pPr>
      <w:r w:rsidRPr="00F04181">
        <w:t>4.</w:t>
      </w:r>
      <w:r w:rsidRPr="00F04181">
        <w:tab/>
        <w:t>L</w:t>
      </w:r>
      <w:r w:rsidR="000C01B9">
        <w:t>’</w:t>
      </w:r>
      <w:r w:rsidRPr="00F04181">
        <w:t>expéditeur</w:t>
      </w:r>
      <w:r w:rsidR="008F2F17">
        <w:t> :</w:t>
      </w:r>
    </w:p>
    <w:tbl>
      <w:tblPr>
        <w:tblW w:w="7370" w:type="dxa"/>
        <w:tblInd w:w="1134" w:type="dxa"/>
        <w:tblLayout w:type="fixed"/>
        <w:tblCellMar>
          <w:left w:w="0" w:type="dxa"/>
          <w:right w:w="0" w:type="dxa"/>
        </w:tblCellMar>
        <w:tblLook w:val="04A0" w:firstRow="1" w:lastRow="0" w:firstColumn="1" w:lastColumn="0" w:noHBand="0" w:noVBand="1"/>
      </w:tblPr>
      <w:tblGrid>
        <w:gridCol w:w="2034"/>
        <w:gridCol w:w="4140"/>
        <w:gridCol w:w="1196"/>
      </w:tblGrid>
      <w:tr w:rsidR="00B95304" w:rsidRPr="008F2F17" w:rsidTr="008F2F17">
        <w:trPr>
          <w:tblHeader/>
        </w:trPr>
        <w:tc>
          <w:tcPr>
            <w:tcW w:w="2034" w:type="dxa"/>
            <w:tcBorders>
              <w:top w:val="single" w:sz="4" w:space="0" w:color="auto"/>
              <w:bottom w:val="single" w:sz="12" w:space="0" w:color="auto"/>
            </w:tcBorders>
            <w:shd w:val="clear" w:color="auto" w:fill="auto"/>
            <w:vAlign w:val="bottom"/>
          </w:tcPr>
          <w:p w:rsidR="00B95304" w:rsidRPr="005541E3" w:rsidRDefault="00B95304" w:rsidP="008F2F17">
            <w:pPr>
              <w:spacing w:before="80" w:after="80" w:line="200" w:lineRule="exact"/>
              <w:ind w:right="113"/>
              <w:rPr>
                <w:sz w:val="16"/>
              </w:rPr>
            </w:pPr>
            <w:r w:rsidRPr="008F2F17">
              <w:rPr>
                <w:i/>
                <w:sz w:val="16"/>
              </w:rPr>
              <w:t>Pour l</w:t>
            </w:r>
            <w:r w:rsidR="000C01B9">
              <w:rPr>
                <w:i/>
                <w:sz w:val="16"/>
              </w:rPr>
              <w:t>’</w:t>
            </w:r>
            <w:r w:rsidR="00DC3648">
              <w:rPr>
                <w:i/>
                <w:sz w:val="16"/>
              </w:rPr>
              <w:t>expéditeur,</w:t>
            </w:r>
            <w:r w:rsidR="00DC3648">
              <w:rPr>
                <w:i/>
                <w:sz w:val="16"/>
              </w:rPr>
              <w:br/>
            </w:r>
            <w:r w:rsidRPr="008F2F17">
              <w:rPr>
                <w:i/>
                <w:sz w:val="16"/>
              </w:rPr>
              <w:t>cela signifie</w:t>
            </w:r>
            <w:r w:rsidR="005541E3">
              <w:rPr>
                <w:i/>
                <w:sz w:val="16"/>
              </w:rPr>
              <w:t> </w:t>
            </w:r>
            <w:r w:rsidR="005541E3">
              <w:rPr>
                <w:sz w:val="16"/>
              </w:rPr>
              <w:t>:</w:t>
            </w:r>
          </w:p>
        </w:tc>
        <w:tc>
          <w:tcPr>
            <w:tcW w:w="4140" w:type="dxa"/>
            <w:tcBorders>
              <w:top w:val="single" w:sz="4" w:space="0" w:color="auto"/>
              <w:bottom w:val="single" w:sz="12" w:space="0" w:color="auto"/>
            </w:tcBorders>
            <w:shd w:val="clear" w:color="auto" w:fill="auto"/>
            <w:vAlign w:val="bottom"/>
          </w:tcPr>
          <w:p w:rsidR="00B95304" w:rsidRPr="005541E3" w:rsidRDefault="00B95304" w:rsidP="008F2F17">
            <w:pPr>
              <w:spacing w:before="80" w:after="80" w:line="200" w:lineRule="exact"/>
              <w:ind w:right="113"/>
              <w:rPr>
                <w:sz w:val="16"/>
              </w:rPr>
            </w:pPr>
            <w:r w:rsidRPr="008F2F17">
              <w:rPr>
                <w:i/>
                <w:sz w:val="16"/>
              </w:rPr>
              <w:t>Mesures à prendre</w:t>
            </w:r>
            <w:r w:rsidR="005541E3">
              <w:rPr>
                <w:i/>
                <w:sz w:val="16"/>
              </w:rPr>
              <w:t> </w:t>
            </w:r>
            <w:r w:rsidR="005541E3">
              <w:rPr>
                <w:sz w:val="16"/>
              </w:rPr>
              <w:t>:</w:t>
            </w:r>
          </w:p>
        </w:tc>
        <w:tc>
          <w:tcPr>
            <w:tcW w:w="1196" w:type="dxa"/>
            <w:tcBorders>
              <w:top w:val="single" w:sz="4" w:space="0" w:color="auto"/>
              <w:bottom w:val="single" w:sz="12" w:space="0" w:color="auto"/>
            </w:tcBorders>
            <w:shd w:val="clear" w:color="auto" w:fill="auto"/>
            <w:vAlign w:val="bottom"/>
          </w:tcPr>
          <w:p w:rsidR="00B95304" w:rsidRPr="008F2F17" w:rsidRDefault="00B95304" w:rsidP="008F2F17">
            <w:pPr>
              <w:spacing w:before="80" w:after="80" w:line="200" w:lineRule="exact"/>
              <w:ind w:right="113"/>
              <w:rPr>
                <w:i/>
                <w:sz w:val="16"/>
              </w:rPr>
            </w:pPr>
            <w:r w:rsidRPr="008F2F17">
              <w:rPr>
                <w:i/>
                <w:sz w:val="16"/>
              </w:rPr>
              <w:t>ADN</w:t>
            </w:r>
          </w:p>
        </w:tc>
      </w:tr>
      <w:tr w:rsidR="00B95304" w:rsidRPr="008F2F17" w:rsidTr="008F2F17">
        <w:tc>
          <w:tcPr>
            <w:tcW w:w="2034" w:type="dxa"/>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Vérifier que les marchandises dangereuses sont classées et autorisées pour le transport selon l</w:t>
            </w:r>
            <w:r w:rsidR="000C01B9" w:rsidRPr="00814B7D">
              <w:rPr>
                <w:sz w:val="18"/>
                <w:szCs w:val="18"/>
              </w:rPr>
              <w:t>’</w:t>
            </w:r>
            <w:r w:rsidRPr="00814B7D">
              <w:rPr>
                <w:sz w:val="18"/>
                <w:szCs w:val="18"/>
              </w:rPr>
              <w:t>ADN</w:t>
            </w:r>
            <w:r w:rsidR="00814B7D">
              <w:rPr>
                <w:sz w:val="18"/>
                <w:szCs w:val="18"/>
              </w:rPr>
              <w:t>.</w:t>
            </w:r>
          </w:p>
        </w:tc>
        <w:tc>
          <w:tcPr>
            <w:tcW w:w="4140" w:type="dxa"/>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 xml:space="preserve">Identifier les substances compatibles et leur emplacement, calculer et classer la substance résultant du mélange </w:t>
            </w:r>
          </w:p>
        </w:tc>
        <w:tc>
          <w:tcPr>
            <w:tcW w:w="1196" w:type="dxa"/>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2.1.2</w:t>
            </w:r>
            <w:r w:rsidR="000C01B9" w:rsidRPr="00814B7D">
              <w:rPr>
                <w:sz w:val="18"/>
                <w:szCs w:val="18"/>
              </w:rPr>
              <w:t> </w:t>
            </w:r>
            <w:r w:rsidRPr="00814B7D">
              <w:rPr>
                <w:sz w:val="18"/>
                <w:szCs w:val="18"/>
              </w:rPr>
              <w:t>; 2.1.3.5.1</w:t>
            </w:r>
            <w:r w:rsidR="000C01B9" w:rsidRPr="00814B7D">
              <w:rPr>
                <w:sz w:val="18"/>
                <w:szCs w:val="18"/>
              </w:rPr>
              <w:t> </w:t>
            </w:r>
            <w:r w:rsidRPr="00814B7D">
              <w:rPr>
                <w:sz w:val="18"/>
                <w:szCs w:val="18"/>
              </w:rPr>
              <w:t>; 2.1.3.5.2</w:t>
            </w:r>
            <w:r w:rsidR="000C01B9" w:rsidRPr="00814B7D">
              <w:rPr>
                <w:sz w:val="18"/>
                <w:szCs w:val="18"/>
              </w:rPr>
              <w:t> </w:t>
            </w:r>
            <w:r w:rsidRPr="00814B7D">
              <w:rPr>
                <w:sz w:val="18"/>
                <w:szCs w:val="18"/>
              </w:rPr>
              <w:t>; 2.1.3.5.3</w:t>
            </w:r>
            <w:r w:rsidR="000C01B9" w:rsidRPr="00814B7D">
              <w:rPr>
                <w:sz w:val="18"/>
                <w:szCs w:val="18"/>
              </w:rPr>
              <w:t> </w:t>
            </w:r>
            <w:r w:rsidRPr="00814B7D">
              <w:rPr>
                <w:sz w:val="18"/>
                <w:szCs w:val="18"/>
              </w:rPr>
              <w:t xml:space="preserve">; 1.4.2.1.1 a) 7.2.4.13.1, </w:t>
            </w:r>
            <w:r w:rsidR="000C01B9" w:rsidRPr="00814B7D">
              <w:rPr>
                <w:sz w:val="18"/>
                <w:szCs w:val="18"/>
              </w:rPr>
              <w:t>Troisième paragraphe</w:t>
            </w:r>
          </w:p>
        </w:tc>
      </w:tr>
      <w:tr w:rsidR="00B95304" w:rsidRPr="008F2F17" w:rsidTr="008F2F17">
        <w:tc>
          <w:tcPr>
            <w:tcW w:w="2034" w:type="dxa"/>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Fournir au transporteur les informations et données utiles…</w:t>
            </w:r>
          </w:p>
        </w:tc>
        <w:tc>
          <w:tcPr>
            <w:tcW w:w="4140" w:type="dxa"/>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Soumettre au transporteur une demande de barge se prêtant au chargement de toutes les substances concernées ainsi qu</w:t>
            </w:r>
            <w:r w:rsidR="000C01B9" w:rsidRPr="00814B7D">
              <w:rPr>
                <w:sz w:val="18"/>
                <w:szCs w:val="18"/>
              </w:rPr>
              <w:t>’</w:t>
            </w:r>
            <w:r w:rsidRPr="00814B7D">
              <w:rPr>
                <w:sz w:val="18"/>
                <w:szCs w:val="18"/>
              </w:rPr>
              <w:t>à la substance finale résultant du mélange</w:t>
            </w:r>
            <w:r w:rsidR="003D3232">
              <w:rPr>
                <w:sz w:val="18"/>
                <w:szCs w:val="18"/>
              </w:rPr>
              <w:t> ;</w:t>
            </w:r>
            <w:r w:rsidRPr="00814B7D">
              <w:rPr>
                <w:sz w:val="18"/>
                <w:szCs w:val="18"/>
              </w:rPr>
              <w:t xml:space="preserve"> fournir le document de transport (ou l</w:t>
            </w:r>
            <w:r w:rsidR="000C01B9" w:rsidRPr="00814B7D">
              <w:rPr>
                <w:sz w:val="18"/>
                <w:szCs w:val="18"/>
              </w:rPr>
              <w:t>’</w:t>
            </w:r>
            <w:r w:rsidRPr="00814B7D">
              <w:rPr>
                <w:sz w:val="18"/>
                <w:szCs w:val="18"/>
              </w:rPr>
              <w:t>information requise sous une forme permettant la traçabilité), conformé</w:t>
            </w:r>
            <w:r w:rsidR="00762413">
              <w:rPr>
                <w:sz w:val="18"/>
                <w:szCs w:val="18"/>
              </w:rPr>
              <w:t>ment aux prescriptions du point </w:t>
            </w:r>
            <w:r w:rsidRPr="00814B7D">
              <w:rPr>
                <w:sz w:val="18"/>
                <w:szCs w:val="18"/>
              </w:rPr>
              <w:t xml:space="preserve">5.4 et du tableau C. </w:t>
            </w:r>
          </w:p>
        </w:tc>
        <w:tc>
          <w:tcPr>
            <w:tcW w:w="1196" w:type="dxa"/>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1.4.2.1.1 b) 5.4.1</w:t>
            </w:r>
          </w:p>
        </w:tc>
      </w:tr>
      <w:tr w:rsidR="00B95304" w:rsidRPr="008F2F17" w:rsidTr="008F2F17">
        <w:tc>
          <w:tcPr>
            <w:tcW w:w="2034" w:type="dxa"/>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N</w:t>
            </w:r>
            <w:r w:rsidR="000C01B9" w:rsidRPr="00814B7D">
              <w:rPr>
                <w:sz w:val="18"/>
                <w:szCs w:val="18"/>
              </w:rPr>
              <w:t>’</w:t>
            </w:r>
            <w:r w:rsidRPr="00814B7D">
              <w:rPr>
                <w:sz w:val="18"/>
                <w:szCs w:val="18"/>
              </w:rPr>
              <w:t>utiliser que des bateaux-citernes homologués pour le transpo</w:t>
            </w:r>
            <w:r w:rsidR="00814B7D">
              <w:rPr>
                <w:sz w:val="18"/>
                <w:szCs w:val="18"/>
              </w:rPr>
              <w:t>rt des marchandises en question.</w:t>
            </w:r>
          </w:p>
        </w:tc>
        <w:tc>
          <w:tcPr>
            <w:tcW w:w="4140" w:type="dxa"/>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Pour chaque substance et pour la substance résultant du mélange, vérifier au regard d</w:t>
            </w:r>
            <w:r w:rsidR="000C01B9" w:rsidRPr="00814B7D">
              <w:rPr>
                <w:sz w:val="18"/>
                <w:szCs w:val="18"/>
              </w:rPr>
              <w:t>’</w:t>
            </w:r>
            <w:r w:rsidRPr="00814B7D">
              <w:rPr>
                <w:sz w:val="18"/>
                <w:szCs w:val="18"/>
              </w:rPr>
              <w:t>un système de contrôle préalable (soit l</w:t>
            </w:r>
            <w:r w:rsidR="000C01B9" w:rsidRPr="00814B7D">
              <w:rPr>
                <w:sz w:val="18"/>
                <w:szCs w:val="18"/>
              </w:rPr>
              <w:t>’</w:t>
            </w:r>
            <w:r w:rsidRPr="00814B7D">
              <w:rPr>
                <w:sz w:val="18"/>
                <w:szCs w:val="18"/>
              </w:rPr>
              <w:t>EBIS) ou d</w:t>
            </w:r>
            <w:r w:rsidR="000C01B9" w:rsidRPr="00814B7D">
              <w:rPr>
                <w:sz w:val="18"/>
                <w:szCs w:val="18"/>
              </w:rPr>
              <w:t>’</w:t>
            </w:r>
            <w:r w:rsidRPr="00814B7D">
              <w:rPr>
                <w:sz w:val="18"/>
                <w:szCs w:val="18"/>
              </w:rPr>
              <w:t>un règlement international que la marge répond bien aux exigences de l</w:t>
            </w:r>
            <w:r w:rsidR="000C01B9" w:rsidRPr="00814B7D">
              <w:rPr>
                <w:sz w:val="18"/>
                <w:szCs w:val="18"/>
              </w:rPr>
              <w:t>’</w:t>
            </w:r>
            <w:r w:rsidRPr="00814B7D">
              <w:rPr>
                <w:sz w:val="18"/>
                <w:szCs w:val="18"/>
              </w:rPr>
              <w:t xml:space="preserve">opération. </w:t>
            </w:r>
          </w:p>
        </w:tc>
        <w:tc>
          <w:tcPr>
            <w:tcW w:w="1196" w:type="dxa"/>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1.4.2.1.1(c)</w:t>
            </w:r>
          </w:p>
        </w:tc>
      </w:tr>
      <w:tr w:rsidR="00B95304" w:rsidRPr="008F2F17" w:rsidTr="008F2F17">
        <w:tc>
          <w:tcPr>
            <w:tcW w:w="2034" w:type="dxa"/>
            <w:tcBorders>
              <w:bottom w:val="single" w:sz="12" w:space="0" w:color="auto"/>
            </w:tcBorders>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Fournir au transporteur les</w:t>
            </w:r>
            <w:r w:rsidR="00814B7D">
              <w:rPr>
                <w:sz w:val="18"/>
                <w:szCs w:val="18"/>
              </w:rPr>
              <w:t xml:space="preserve"> informations et données utiles</w:t>
            </w:r>
            <w:r w:rsidRPr="00814B7D">
              <w:rPr>
                <w:sz w:val="18"/>
                <w:szCs w:val="18"/>
              </w:rPr>
              <w:t>…</w:t>
            </w:r>
          </w:p>
        </w:tc>
        <w:tc>
          <w:tcPr>
            <w:tcW w:w="4140" w:type="dxa"/>
            <w:tcBorders>
              <w:bottom w:val="single" w:sz="12" w:space="0" w:color="auto"/>
            </w:tcBorders>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Communiquer au transporteur le plan de chargement, y compris la désignation officielle de transport des substances concernées selon l</w:t>
            </w:r>
            <w:r w:rsidR="000C01B9" w:rsidRPr="00814B7D">
              <w:rPr>
                <w:sz w:val="18"/>
                <w:szCs w:val="18"/>
              </w:rPr>
              <w:t>’</w:t>
            </w:r>
            <w:r w:rsidRPr="00814B7D">
              <w:rPr>
                <w:sz w:val="18"/>
                <w:szCs w:val="18"/>
              </w:rPr>
              <w:t>ADN et les quantités</w:t>
            </w:r>
            <w:r w:rsidR="00814B7D">
              <w:rPr>
                <w:sz w:val="18"/>
                <w:szCs w:val="18"/>
              </w:rPr>
              <w:t>.</w:t>
            </w:r>
          </w:p>
        </w:tc>
        <w:tc>
          <w:tcPr>
            <w:tcW w:w="1196" w:type="dxa"/>
            <w:tcBorders>
              <w:bottom w:val="single" w:sz="12" w:space="0" w:color="auto"/>
            </w:tcBorders>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1.4.2.1.1 b)</w:t>
            </w:r>
          </w:p>
        </w:tc>
      </w:tr>
    </w:tbl>
    <w:p w:rsidR="00B95304" w:rsidRPr="00F04181" w:rsidRDefault="00B95304" w:rsidP="008F2F17">
      <w:pPr>
        <w:pStyle w:val="SingleTxtG"/>
        <w:spacing w:before="240"/>
      </w:pPr>
      <w:r w:rsidRPr="00F04181">
        <w:t>5.</w:t>
      </w:r>
      <w:r w:rsidRPr="00F04181">
        <w:tab/>
        <w:t>Le transporteur</w:t>
      </w:r>
      <w:r w:rsidR="008F2F17">
        <w:t> :</w:t>
      </w:r>
    </w:p>
    <w:tbl>
      <w:tblPr>
        <w:tblW w:w="7370" w:type="dxa"/>
        <w:tblInd w:w="1134" w:type="dxa"/>
        <w:tblLayout w:type="fixed"/>
        <w:tblCellMar>
          <w:left w:w="0" w:type="dxa"/>
          <w:right w:w="0" w:type="dxa"/>
        </w:tblCellMar>
        <w:tblLook w:val="04A0" w:firstRow="1" w:lastRow="0" w:firstColumn="1" w:lastColumn="0" w:noHBand="0" w:noVBand="1"/>
      </w:tblPr>
      <w:tblGrid>
        <w:gridCol w:w="2034"/>
        <w:gridCol w:w="4140"/>
        <w:gridCol w:w="1196"/>
      </w:tblGrid>
      <w:tr w:rsidR="00B95304" w:rsidRPr="008F2F17" w:rsidTr="008F2F17">
        <w:trPr>
          <w:tblHeader/>
        </w:trPr>
        <w:tc>
          <w:tcPr>
            <w:tcW w:w="2034" w:type="dxa"/>
            <w:tcBorders>
              <w:top w:val="single" w:sz="4" w:space="0" w:color="auto"/>
              <w:bottom w:val="single" w:sz="12" w:space="0" w:color="auto"/>
            </w:tcBorders>
            <w:shd w:val="clear" w:color="auto" w:fill="auto"/>
            <w:vAlign w:val="bottom"/>
          </w:tcPr>
          <w:p w:rsidR="00B95304" w:rsidRPr="00814B7D" w:rsidRDefault="00B95304" w:rsidP="00DC3648">
            <w:pPr>
              <w:spacing w:before="80" w:after="80" w:line="200" w:lineRule="exact"/>
              <w:ind w:right="113"/>
              <w:rPr>
                <w:sz w:val="16"/>
              </w:rPr>
            </w:pPr>
            <w:r w:rsidRPr="008F2F17">
              <w:rPr>
                <w:i/>
                <w:sz w:val="16"/>
              </w:rPr>
              <w:t>Pour le transporteur,</w:t>
            </w:r>
            <w:r w:rsidR="00DC3648">
              <w:rPr>
                <w:i/>
                <w:sz w:val="16"/>
              </w:rPr>
              <w:br/>
            </w:r>
            <w:r w:rsidRPr="008F2F17">
              <w:rPr>
                <w:i/>
                <w:sz w:val="16"/>
              </w:rPr>
              <w:t>cela signifie</w:t>
            </w:r>
            <w:r w:rsidR="00814B7D">
              <w:rPr>
                <w:i/>
                <w:sz w:val="16"/>
              </w:rPr>
              <w:t> </w:t>
            </w:r>
            <w:r w:rsidR="00814B7D">
              <w:rPr>
                <w:sz w:val="16"/>
              </w:rPr>
              <w:t>:</w:t>
            </w:r>
          </w:p>
        </w:tc>
        <w:tc>
          <w:tcPr>
            <w:tcW w:w="4140" w:type="dxa"/>
            <w:tcBorders>
              <w:top w:val="single" w:sz="4" w:space="0" w:color="auto"/>
              <w:bottom w:val="single" w:sz="12" w:space="0" w:color="auto"/>
            </w:tcBorders>
            <w:shd w:val="clear" w:color="auto" w:fill="auto"/>
            <w:vAlign w:val="bottom"/>
          </w:tcPr>
          <w:p w:rsidR="00B95304" w:rsidRPr="00814B7D" w:rsidRDefault="00B95304" w:rsidP="008F2F17">
            <w:pPr>
              <w:spacing w:before="80" w:after="80" w:line="200" w:lineRule="exact"/>
              <w:ind w:right="113"/>
              <w:rPr>
                <w:sz w:val="16"/>
              </w:rPr>
            </w:pPr>
            <w:r w:rsidRPr="008F2F17">
              <w:rPr>
                <w:i/>
                <w:sz w:val="16"/>
              </w:rPr>
              <w:t>Mesures à prendre</w:t>
            </w:r>
            <w:r w:rsidR="00814B7D">
              <w:rPr>
                <w:i/>
                <w:sz w:val="16"/>
              </w:rPr>
              <w:t> </w:t>
            </w:r>
            <w:r w:rsidR="00814B7D">
              <w:rPr>
                <w:sz w:val="16"/>
              </w:rPr>
              <w:t>:</w:t>
            </w:r>
          </w:p>
        </w:tc>
        <w:tc>
          <w:tcPr>
            <w:tcW w:w="1196" w:type="dxa"/>
            <w:tcBorders>
              <w:top w:val="single" w:sz="4" w:space="0" w:color="auto"/>
              <w:bottom w:val="single" w:sz="12" w:space="0" w:color="auto"/>
            </w:tcBorders>
            <w:shd w:val="clear" w:color="auto" w:fill="auto"/>
            <w:vAlign w:val="bottom"/>
          </w:tcPr>
          <w:p w:rsidR="00B95304" w:rsidRPr="008F2F17" w:rsidRDefault="00B95304" w:rsidP="008F2F17">
            <w:pPr>
              <w:spacing w:before="80" w:after="80" w:line="200" w:lineRule="exact"/>
              <w:ind w:right="113"/>
              <w:rPr>
                <w:i/>
                <w:sz w:val="16"/>
              </w:rPr>
            </w:pPr>
            <w:r w:rsidRPr="008F2F17">
              <w:rPr>
                <w:i/>
                <w:sz w:val="16"/>
              </w:rPr>
              <w:t>ADN</w:t>
            </w:r>
          </w:p>
        </w:tc>
      </w:tr>
      <w:tr w:rsidR="00B95304" w:rsidRPr="008F2F17" w:rsidTr="008F2F17">
        <w:tc>
          <w:tcPr>
            <w:tcW w:w="2034" w:type="dxa"/>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Vérifier que les marchandises dangereuses concernées sont autorisées pour le transport</w:t>
            </w:r>
            <w:r w:rsidR="00814B7D">
              <w:rPr>
                <w:sz w:val="18"/>
                <w:szCs w:val="18"/>
              </w:rPr>
              <w:t>.</w:t>
            </w:r>
          </w:p>
        </w:tc>
        <w:tc>
          <w:tcPr>
            <w:tcW w:w="4140" w:type="dxa"/>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À la demande de l</w:t>
            </w:r>
            <w:r w:rsidR="000C01B9" w:rsidRPr="00814B7D">
              <w:rPr>
                <w:sz w:val="18"/>
                <w:szCs w:val="18"/>
              </w:rPr>
              <w:t>’</w:t>
            </w:r>
            <w:r w:rsidRPr="00814B7D">
              <w:rPr>
                <w:sz w:val="18"/>
                <w:szCs w:val="18"/>
              </w:rPr>
              <w:t>expéditeur, mettre à disposition une barge répondant bien aux exigences requises en prenant soin de vérifier que la désignation officielle de transport des substances à charger figure dans la liste des substances autorisées à bord de la barge prévue à cet effet</w:t>
            </w:r>
            <w:r w:rsidR="00814B7D">
              <w:rPr>
                <w:sz w:val="18"/>
                <w:szCs w:val="18"/>
              </w:rPr>
              <w:t>.</w:t>
            </w:r>
          </w:p>
        </w:tc>
        <w:tc>
          <w:tcPr>
            <w:tcW w:w="1196" w:type="dxa"/>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1.4.2.2.1 a) 1.16.1.2.5</w:t>
            </w:r>
          </w:p>
        </w:tc>
      </w:tr>
      <w:tr w:rsidR="00B95304" w:rsidRPr="008F2F17" w:rsidTr="008F2F17">
        <w:tc>
          <w:tcPr>
            <w:tcW w:w="2034" w:type="dxa"/>
            <w:shd w:val="clear" w:color="auto" w:fill="auto"/>
          </w:tcPr>
          <w:p w:rsidR="00B95304" w:rsidRPr="00814B7D" w:rsidRDefault="00B95304" w:rsidP="00D36A73">
            <w:pPr>
              <w:keepNext/>
              <w:keepLines/>
              <w:spacing w:before="40" w:after="120" w:line="220" w:lineRule="atLeast"/>
              <w:ind w:right="113"/>
              <w:rPr>
                <w:sz w:val="18"/>
                <w:szCs w:val="18"/>
              </w:rPr>
            </w:pPr>
            <w:r w:rsidRPr="00814B7D">
              <w:rPr>
                <w:sz w:val="18"/>
                <w:szCs w:val="18"/>
              </w:rPr>
              <w:lastRenderedPageBreak/>
              <w:t>S</w:t>
            </w:r>
            <w:r w:rsidR="000C01B9" w:rsidRPr="00814B7D">
              <w:rPr>
                <w:sz w:val="18"/>
                <w:szCs w:val="18"/>
              </w:rPr>
              <w:t>’</w:t>
            </w:r>
            <w:r w:rsidRPr="00814B7D">
              <w:rPr>
                <w:sz w:val="18"/>
                <w:szCs w:val="18"/>
              </w:rPr>
              <w:t>assurer que toutes les informations prescrites par l</w:t>
            </w:r>
            <w:r w:rsidR="000C01B9" w:rsidRPr="00814B7D">
              <w:rPr>
                <w:sz w:val="18"/>
                <w:szCs w:val="18"/>
              </w:rPr>
              <w:t>’</w:t>
            </w:r>
            <w:r w:rsidRPr="00814B7D">
              <w:rPr>
                <w:sz w:val="18"/>
                <w:szCs w:val="18"/>
              </w:rPr>
              <w:t>ADN concernant les marchandises dangereuses à transporter ont été fournies par l</w:t>
            </w:r>
            <w:r w:rsidR="000C01B9" w:rsidRPr="00814B7D">
              <w:rPr>
                <w:sz w:val="18"/>
                <w:szCs w:val="18"/>
              </w:rPr>
              <w:t>’</w:t>
            </w:r>
            <w:r w:rsidRPr="00814B7D">
              <w:rPr>
                <w:sz w:val="18"/>
                <w:szCs w:val="18"/>
              </w:rPr>
              <w:t>expéditeur</w:t>
            </w:r>
            <w:r w:rsidR="00814B7D">
              <w:rPr>
                <w:sz w:val="18"/>
                <w:szCs w:val="18"/>
              </w:rPr>
              <w:t>.</w:t>
            </w:r>
          </w:p>
        </w:tc>
        <w:tc>
          <w:tcPr>
            <w:tcW w:w="4140" w:type="dxa"/>
            <w:shd w:val="clear" w:color="auto" w:fill="auto"/>
          </w:tcPr>
          <w:p w:rsidR="00B95304" w:rsidRPr="00814B7D" w:rsidRDefault="00B95304" w:rsidP="00D36A73">
            <w:pPr>
              <w:keepNext/>
              <w:keepLines/>
              <w:spacing w:before="40" w:after="120" w:line="220" w:lineRule="atLeast"/>
              <w:ind w:right="113"/>
              <w:rPr>
                <w:sz w:val="18"/>
                <w:szCs w:val="18"/>
              </w:rPr>
            </w:pPr>
            <w:r w:rsidRPr="00814B7D">
              <w:rPr>
                <w:sz w:val="18"/>
                <w:szCs w:val="18"/>
              </w:rPr>
              <w:t>Vérifier que tous les documents de transport (ou l</w:t>
            </w:r>
            <w:r w:rsidR="000C01B9" w:rsidRPr="00814B7D">
              <w:rPr>
                <w:sz w:val="18"/>
                <w:szCs w:val="18"/>
              </w:rPr>
              <w:t>’</w:t>
            </w:r>
            <w:r w:rsidRPr="00814B7D">
              <w:rPr>
                <w:sz w:val="18"/>
                <w:szCs w:val="18"/>
              </w:rPr>
              <w:t>information requise sous une forme permettant la traçabilité), le plan de chargement et la séquence de chargement ont bien été reçus de l</w:t>
            </w:r>
            <w:r w:rsidR="000C01B9" w:rsidRPr="00814B7D">
              <w:rPr>
                <w:sz w:val="18"/>
                <w:szCs w:val="18"/>
              </w:rPr>
              <w:t>’</w:t>
            </w:r>
            <w:r w:rsidR="00814B7D">
              <w:rPr>
                <w:sz w:val="18"/>
                <w:szCs w:val="18"/>
              </w:rPr>
              <w:t>expéditeur. Il </w:t>
            </w:r>
            <w:r w:rsidRPr="00814B7D">
              <w:rPr>
                <w:sz w:val="18"/>
                <w:szCs w:val="18"/>
              </w:rPr>
              <w:t>appartient au transporteur de recevoir, d</w:t>
            </w:r>
            <w:r w:rsidR="000C01B9" w:rsidRPr="00814B7D">
              <w:rPr>
                <w:sz w:val="18"/>
                <w:szCs w:val="18"/>
              </w:rPr>
              <w:t>’</w:t>
            </w:r>
            <w:r w:rsidRPr="00814B7D">
              <w:rPr>
                <w:sz w:val="18"/>
                <w:szCs w:val="18"/>
              </w:rPr>
              <w:t>évaluer et de faire suivre au capitaine de la barge les documents de transport pertinents (ou l</w:t>
            </w:r>
            <w:r w:rsidR="000C01B9" w:rsidRPr="00814B7D">
              <w:rPr>
                <w:sz w:val="18"/>
                <w:szCs w:val="18"/>
              </w:rPr>
              <w:t>’</w:t>
            </w:r>
            <w:r w:rsidRPr="00814B7D">
              <w:rPr>
                <w:sz w:val="18"/>
                <w:szCs w:val="18"/>
              </w:rPr>
              <w:t xml:space="preserve">information requise sous une forme permettant la traçabilité), </w:t>
            </w:r>
            <w:r w:rsidR="00814B7D">
              <w:rPr>
                <w:sz w:val="18"/>
                <w:szCs w:val="18"/>
              </w:rPr>
              <w:t>ainsi que le plan de chargement.</w:t>
            </w:r>
          </w:p>
        </w:tc>
        <w:tc>
          <w:tcPr>
            <w:tcW w:w="1196" w:type="dxa"/>
            <w:shd w:val="clear" w:color="auto" w:fill="auto"/>
          </w:tcPr>
          <w:p w:rsidR="00B95304" w:rsidRPr="00814B7D" w:rsidRDefault="00B95304" w:rsidP="00D36A73">
            <w:pPr>
              <w:keepNext/>
              <w:keepLines/>
              <w:spacing w:before="40" w:after="120" w:line="220" w:lineRule="atLeast"/>
              <w:ind w:right="113"/>
              <w:rPr>
                <w:sz w:val="18"/>
                <w:szCs w:val="18"/>
              </w:rPr>
            </w:pPr>
            <w:r w:rsidRPr="00814B7D">
              <w:rPr>
                <w:sz w:val="18"/>
                <w:szCs w:val="18"/>
              </w:rPr>
              <w:t>1.4.2.2.1 b)</w:t>
            </w:r>
          </w:p>
        </w:tc>
      </w:tr>
      <w:tr w:rsidR="00B95304" w:rsidRPr="008F2F17" w:rsidTr="008F2F17">
        <w:tc>
          <w:tcPr>
            <w:tcW w:w="2034" w:type="dxa"/>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S</w:t>
            </w:r>
            <w:r w:rsidR="000C01B9" w:rsidRPr="00814B7D">
              <w:rPr>
                <w:sz w:val="18"/>
                <w:szCs w:val="18"/>
              </w:rPr>
              <w:t>’</w:t>
            </w:r>
            <w:r w:rsidRPr="00814B7D">
              <w:rPr>
                <w:sz w:val="18"/>
                <w:szCs w:val="18"/>
              </w:rPr>
              <w:t>assurer que la liste des matières transportables par le bateau selon 1.16.1.2.5 est en accord avec le tableau C du chapitre 3.2 et avec les amendements qui y ont été apportés</w:t>
            </w:r>
            <w:r w:rsidR="00814B7D">
              <w:rPr>
                <w:sz w:val="18"/>
                <w:szCs w:val="18"/>
              </w:rPr>
              <w:t>.</w:t>
            </w:r>
          </w:p>
        </w:tc>
        <w:tc>
          <w:tcPr>
            <w:tcW w:w="4140" w:type="dxa"/>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Procéder à une inspection visuelle afin de s</w:t>
            </w:r>
            <w:r w:rsidR="000C01B9" w:rsidRPr="00814B7D">
              <w:rPr>
                <w:sz w:val="18"/>
                <w:szCs w:val="18"/>
              </w:rPr>
              <w:t>’</w:t>
            </w:r>
            <w:r w:rsidRPr="00814B7D">
              <w:rPr>
                <w:sz w:val="18"/>
                <w:szCs w:val="18"/>
              </w:rPr>
              <w:t>assurer que les différents ingrédients et le mélange final tels que mentionnés sur le document de transport (ou l</w:t>
            </w:r>
            <w:r w:rsidR="000C01B9" w:rsidRPr="00814B7D">
              <w:rPr>
                <w:sz w:val="18"/>
                <w:szCs w:val="18"/>
              </w:rPr>
              <w:t>’</w:t>
            </w:r>
            <w:r w:rsidRPr="00814B7D">
              <w:rPr>
                <w:sz w:val="18"/>
                <w:szCs w:val="18"/>
              </w:rPr>
              <w:t>information requise sous une forme permettant la traçabilité) ainsi que les documents d</w:t>
            </w:r>
            <w:r w:rsidR="000C01B9" w:rsidRPr="00814B7D">
              <w:rPr>
                <w:sz w:val="18"/>
                <w:szCs w:val="18"/>
              </w:rPr>
              <w:t>’</w:t>
            </w:r>
            <w:r w:rsidRPr="00814B7D">
              <w:rPr>
                <w:sz w:val="18"/>
                <w:szCs w:val="18"/>
              </w:rPr>
              <w:t>accompagnement figurent bien dans la liste des matières transportables par le bateau selon 1.16.1.2.5 et que cette liste est en accord</w:t>
            </w:r>
            <w:r w:rsidR="00814B7D">
              <w:rPr>
                <w:sz w:val="18"/>
                <w:szCs w:val="18"/>
              </w:rPr>
              <w:t xml:space="preserve"> avec le tableau C du chapitre </w:t>
            </w:r>
            <w:r w:rsidRPr="00814B7D">
              <w:rPr>
                <w:sz w:val="18"/>
                <w:szCs w:val="18"/>
              </w:rPr>
              <w:t>3.2, et avec les amendements qui y ont été apportés</w:t>
            </w:r>
            <w:r w:rsidR="00814B7D">
              <w:rPr>
                <w:sz w:val="18"/>
                <w:szCs w:val="18"/>
              </w:rPr>
              <w:t>.</w:t>
            </w:r>
          </w:p>
        </w:tc>
        <w:tc>
          <w:tcPr>
            <w:tcW w:w="1196" w:type="dxa"/>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1.4.2.2.1 j)</w:t>
            </w:r>
          </w:p>
        </w:tc>
      </w:tr>
      <w:tr w:rsidR="00B95304" w:rsidRPr="008F2F17" w:rsidTr="008F2F17">
        <w:tc>
          <w:tcPr>
            <w:tcW w:w="2034" w:type="dxa"/>
            <w:tcBorders>
              <w:bottom w:val="single" w:sz="12" w:space="0" w:color="auto"/>
            </w:tcBorders>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S</w:t>
            </w:r>
            <w:r w:rsidR="000C01B9" w:rsidRPr="00814B7D">
              <w:rPr>
                <w:sz w:val="18"/>
                <w:szCs w:val="18"/>
              </w:rPr>
              <w:t>’</w:t>
            </w:r>
            <w:r w:rsidRPr="00814B7D">
              <w:rPr>
                <w:sz w:val="18"/>
                <w:szCs w:val="18"/>
              </w:rPr>
              <w:t>assurer que, pendant le chargement, le transport, le déchargement et toute autre manutention de marchandises dangereuses dans les cales ou dans les citernes à cargaison, les prescriptions particulières sont observées</w:t>
            </w:r>
            <w:r w:rsidR="00814B7D">
              <w:rPr>
                <w:sz w:val="18"/>
                <w:szCs w:val="18"/>
              </w:rPr>
              <w:t>.</w:t>
            </w:r>
          </w:p>
        </w:tc>
        <w:tc>
          <w:tcPr>
            <w:tcW w:w="4140" w:type="dxa"/>
            <w:tcBorders>
              <w:bottom w:val="single" w:sz="12" w:space="0" w:color="auto"/>
            </w:tcBorders>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Veiller au respect des prescriptions spécifiques pour chaque substance et pour la substance résultant du mélange, et aussi aux obligations selon 1.4.2.2 et 8.6.3, de concert avec le remplisseur</w:t>
            </w:r>
            <w:r w:rsidR="00814B7D">
              <w:rPr>
                <w:sz w:val="18"/>
                <w:szCs w:val="18"/>
              </w:rPr>
              <w:t>.</w:t>
            </w:r>
          </w:p>
        </w:tc>
        <w:tc>
          <w:tcPr>
            <w:tcW w:w="1196" w:type="dxa"/>
            <w:tcBorders>
              <w:bottom w:val="single" w:sz="12" w:space="0" w:color="auto"/>
            </w:tcBorders>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1.4.2.2.1 i)</w:t>
            </w:r>
          </w:p>
        </w:tc>
      </w:tr>
    </w:tbl>
    <w:p w:rsidR="00B95304" w:rsidRPr="00F04181" w:rsidRDefault="00B95304" w:rsidP="008F2F17">
      <w:pPr>
        <w:pStyle w:val="SingleTxtG"/>
        <w:spacing w:before="240"/>
      </w:pPr>
      <w:r w:rsidRPr="00F04181">
        <w:t>6.</w:t>
      </w:r>
      <w:r w:rsidRPr="00F04181">
        <w:tab/>
      </w:r>
      <w:r>
        <w:t>Le remplisseur</w:t>
      </w:r>
      <w:r w:rsidR="008F2F17">
        <w:t> :</w:t>
      </w:r>
    </w:p>
    <w:tbl>
      <w:tblPr>
        <w:tblW w:w="7370" w:type="dxa"/>
        <w:tblInd w:w="1134" w:type="dxa"/>
        <w:tblLayout w:type="fixed"/>
        <w:tblCellMar>
          <w:left w:w="0" w:type="dxa"/>
          <w:right w:w="0" w:type="dxa"/>
        </w:tblCellMar>
        <w:tblLook w:val="04A0" w:firstRow="1" w:lastRow="0" w:firstColumn="1" w:lastColumn="0" w:noHBand="0" w:noVBand="1"/>
      </w:tblPr>
      <w:tblGrid>
        <w:gridCol w:w="1985"/>
        <w:gridCol w:w="4188"/>
        <w:gridCol w:w="1197"/>
      </w:tblGrid>
      <w:tr w:rsidR="00B95304" w:rsidRPr="008F2F17" w:rsidTr="002B0454">
        <w:trPr>
          <w:tblHeader/>
        </w:trPr>
        <w:tc>
          <w:tcPr>
            <w:tcW w:w="1985" w:type="dxa"/>
            <w:tcBorders>
              <w:top w:val="single" w:sz="4" w:space="0" w:color="auto"/>
              <w:bottom w:val="single" w:sz="12" w:space="0" w:color="auto"/>
            </w:tcBorders>
            <w:shd w:val="clear" w:color="auto" w:fill="auto"/>
            <w:vAlign w:val="bottom"/>
          </w:tcPr>
          <w:p w:rsidR="00B95304" w:rsidRPr="008F2F17" w:rsidRDefault="002B0454" w:rsidP="008F2F17">
            <w:pPr>
              <w:spacing w:before="80" w:after="80" w:line="200" w:lineRule="exact"/>
              <w:ind w:right="113"/>
              <w:rPr>
                <w:sz w:val="16"/>
              </w:rPr>
            </w:pPr>
            <w:r>
              <w:rPr>
                <w:i/>
                <w:sz w:val="16"/>
              </w:rPr>
              <w:t>Pour le remplisseur,</w:t>
            </w:r>
            <w:r>
              <w:rPr>
                <w:i/>
                <w:sz w:val="16"/>
              </w:rPr>
              <w:br/>
            </w:r>
            <w:r w:rsidR="00B95304" w:rsidRPr="008F2F17">
              <w:rPr>
                <w:i/>
                <w:sz w:val="16"/>
              </w:rPr>
              <w:t>cela signifie</w:t>
            </w:r>
            <w:r w:rsidR="008F2F17">
              <w:rPr>
                <w:i/>
                <w:sz w:val="16"/>
              </w:rPr>
              <w:t> </w:t>
            </w:r>
            <w:r w:rsidR="008F2F17">
              <w:rPr>
                <w:sz w:val="16"/>
              </w:rPr>
              <w:t>:</w:t>
            </w:r>
          </w:p>
        </w:tc>
        <w:tc>
          <w:tcPr>
            <w:tcW w:w="4188" w:type="dxa"/>
            <w:tcBorders>
              <w:top w:val="single" w:sz="4" w:space="0" w:color="auto"/>
              <w:bottom w:val="single" w:sz="12" w:space="0" w:color="auto"/>
            </w:tcBorders>
            <w:shd w:val="clear" w:color="auto" w:fill="auto"/>
            <w:vAlign w:val="bottom"/>
          </w:tcPr>
          <w:p w:rsidR="00B95304" w:rsidRPr="00814B7D" w:rsidRDefault="00B95304" w:rsidP="008F2F17">
            <w:pPr>
              <w:spacing w:before="80" w:after="80" w:line="200" w:lineRule="exact"/>
              <w:ind w:right="113"/>
              <w:rPr>
                <w:sz w:val="16"/>
              </w:rPr>
            </w:pPr>
            <w:r w:rsidRPr="008F2F17">
              <w:rPr>
                <w:i/>
                <w:sz w:val="16"/>
              </w:rPr>
              <w:t>Mesures à prendre</w:t>
            </w:r>
            <w:r w:rsidR="00814B7D">
              <w:rPr>
                <w:i/>
                <w:sz w:val="16"/>
              </w:rPr>
              <w:t> </w:t>
            </w:r>
            <w:r w:rsidR="00814B7D">
              <w:rPr>
                <w:sz w:val="16"/>
              </w:rPr>
              <w:t>:</w:t>
            </w:r>
          </w:p>
        </w:tc>
        <w:tc>
          <w:tcPr>
            <w:tcW w:w="1197" w:type="dxa"/>
            <w:tcBorders>
              <w:top w:val="single" w:sz="4" w:space="0" w:color="auto"/>
              <w:bottom w:val="single" w:sz="12" w:space="0" w:color="auto"/>
            </w:tcBorders>
            <w:shd w:val="clear" w:color="auto" w:fill="auto"/>
            <w:vAlign w:val="bottom"/>
          </w:tcPr>
          <w:p w:rsidR="00B95304" w:rsidRPr="008F2F17" w:rsidRDefault="00B95304" w:rsidP="008F2F17">
            <w:pPr>
              <w:spacing w:before="80" w:after="80" w:line="200" w:lineRule="exact"/>
              <w:ind w:right="113"/>
              <w:rPr>
                <w:i/>
                <w:sz w:val="16"/>
              </w:rPr>
            </w:pPr>
            <w:r w:rsidRPr="008F2F17">
              <w:rPr>
                <w:i/>
                <w:sz w:val="16"/>
              </w:rPr>
              <w:t>ADN</w:t>
            </w:r>
          </w:p>
        </w:tc>
      </w:tr>
      <w:tr w:rsidR="00B95304" w:rsidRPr="008F2F17" w:rsidTr="002B0454">
        <w:tc>
          <w:tcPr>
            <w:tcW w:w="1985" w:type="dxa"/>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Veiller à compléter la partie de la liste de contrôle qui lui incombe selon 7.2.4.10 avant le chargement dans les citernes</w:t>
            </w:r>
            <w:r w:rsidR="00814B7D">
              <w:rPr>
                <w:sz w:val="18"/>
                <w:szCs w:val="18"/>
              </w:rPr>
              <w:t>.</w:t>
            </w:r>
          </w:p>
        </w:tc>
        <w:tc>
          <w:tcPr>
            <w:tcW w:w="4188" w:type="dxa"/>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Informer le transporteur de l</w:t>
            </w:r>
            <w:r w:rsidR="000C01B9" w:rsidRPr="00814B7D">
              <w:rPr>
                <w:sz w:val="18"/>
                <w:szCs w:val="18"/>
              </w:rPr>
              <w:t>’</w:t>
            </w:r>
            <w:r w:rsidRPr="00814B7D">
              <w:rPr>
                <w:sz w:val="18"/>
                <w:szCs w:val="18"/>
              </w:rPr>
              <w:t xml:space="preserve">accord de chargement, satisfaire à ses obligations selon 1.4.3.3, 7.2.4.10 et 8.6.3, de concert avec le transporteur. </w:t>
            </w:r>
          </w:p>
        </w:tc>
        <w:tc>
          <w:tcPr>
            <w:tcW w:w="1197" w:type="dxa"/>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 xml:space="preserve">1.4.3.3 m) </w:t>
            </w:r>
          </w:p>
        </w:tc>
      </w:tr>
      <w:tr w:rsidR="00B95304" w:rsidRPr="008F2F17" w:rsidTr="002B0454">
        <w:tc>
          <w:tcPr>
            <w:tcW w:w="1985" w:type="dxa"/>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Procéder au seul chargement des marchandises dangereuses dans les seules citernes autorisées à cet effet</w:t>
            </w:r>
            <w:r w:rsidR="00814B7D">
              <w:rPr>
                <w:sz w:val="18"/>
                <w:szCs w:val="18"/>
              </w:rPr>
              <w:t>.</w:t>
            </w:r>
          </w:p>
        </w:tc>
        <w:tc>
          <w:tcPr>
            <w:tcW w:w="4188" w:type="dxa"/>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Veiller au respect de ses obligations selon 1.4.3.3, 7.2.4.10 et 8.6.3, de concert avec le transporteur</w:t>
            </w:r>
            <w:r w:rsidR="00814B7D">
              <w:rPr>
                <w:sz w:val="18"/>
                <w:szCs w:val="18"/>
              </w:rPr>
              <w:t>.</w:t>
            </w:r>
          </w:p>
        </w:tc>
        <w:tc>
          <w:tcPr>
            <w:tcW w:w="1197" w:type="dxa"/>
            <w:shd w:val="clear" w:color="auto" w:fill="auto"/>
          </w:tcPr>
          <w:p w:rsidR="00B95304" w:rsidRPr="00814B7D" w:rsidRDefault="00B95304" w:rsidP="00814B7D">
            <w:pPr>
              <w:spacing w:before="40" w:after="120" w:line="220" w:lineRule="atLeast"/>
              <w:ind w:right="113"/>
              <w:rPr>
                <w:sz w:val="18"/>
                <w:szCs w:val="18"/>
              </w:rPr>
            </w:pPr>
            <w:r w:rsidRPr="00814B7D">
              <w:rPr>
                <w:sz w:val="18"/>
                <w:szCs w:val="18"/>
              </w:rPr>
              <w:t>1.4.3.3 n)</w:t>
            </w:r>
          </w:p>
        </w:tc>
      </w:tr>
      <w:tr w:rsidR="00B95304" w:rsidRPr="008F2F17" w:rsidTr="002B0454">
        <w:tc>
          <w:tcPr>
            <w:tcW w:w="1985" w:type="dxa"/>
            <w:tcBorders>
              <w:bottom w:val="single" w:sz="12" w:space="0" w:color="auto"/>
            </w:tcBorders>
            <w:shd w:val="clear" w:color="auto" w:fill="auto"/>
          </w:tcPr>
          <w:p w:rsidR="00B95304" w:rsidRPr="00814B7D" w:rsidRDefault="00B95304" w:rsidP="00814B7D">
            <w:pPr>
              <w:keepNext/>
              <w:keepLines/>
              <w:spacing w:before="40" w:after="120" w:line="220" w:lineRule="atLeast"/>
              <w:ind w:right="113"/>
              <w:rPr>
                <w:sz w:val="18"/>
                <w:szCs w:val="18"/>
              </w:rPr>
            </w:pPr>
            <w:r w:rsidRPr="00814B7D">
              <w:rPr>
                <w:sz w:val="18"/>
                <w:szCs w:val="18"/>
              </w:rPr>
              <w:t>S</w:t>
            </w:r>
            <w:r w:rsidR="000C01B9" w:rsidRPr="00814B7D">
              <w:rPr>
                <w:sz w:val="18"/>
                <w:szCs w:val="18"/>
              </w:rPr>
              <w:t>’</w:t>
            </w:r>
            <w:r w:rsidRPr="00814B7D">
              <w:rPr>
                <w:sz w:val="18"/>
                <w:szCs w:val="18"/>
              </w:rPr>
              <w:t>assurer que, dans la conduite de retour de gaz, lorsqu</w:t>
            </w:r>
            <w:r w:rsidR="000C01B9" w:rsidRPr="00814B7D">
              <w:rPr>
                <w:sz w:val="18"/>
                <w:szCs w:val="18"/>
              </w:rPr>
              <w:t>’</w:t>
            </w:r>
            <w:r w:rsidRPr="00814B7D">
              <w:rPr>
                <w:sz w:val="18"/>
                <w:szCs w:val="18"/>
              </w:rPr>
              <w:t xml:space="preserve">elle est prescrite au 7.2.4.25.5, il y ait un coupe-flammes protégeant le bateau contre les détonations et les passages de </w:t>
            </w:r>
            <w:r w:rsidR="00814B7D">
              <w:rPr>
                <w:sz w:val="18"/>
                <w:szCs w:val="18"/>
              </w:rPr>
              <w:t>flammes provenant du côté terre.</w:t>
            </w:r>
          </w:p>
        </w:tc>
        <w:tc>
          <w:tcPr>
            <w:tcW w:w="4188" w:type="dxa"/>
            <w:tcBorders>
              <w:bottom w:val="single" w:sz="12" w:space="0" w:color="auto"/>
            </w:tcBorders>
            <w:shd w:val="clear" w:color="auto" w:fill="auto"/>
          </w:tcPr>
          <w:p w:rsidR="00B95304" w:rsidRPr="00814B7D" w:rsidRDefault="00B95304" w:rsidP="00814B7D">
            <w:pPr>
              <w:keepNext/>
              <w:keepLines/>
              <w:spacing w:before="40" w:after="120" w:line="220" w:lineRule="atLeast"/>
              <w:ind w:right="113"/>
              <w:rPr>
                <w:sz w:val="18"/>
                <w:szCs w:val="18"/>
              </w:rPr>
            </w:pPr>
            <w:r w:rsidRPr="00814B7D">
              <w:rPr>
                <w:sz w:val="18"/>
                <w:szCs w:val="18"/>
              </w:rPr>
              <w:t>S</w:t>
            </w:r>
            <w:r w:rsidR="000C01B9" w:rsidRPr="00814B7D">
              <w:rPr>
                <w:sz w:val="18"/>
                <w:szCs w:val="18"/>
              </w:rPr>
              <w:t>’</w:t>
            </w:r>
            <w:r w:rsidRPr="00814B7D">
              <w:rPr>
                <w:sz w:val="18"/>
                <w:szCs w:val="18"/>
              </w:rPr>
              <w:t xml:space="preserve">acquitter de ses obligations selon 1.4.3.3, 7.2.4.10 et 8.6.3, </w:t>
            </w:r>
            <w:r w:rsidR="00814B7D">
              <w:rPr>
                <w:sz w:val="18"/>
                <w:szCs w:val="18"/>
              </w:rPr>
              <w:t>de concert avec le transporteur.</w:t>
            </w:r>
          </w:p>
        </w:tc>
        <w:tc>
          <w:tcPr>
            <w:tcW w:w="1197" w:type="dxa"/>
            <w:tcBorders>
              <w:bottom w:val="single" w:sz="12" w:space="0" w:color="auto"/>
            </w:tcBorders>
            <w:shd w:val="clear" w:color="auto" w:fill="auto"/>
          </w:tcPr>
          <w:p w:rsidR="00B95304" w:rsidRPr="00814B7D" w:rsidRDefault="00B95304" w:rsidP="00814B7D">
            <w:pPr>
              <w:keepNext/>
              <w:keepLines/>
              <w:spacing w:before="40" w:after="120" w:line="220" w:lineRule="atLeast"/>
              <w:ind w:right="113"/>
              <w:rPr>
                <w:sz w:val="18"/>
                <w:szCs w:val="18"/>
              </w:rPr>
            </w:pPr>
            <w:r w:rsidRPr="00814B7D">
              <w:rPr>
                <w:sz w:val="18"/>
                <w:szCs w:val="18"/>
              </w:rPr>
              <w:t>1.4.3.3 r)</w:t>
            </w:r>
          </w:p>
        </w:tc>
      </w:tr>
    </w:tbl>
    <w:p w:rsidR="00B95304" w:rsidRPr="00F04181" w:rsidRDefault="00B95304" w:rsidP="00B95304">
      <w:pPr>
        <w:pStyle w:val="HChG"/>
      </w:pPr>
      <w:r>
        <w:br w:type="page"/>
      </w:r>
      <w:r w:rsidRPr="00F04181">
        <w:t>Annexe IV</w:t>
      </w:r>
    </w:p>
    <w:p w:rsidR="00B95304" w:rsidRPr="00F04181" w:rsidRDefault="00B95304" w:rsidP="00B95304">
      <w:pPr>
        <w:pStyle w:val="HChG"/>
      </w:pPr>
      <w:bookmarkStart w:id="3" w:name="_Hlk511729701"/>
      <w:r>
        <w:tab/>
      </w:r>
      <w:r>
        <w:tab/>
        <w:t xml:space="preserve">Principes de la </w:t>
      </w:r>
      <w:r w:rsidRPr="00F04181">
        <w:t xml:space="preserve">classification </w:t>
      </w:r>
    </w:p>
    <w:bookmarkEnd w:id="3"/>
    <w:p w:rsidR="00B95304" w:rsidRPr="00F04181" w:rsidRDefault="00B95304" w:rsidP="00B95304">
      <w:pPr>
        <w:pStyle w:val="SingleTxtG"/>
      </w:pPr>
      <w:r w:rsidRPr="00F04181">
        <w:t>1.</w:t>
      </w:r>
      <w:r w:rsidRPr="00F04181">
        <w:tab/>
      </w:r>
      <w:r>
        <w:t xml:space="preserve">Les principes de classification de la substance résultant du mélange sont alignés sur les points </w:t>
      </w:r>
      <w:r w:rsidRPr="00F04181">
        <w:t xml:space="preserve">2.1.2 </w:t>
      </w:r>
      <w:r>
        <w:t>et</w:t>
      </w:r>
      <w:r w:rsidRPr="00F04181">
        <w:t xml:space="preserve"> 2.1.3. </w:t>
      </w:r>
    </w:p>
    <w:p w:rsidR="00B95304" w:rsidRPr="00F04181" w:rsidRDefault="00B95304" w:rsidP="00B95304">
      <w:pPr>
        <w:pStyle w:val="SingleTxtG"/>
      </w:pPr>
      <w:r w:rsidRPr="00F04181">
        <w:t>2.</w:t>
      </w:r>
      <w:r w:rsidRPr="00F04181">
        <w:tab/>
      </w:r>
      <w:r>
        <w:t xml:space="preserve">En vertu du point </w:t>
      </w:r>
      <w:r w:rsidRPr="00F04181">
        <w:t xml:space="preserve">1.4.2.2.1 a), </w:t>
      </w:r>
      <w:r>
        <w:t>l</w:t>
      </w:r>
      <w:r w:rsidR="000C01B9">
        <w:t>’</w:t>
      </w:r>
      <w:r>
        <w:t xml:space="preserve">expéditeur est responsable de la classification correcte de la substance résultant du mélange, selon </w:t>
      </w:r>
      <w:r w:rsidRPr="00F04181">
        <w:t xml:space="preserve">2.1.3.5.1, 2.1.3.5.2 </w:t>
      </w:r>
      <w:r>
        <w:t xml:space="preserve">et </w:t>
      </w:r>
      <w:r w:rsidRPr="00F04181">
        <w:t>2.1.3.5.4.</w:t>
      </w:r>
    </w:p>
    <w:p w:rsidR="00B95304" w:rsidRPr="00F04181" w:rsidRDefault="00B95304" w:rsidP="00B95304">
      <w:pPr>
        <w:pStyle w:val="SingleTxtG"/>
      </w:pPr>
      <w:r w:rsidRPr="00F04181">
        <w:t>3.</w:t>
      </w:r>
      <w:r w:rsidRPr="00F04181">
        <w:tab/>
      </w:r>
      <w:r>
        <w:t>L</w:t>
      </w:r>
      <w:r w:rsidR="000C01B9">
        <w:t>’</w:t>
      </w:r>
      <w:r>
        <w:t>expéditeur doit veiller à ce que les produits mélangés soient compatibles entre eux et n</w:t>
      </w:r>
      <w:r w:rsidR="000C01B9">
        <w:t>’</w:t>
      </w:r>
      <w:r>
        <w:t>entraînent pas de réaction</w:t>
      </w:r>
      <w:r w:rsidRPr="00F04181">
        <w:t>.</w:t>
      </w:r>
    </w:p>
    <w:p w:rsidR="00B95304" w:rsidRPr="00F04181" w:rsidRDefault="00B95304" w:rsidP="00B95304">
      <w:pPr>
        <w:pStyle w:val="HChG"/>
      </w:pPr>
      <w:r>
        <w:br w:type="page"/>
        <w:t>Annexe V</w:t>
      </w:r>
    </w:p>
    <w:p w:rsidR="00B95304" w:rsidRPr="00F04181" w:rsidRDefault="00B95304" w:rsidP="00B95304">
      <w:pPr>
        <w:pStyle w:val="HChG"/>
      </w:pPr>
      <w:r w:rsidRPr="00F04181">
        <w:tab/>
      </w:r>
      <w:r w:rsidRPr="00F04181">
        <w:tab/>
      </w:r>
      <w:r>
        <w:t>Le mélange de cargaisons selon l</w:t>
      </w:r>
      <w:r w:rsidR="000C01B9">
        <w:t>’</w:t>
      </w:r>
      <w:r w:rsidR="00071576">
        <w:t>OMI</w:t>
      </w:r>
    </w:p>
    <w:p w:rsidR="00B95304" w:rsidRPr="00F04181" w:rsidRDefault="00B95304" w:rsidP="00B95304">
      <w:pPr>
        <w:pStyle w:val="SingleTxtG"/>
      </w:pPr>
      <w:r w:rsidRPr="00F04181">
        <w:t>1.</w:t>
      </w:r>
      <w:r w:rsidRPr="00F04181">
        <w:tab/>
      </w:r>
      <w:r>
        <w:t>Le mélange de cargaisons à bord des pétroliers à quai est régi par l</w:t>
      </w:r>
      <w:r w:rsidR="000C01B9">
        <w:t>’</w:t>
      </w:r>
      <w:r>
        <w:t>OMI</w:t>
      </w:r>
      <w:r w:rsidRPr="001B51EC">
        <w:rPr>
          <w:rStyle w:val="FootnoteReference"/>
        </w:rPr>
        <w:footnoteReference w:id="17"/>
      </w:r>
      <w:r w:rsidRPr="00F04181">
        <w:t xml:space="preserve"> </w:t>
      </w:r>
      <w:r>
        <w:t xml:space="preserve">et relève de </w:t>
      </w:r>
      <w:r w:rsidRPr="003D64BB">
        <w:t xml:space="preserve">son </w:t>
      </w:r>
      <w:r w:rsidR="00F81355" w:rsidRPr="003D64BB">
        <w:t>S</w:t>
      </w:r>
      <w:r w:rsidRPr="003D64BB">
        <w:t>ous-</w:t>
      </w:r>
      <w:r w:rsidR="00F81355" w:rsidRPr="003D64BB">
        <w:t>C</w:t>
      </w:r>
      <w:r w:rsidRPr="003D64BB">
        <w:t>omité des liquides et gaz en vrac.</w:t>
      </w:r>
    </w:p>
    <w:p w:rsidR="00B95304" w:rsidRPr="00F04181" w:rsidRDefault="00B95304" w:rsidP="00B95304">
      <w:pPr>
        <w:pStyle w:val="SingleTxtG"/>
      </w:pPr>
      <w:r w:rsidRPr="00F04181">
        <w:t>2.</w:t>
      </w:r>
      <w:r w:rsidRPr="00F04181">
        <w:tab/>
      </w:r>
      <w:r w:rsidR="00D128AD">
        <w:t>La circulaire MEPC.1/Circ. </w:t>
      </w:r>
      <w:r w:rsidRPr="003D64BB">
        <w:t>761 donne des directives concernant le transport de mélanges d</w:t>
      </w:r>
      <w:r w:rsidR="000C01B9">
        <w:t>’</w:t>
      </w:r>
      <w:r w:rsidRPr="003D64BB">
        <w:t>hydrocarbures ou de pétrole et de biocombustibles.</w:t>
      </w:r>
      <w:r>
        <w:t xml:space="preserve"> </w:t>
      </w:r>
    </w:p>
    <w:p w:rsidR="00B95304" w:rsidRPr="00F04181" w:rsidRDefault="00B95304" w:rsidP="00B95304">
      <w:pPr>
        <w:pStyle w:val="SingleTxtG"/>
        <w:rPr>
          <w:sz w:val="18"/>
          <w:szCs w:val="18"/>
          <w:vertAlign w:val="superscript"/>
        </w:rPr>
      </w:pPr>
      <w:r w:rsidRPr="00F04181">
        <w:t>3.</w:t>
      </w:r>
      <w:r w:rsidRPr="00F04181">
        <w:tab/>
      </w:r>
      <w:r>
        <w:t>En avril 2016, l</w:t>
      </w:r>
      <w:r w:rsidR="000C01B9">
        <w:t>’</w:t>
      </w:r>
      <w:r>
        <w:t>Institut de l</w:t>
      </w:r>
      <w:r w:rsidR="000C01B9">
        <w:t>’</w:t>
      </w:r>
      <w:r>
        <w:t>énergie a publié des directives pour le mélange physique de cargaisons d</w:t>
      </w:r>
      <w:r w:rsidR="000C01B9">
        <w:t>’</w:t>
      </w:r>
      <w:r>
        <w:t>hydrocarbures liquides à bord de bateaux-citernes. La publication en question couvre à la fois les navires et les barges</w:t>
      </w:r>
      <w:r w:rsidRPr="001B51EC">
        <w:rPr>
          <w:rStyle w:val="FootnoteReference"/>
        </w:rPr>
        <w:footnoteReference w:id="18"/>
      </w:r>
      <w:r>
        <w:t>.</w:t>
      </w:r>
    </w:p>
    <w:p w:rsidR="00B95304" w:rsidRPr="00F04181" w:rsidRDefault="00B95304" w:rsidP="00B95304">
      <w:pPr>
        <w:pStyle w:val="SingleTxtG"/>
      </w:pPr>
      <w:r w:rsidRPr="00F04181">
        <w:t>4.</w:t>
      </w:r>
      <w:r w:rsidRPr="00F04181">
        <w:tab/>
      </w:r>
      <w:r>
        <w:t xml:space="preserve">Il ressort de la résolution </w:t>
      </w:r>
      <w:r w:rsidRPr="00F04181">
        <w:t xml:space="preserve">MSC325(90) </w:t>
      </w:r>
      <w:r>
        <w:t xml:space="preserve">que </w:t>
      </w:r>
      <w:r w:rsidRPr="002F7D2B">
        <w:t>les opérations de mélange physique d</w:t>
      </w:r>
      <w:r>
        <w:t xml:space="preserve">ans les ports sont autorisées. </w:t>
      </w:r>
      <w:r w:rsidRPr="002F7D2B">
        <w:t>Une distinction s</w:t>
      </w:r>
      <w:r w:rsidR="000C01B9">
        <w:t>’</w:t>
      </w:r>
      <w:r w:rsidRPr="002F7D2B">
        <w:t xml:space="preserve">impose entre mélange physique et </w:t>
      </w:r>
      <w:r>
        <w:t>fabrication</w:t>
      </w:r>
      <w:r w:rsidRPr="002F7D2B">
        <w:t>. La</w:t>
      </w:r>
      <w:r w:rsidR="003D3232">
        <w:t xml:space="preserve"> </w:t>
      </w:r>
      <w:r w:rsidRPr="002F7D2B">
        <w:rPr>
          <w:rStyle w:val="preferred"/>
        </w:rPr>
        <w:t>Convention internationale pour la sauvegarde de la vie humaine en mer</w:t>
      </w:r>
      <w:r w:rsidRPr="002F7D2B">
        <w:t xml:space="preserve"> (Convention SOLAS) défini</w:t>
      </w:r>
      <w:r>
        <w:t>t le mélange physique comme : « </w:t>
      </w:r>
      <w:r w:rsidRPr="002F7D2B">
        <w:t>le procédé qui consiste à utiliser les pompes à cargaison et les tuyautages de cargaison pour faire circuler à l</w:t>
      </w:r>
      <w:r w:rsidR="000C01B9">
        <w:t>’</w:t>
      </w:r>
      <w:r w:rsidRPr="002F7D2B">
        <w:t>intérieur du navire deux cargaisons différentes ou davantage dans le but d</w:t>
      </w:r>
      <w:r w:rsidR="000C01B9">
        <w:t>’</w:t>
      </w:r>
      <w:r w:rsidRPr="002F7D2B">
        <w:t>obtenir une cargaison désig</w:t>
      </w:r>
      <w:r>
        <w:t>née par un autre nom de produit »</w:t>
      </w:r>
      <w:r w:rsidRPr="002F7D2B">
        <w:t>.</w:t>
      </w:r>
    </w:p>
    <w:p w:rsidR="00B95304" w:rsidRDefault="00B95304" w:rsidP="00B95304">
      <w:pPr>
        <w:pStyle w:val="SingleTxtG"/>
      </w:pPr>
      <w:r w:rsidRPr="00F04181">
        <w:t>5.</w:t>
      </w:r>
      <w:r w:rsidRPr="00F04181">
        <w:tab/>
      </w:r>
      <w:r>
        <w:t>La Convention SOLAS définit le processus de fabrication comme « </w:t>
      </w:r>
      <w:r w:rsidRPr="002F7D2B">
        <w:t>toute opération délibérée qui donne lieu à une réaction chimique entre une cargaison du navire et un</w:t>
      </w:r>
      <w:r>
        <w:t>e autre substance ou cargaison »</w:t>
      </w:r>
      <w:r w:rsidRPr="002F7D2B">
        <w:t>.</w:t>
      </w:r>
    </w:p>
    <w:p w:rsidR="00B95304" w:rsidRPr="00F04181" w:rsidRDefault="00B95304" w:rsidP="00B95304">
      <w:pPr>
        <w:pStyle w:val="HChG"/>
      </w:pPr>
      <w:r>
        <w:br w:type="page"/>
        <w:t>Annexe VI</w:t>
      </w:r>
    </w:p>
    <w:p w:rsidR="00B95304" w:rsidRPr="00F04181" w:rsidRDefault="00B95304" w:rsidP="00B95304">
      <w:pPr>
        <w:pStyle w:val="HChG"/>
      </w:pPr>
      <w:r w:rsidRPr="00F04181">
        <w:tab/>
      </w:r>
      <w:r w:rsidRPr="00F04181">
        <w:tab/>
      </w:r>
      <w:r>
        <w:t xml:space="preserve">Avantages de sécurité inhérents et avantages pour le public </w:t>
      </w:r>
    </w:p>
    <w:p w:rsidR="00B95304" w:rsidRPr="00F04181" w:rsidRDefault="00B95304" w:rsidP="000C01B9">
      <w:pPr>
        <w:pStyle w:val="H23G"/>
      </w:pPr>
      <w:r>
        <w:tab/>
      </w:r>
      <w:r>
        <w:tab/>
        <w:t>Avantages pour le public :</w:t>
      </w:r>
      <w:r w:rsidRPr="00F04181">
        <w:t xml:space="preserve"> </w:t>
      </w:r>
      <w:r>
        <w:t>sécurité améliorée sur l</w:t>
      </w:r>
      <w:r w:rsidR="000C01B9">
        <w:t>es voies navigables intérieures</w:t>
      </w:r>
      <w:r w:rsidR="000C01B9">
        <w:br/>
      </w:r>
      <w:r>
        <w:t>et à proximité des installations de chargement : le</w:t>
      </w:r>
      <w:r w:rsidR="000C01B9">
        <w:t xml:space="preserve"> mélange de cargaisons entraîne</w:t>
      </w:r>
      <w:r w:rsidR="000C01B9">
        <w:br/>
      </w:r>
      <w:r>
        <w:t>une diminution du nombre de barges et donc m</w:t>
      </w:r>
      <w:r w:rsidR="000C01B9">
        <w:t>oins de mouvements, ce qui rend</w:t>
      </w:r>
      <w:r w:rsidR="000C01B9">
        <w:br/>
      </w:r>
      <w:r w:rsidR="00F87256">
        <w:t>les opérations plus sûres</w:t>
      </w:r>
    </w:p>
    <w:p w:rsidR="00B95304" w:rsidRPr="00F04181" w:rsidRDefault="00B95304" w:rsidP="00B95304">
      <w:pPr>
        <w:pStyle w:val="SingleTxtG"/>
      </w:pPr>
      <w:r w:rsidRPr="00F04181">
        <w:t>1.</w:t>
      </w:r>
      <w:r w:rsidRPr="00F04181">
        <w:tab/>
      </w:r>
      <w:r>
        <w:t xml:space="preserve">Selon la </w:t>
      </w:r>
      <w:r w:rsidRPr="00F04181">
        <w:t xml:space="preserve">FETSA, </w:t>
      </w:r>
      <w:r>
        <w:t>l</w:t>
      </w:r>
      <w:r w:rsidR="000C01B9">
        <w:t>’</w:t>
      </w:r>
      <w:r>
        <w:t>occupation moyenne des quais d</w:t>
      </w:r>
      <w:r w:rsidR="000C01B9">
        <w:t>’</w:t>
      </w:r>
      <w:r>
        <w:t>embarquement sur l</w:t>
      </w:r>
      <w:r w:rsidR="000C01B9">
        <w:t>’</w:t>
      </w:r>
      <w:r>
        <w:t>axe Anvers-Rotterdam-Amsterdam est aujourd</w:t>
      </w:r>
      <w:r w:rsidR="000C01B9">
        <w:t>’</w:t>
      </w:r>
      <w:r w:rsidR="00F87256">
        <w:t>hui de quelque 55 à 75 </w:t>
      </w:r>
      <w:r>
        <w:t>%</w:t>
      </w:r>
      <w:r w:rsidR="003D3232">
        <w:t> ;</w:t>
      </w:r>
      <w:r>
        <w:t xml:space="preserve"> au-delà de 65</w:t>
      </w:r>
      <w:r w:rsidR="00F87256">
        <w:t> </w:t>
      </w:r>
      <w:r>
        <w:t>%, on considère qu</w:t>
      </w:r>
      <w:r w:rsidR="000C01B9">
        <w:t>’</w:t>
      </w:r>
      <w:r>
        <w:t xml:space="preserve">il y a surcharge. </w:t>
      </w:r>
    </w:p>
    <w:p w:rsidR="00B95304" w:rsidRPr="00F04181" w:rsidRDefault="00B95304" w:rsidP="00B95304">
      <w:pPr>
        <w:pStyle w:val="SingleTxtG"/>
      </w:pPr>
      <w:r w:rsidRPr="00F04181">
        <w:t>2.</w:t>
      </w:r>
      <w:r w:rsidRPr="00F04181">
        <w:tab/>
      </w:r>
      <w:r>
        <w:t>L</w:t>
      </w:r>
      <w:r w:rsidR="000C01B9">
        <w:t>’</w:t>
      </w:r>
      <w:r>
        <w:t>occupation des quais d</w:t>
      </w:r>
      <w:r w:rsidR="000C01B9">
        <w:t>’</w:t>
      </w:r>
      <w:r>
        <w:t>embarquement reflète la volatilité des marchés. Si un marché est très volatil, l</w:t>
      </w:r>
      <w:r w:rsidR="000C01B9">
        <w:t>’</w:t>
      </w:r>
      <w:r>
        <w:t>activité commerciale s</w:t>
      </w:r>
      <w:r w:rsidR="000C01B9">
        <w:t>’</w:t>
      </w:r>
      <w:r>
        <w:t xml:space="preserve">accroît et, de ce fait, la circulation des barges et les activités autour des installations de chargement/déchargement augmentent elles aussi. </w:t>
      </w:r>
    </w:p>
    <w:p w:rsidR="00B95304" w:rsidRPr="00F04181" w:rsidRDefault="00B95304" w:rsidP="00B95304">
      <w:pPr>
        <w:pStyle w:val="SingleTxtG"/>
      </w:pPr>
      <w:r w:rsidRPr="00F04181">
        <w:t>3.</w:t>
      </w:r>
      <w:r w:rsidRPr="00F04181">
        <w:tab/>
      </w:r>
      <w:r>
        <w:t>Les barges sont souvent forcées de « prendre la file » et d</w:t>
      </w:r>
      <w:r w:rsidR="000C01B9">
        <w:t>’</w:t>
      </w:r>
      <w:r>
        <w:t>attendre avant d</w:t>
      </w:r>
      <w:r w:rsidR="000C01B9">
        <w:t>’</w:t>
      </w:r>
      <w:r>
        <w:t>être chargées</w:t>
      </w:r>
      <w:r w:rsidR="003D3232">
        <w:t> ;</w:t>
      </w:r>
      <w:r>
        <w:t xml:space="preserve"> pendant qu</w:t>
      </w:r>
      <w:r w:rsidR="000C01B9">
        <w:t>’</w:t>
      </w:r>
      <w:r>
        <w:t>elles attendent, elles doivent trouver un poste d</w:t>
      </w:r>
      <w:r w:rsidR="000C01B9">
        <w:t>’</w:t>
      </w:r>
      <w:r>
        <w:t>amarrage</w:t>
      </w:r>
      <w:r w:rsidR="003D3232">
        <w:t> ;</w:t>
      </w:r>
      <w:r>
        <w:t xml:space="preserve"> dans les zones densément peuplées de l</w:t>
      </w:r>
      <w:r w:rsidR="000C01B9">
        <w:t>’</w:t>
      </w:r>
      <w:r>
        <w:t>Europe du Nord-Ouest ou à leurs abords, ces postes d</w:t>
      </w:r>
      <w:r w:rsidR="000C01B9">
        <w:t>’</w:t>
      </w:r>
      <w:r>
        <w:t>amarrage peuvent se trouver à des heures de navigation des installations de chargement</w:t>
      </w:r>
      <w:r w:rsidR="003D3232">
        <w:t> ;</w:t>
      </w:r>
      <w:r>
        <w:t xml:space="preserve"> la navigation en direction et en provenance de ces postes d</w:t>
      </w:r>
      <w:r w:rsidR="000C01B9">
        <w:t>’</w:t>
      </w:r>
      <w:r>
        <w:t>amarrage ne fait qu</w:t>
      </w:r>
      <w:r w:rsidR="000C01B9">
        <w:t>’</w:t>
      </w:r>
      <w:r>
        <w:t>aggraver l</w:t>
      </w:r>
      <w:r w:rsidR="000C01B9">
        <w:t>’</w:t>
      </w:r>
      <w:r>
        <w:t>empreinte CO</w:t>
      </w:r>
      <w:r w:rsidRPr="00F87256">
        <w:rPr>
          <w:vertAlign w:val="subscript"/>
        </w:rPr>
        <w:t>2</w:t>
      </w:r>
      <w:r>
        <w:t xml:space="preserve">. </w:t>
      </w:r>
    </w:p>
    <w:p w:rsidR="00B95304" w:rsidRDefault="00B95304" w:rsidP="00B95304">
      <w:pPr>
        <w:pStyle w:val="SingleTxtG"/>
      </w:pPr>
      <w:r w:rsidRPr="00F04181">
        <w:t>4.</w:t>
      </w:r>
      <w:r w:rsidRPr="00F04181">
        <w:tab/>
      </w:r>
      <w:r>
        <w:t>Les barges qui se dirigent vers les postes d</w:t>
      </w:r>
      <w:r w:rsidR="000C01B9">
        <w:t>’</w:t>
      </w:r>
      <w:r>
        <w:t>amarrage ou qui s</w:t>
      </w:r>
      <w:r w:rsidR="000C01B9">
        <w:t>’</w:t>
      </w:r>
      <w:r>
        <w:t>en éloignent créent des mouvements supplémentaires associés à l</w:t>
      </w:r>
      <w:r w:rsidR="000C01B9">
        <w:t>’</w:t>
      </w:r>
      <w:r>
        <w:t>amarrage et à l</w:t>
      </w:r>
      <w:r w:rsidR="000C01B9">
        <w:t>’</w:t>
      </w:r>
      <w:r>
        <w:t>appareillage et aggrave</w:t>
      </w:r>
      <w:r w:rsidR="00FE6F95">
        <w:t>nt</w:t>
      </w:r>
      <w:r>
        <w:t xml:space="preserve"> encore l</w:t>
      </w:r>
      <w:r w:rsidR="000C01B9">
        <w:t>’</w:t>
      </w:r>
      <w:r>
        <w:t>encombrement des voies navigables intérieures. Si l</w:t>
      </w:r>
      <w:r w:rsidR="000C01B9">
        <w:t>’</w:t>
      </w:r>
      <w:r>
        <w:t>amarrage et l</w:t>
      </w:r>
      <w:r w:rsidR="000C01B9">
        <w:t>’</w:t>
      </w:r>
      <w:r>
        <w:t>appareillage doivent toujours s</w:t>
      </w:r>
      <w:r w:rsidR="000C01B9">
        <w:t>’</w:t>
      </w:r>
      <w:r>
        <w:t>effectuer dans le respect des dispositions pertinentes de l</w:t>
      </w:r>
      <w:r w:rsidR="000C01B9">
        <w:t>’</w:t>
      </w:r>
      <w:r>
        <w:t>ADN (</w:t>
      </w:r>
      <w:r w:rsidR="00F87256">
        <w:t>7.2.5.3 ;</w:t>
      </w:r>
      <w:r w:rsidRPr="00F04181">
        <w:t xml:space="preserve"> 7.2.5.4 </w:t>
      </w:r>
      <w:r>
        <w:t>et</w:t>
      </w:r>
      <w:r w:rsidRPr="00F04181">
        <w:t xml:space="preserve"> 1.1.4.6</w:t>
      </w:r>
      <w:r>
        <w:t xml:space="preserve"> entre autres</w:t>
      </w:r>
      <w:r w:rsidRPr="00F04181">
        <w:t xml:space="preserve">), </w:t>
      </w:r>
      <w:r>
        <w:t>il faut reconnaître qu</w:t>
      </w:r>
      <w:r w:rsidR="000C01B9">
        <w:t>’</w:t>
      </w:r>
      <w:r>
        <w:t xml:space="preserve">un moins grand nombre de mouvements ferait baisser les risques associés à ces opérations. </w:t>
      </w:r>
    </w:p>
    <w:p w:rsidR="00B95304" w:rsidRPr="00F04181" w:rsidRDefault="00B95304" w:rsidP="00B95304">
      <w:pPr>
        <w:pStyle w:val="SingleTxtG"/>
      </w:pPr>
      <w:r w:rsidRPr="00F04181">
        <w:t>5.</w:t>
      </w:r>
      <w:r w:rsidRPr="00F04181">
        <w:tab/>
      </w:r>
      <w:r>
        <w:t>Le mélange de cargaisons à bord des barges a pour effet de réduire significativement la circulation des barges dans nos ports et sur nos voies navigables intérieures</w:t>
      </w:r>
      <w:r w:rsidR="003D3232">
        <w:t> ;</w:t>
      </w:r>
      <w:r>
        <w:t xml:space="preserve"> il permet de réduire les </w:t>
      </w:r>
      <w:r w:rsidRPr="00275188">
        <w:t>files d</w:t>
      </w:r>
      <w:r w:rsidR="000C01B9">
        <w:t>’</w:t>
      </w:r>
      <w:r w:rsidRPr="00275188">
        <w:t>attente pour</w:t>
      </w:r>
      <w:r>
        <w:t xml:space="preserve"> les installations de chargement et par conséquent aussi les activités d</w:t>
      </w:r>
      <w:r w:rsidR="000C01B9">
        <w:t>’</w:t>
      </w:r>
      <w:r>
        <w:t>amarrage et d</w:t>
      </w:r>
      <w:r w:rsidR="000C01B9">
        <w:t>’</w:t>
      </w:r>
      <w:r>
        <w:t>appareillage, réduisant d</w:t>
      </w:r>
      <w:r w:rsidR="000C01B9">
        <w:t>’</w:t>
      </w:r>
      <w:r>
        <w:t xml:space="preserve">autant les risques associés à ces opérations. </w:t>
      </w:r>
    </w:p>
    <w:p w:rsidR="00B95304" w:rsidRPr="001C7579" w:rsidRDefault="00B95304" w:rsidP="000C01B9">
      <w:pPr>
        <w:pStyle w:val="H23G"/>
      </w:pPr>
      <w:r>
        <w:tab/>
      </w:r>
      <w:r>
        <w:tab/>
        <w:t>Avantages pour le public − incidences de portée mondiale :</w:t>
      </w:r>
      <w:r w:rsidRPr="00F04181">
        <w:t xml:space="preserve"> </w:t>
      </w:r>
      <w:r w:rsidR="00F057A8">
        <w:t>l</w:t>
      </w:r>
      <w:r>
        <w:t>es </w:t>
      </w:r>
      <w:r w:rsidR="000C01B9">
        <w:t>émissions de gaz</w:t>
      </w:r>
      <w:r w:rsidR="000C01B9">
        <w:br/>
      </w:r>
      <w:r>
        <w:t xml:space="preserve">à effet de serre et les changements climatiques ont des conséquences directes </w:t>
      </w:r>
      <w:r w:rsidRPr="00123394">
        <w:t>sur l</w:t>
      </w:r>
      <w:r w:rsidR="000C01B9">
        <w:t>’</w:t>
      </w:r>
      <w:r w:rsidRPr="00123394">
        <w:t>élévation de la température mondiale.</w:t>
      </w:r>
      <w:r>
        <w:t xml:space="preserve"> Réduct</w:t>
      </w:r>
      <w:r w:rsidR="000C01B9">
        <w:t>ion significative des émissions</w:t>
      </w:r>
      <w:r w:rsidR="000C01B9">
        <w:br/>
      </w:r>
      <w:r>
        <w:t xml:space="preserve">de gaz à effet de </w:t>
      </w:r>
      <w:r w:rsidR="00F87256">
        <w:t>serre</w:t>
      </w:r>
    </w:p>
    <w:p w:rsidR="00B95304" w:rsidRPr="001C7579" w:rsidRDefault="00F87256" w:rsidP="00B95304">
      <w:pPr>
        <w:pStyle w:val="SingleTxtG"/>
      </w:pPr>
      <w:r>
        <w:t>6.</w:t>
      </w:r>
      <w:r>
        <w:tab/>
        <w:t>(« CO</w:t>
      </w:r>
      <w:r w:rsidRPr="00F87256">
        <w:rPr>
          <w:vertAlign w:val="subscript"/>
        </w:rPr>
        <w:t>2</w:t>
      </w:r>
      <w:r>
        <w:t>/CH</w:t>
      </w:r>
      <w:r w:rsidRPr="00F87256">
        <w:rPr>
          <w:vertAlign w:val="subscript"/>
        </w:rPr>
        <w:t>4</w:t>
      </w:r>
      <w:r>
        <w:t> :</w:t>
      </w:r>
      <w:r w:rsidR="00B95304" w:rsidRPr="001C7579">
        <w:t xml:space="preserve"> CO</w:t>
      </w:r>
      <w:r w:rsidR="00B95304" w:rsidRPr="00F87256">
        <w:rPr>
          <w:vertAlign w:val="subscript"/>
        </w:rPr>
        <w:t>2</w:t>
      </w:r>
      <w:r w:rsidR="00B95304" w:rsidRPr="001C7579">
        <w:t xml:space="preserve"> </w:t>
      </w:r>
      <w:r>
        <w:t>−</w:t>
      </w:r>
      <w:r w:rsidR="00B95304" w:rsidRPr="001C7579">
        <w:t xml:space="preserve"> Augmentation des émissions de CO</w:t>
      </w:r>
      <w:r w:rsidR="00B95304" w:rsidRPr="00F87256">
        <w:rPr>
          <w:vertAlign w:val="subscript"/>
        </w:rPr>
        <w:t xml:space="preserve">2 </w:t>
      </w:r>
      <w:r w:rsidR="00B95304" w:rsidRPr="001C7579">
        <w:t>d</w:t>
      </w:r>
      <w:r w:rsidR="000C01B9">
        <w:t>’</w:t>
      </w:r>
      <w:r w:rsidR="00B95304" w:rsidRPr="001C7579">
        <w:t>origine anthropique dans l</w:t>
      </w:r>
      <w:r w:rsidR="000C01B9">
        <w:t>’</w:t>
      </w:r>
      <w:r w:rsidR="00B95304" w:rsidRPr="001C7579">
        <w:t>atmosphère, avec une aggravation consécutive des GES et du réchauffement climatique. Changements climatiques, directement responsables, avec d</w:t>
      </w:r>
      <w:r w:rsidR="000C01B9">
        <w:t>’</w:t>
      </w:r>
      <w:r w:rsidR="00B95304" w:rsidRPr="001C7579">
        <w:t>autres facteurs, de l</w:t>
      </w:r>
      <w:r w:rsidR="000C01B9">
        <w:t>’</w:t>
      </w:r>
      <w:r w:rsidR="00B95304" w:rsidRPr="001C7579">
        <w:t>élévation de la température mondiale. CH</w:t>
      </w:r>
      <w:r w:rsidR="00B95304" w:rsidRPr="00F87256">
        <w:rPr>
          <w:vertAlign w:val="subscript"/>
        </w:rPr>
        <w:t>4</w:t>
      </w:r>
      <w:r w:rsidR="00B95304" w:rsidRPr="001C7579">
        <w:t xml:space="preserve"> </w:t>
      </w:r>
      <w:r>
        <w:t>−</w:t>
      </w:r>
      <w:r w:rsidR="00B95304" w:rsidRPr="001C7579">
        <w:t xml:space="preserve"> mêmes effets que le CO</w:t>
      </w:r>
      <w:r w:rsidR="00B95304" w:rsidRPr="00F87256">
        <w:rPr>
          <w:vertAlign w:val="subscript"/>
        </w:rPr>
        <w:t>2</w:t>
      </w:r>
      <w:r w:rsidR="00B95304" w:rsidRPr="001C7579">
        <w:t>, mais avec 25</w:t>
      </w:r>
      <w:r>
        <w:t> </w:t>
      </w:r>
      <w:r w:rsidR="00B95304" w:rsidRPr="001C7579">
        <w:t>fois plus de risque de production de GES qu</w:t>
      </w:r>
      <w:r w:rsidR="000C01B9">
        <w:t>’</w:t>
      </w:r>
      <w:r w:rsidR="00B95304" w:rsidRPr="001C7579">
        <w:t>avec le CO</w:t>
      </w:r>
      <w:r w:rsidR="00B95304" w:rsidRPr="00F87256">
        <w:rPr>
          <w:vertAlign w:val="subscript"/>
        </w:rPr>
        <w:t>2</w:t>
      </w:r>
      <w:r w:rsidR="00B95304" w:rsidRPr="001C7579">
        <w:t xml:space="preserve"> sur un siècle.</w:t>
      </w:r>
      <w:r>
        <w:t> »</w:t>
      </w:r>
      <w:r w:rsidR="00B95304" w:rsidRPr="001B51EC">
        <w:rPr>
          <w:rStyle w:val="FootnoteReference"/>
        </w:rPr>
        <w:footnoteReference w:id="19"/>
      </w:r>
      <w:r>
        <w:t>.</w:t>
      </w:r>
    </w:p>
    <w:p w:rsidR="00B95304" w:rsidRPr="001C7579" w:rsidRDefault="00B95304" w:rsidP="000C01B9">
      <w:pPr>
        <w:pStyle w:val="H23G"/>
      </w:pPr>
      <w:r w:rsidRPr="001C7579">
        <w:tab/>
      </w:r>
      <w:r w:rsidRPr="001C7579">
        <w:tab/>
        <w:t xml:space="preserve">Avantages pour le public </w:t>
      </w:r>
      <w:r>
        <w:t>−</w:t>
      </w:r>
      <w:r w:rsidRPr="001C7579">
        <w:t xml:space="preserve"> incide</w:t>
      </w:r>
      <w:r>
        <w:t>nces de portée locale/régionale :</w:t>
      </w:r>
      <w:r w:rsidRPr="001C7579">
        <w:t xml:space="preserve"> réduction significative de la pollution</w:t>
      </w:r>
      <w:r w:rsidR="00F87256">
        <w:t xml:space="preserve"> atmosphérique</w:t>
      </w:r>
    </w:p>
    <w:p w:rsidR="00B95304" w:rsidRPr="00F04181" w:rsidRDefault="00F87256" w:rsidP="00B95304">
      <w:pPr>
        <w:pStyle w:val="SingleTxtG"/>
      </w:pPr>
      <w:r>
        <w:t>7.</w:t>
      </w:r>
      <w:r>
        <w:tab/>
        <w:t>(« SO</w:t>
      </w:r>
      <w:r w:rsidRPr="00F87256">
        <w:rPr>
          <w:vertAlign w:val="subscript"/>
        </w:rPr>
        <w:t>x</w:t>
      </w:r>
      <w:r>
        <w:t xml:space="preserve"> −</w:t>
      </w:r>
      <w:r w:rsidR="00B95304" w:rsidRPr="001C7579">
        <w:t xml:space="preserve"> Impact local/régional. Le SO</w:t>
      </w:r>
      <w:r w:rsidR="00B95304" w:rsidRPr="00F87256">
        <w:rPr>
          <w:vertAlign w:val="subscript"/>
        </w:rPr>
        <w:t xml:space="preserve">2 </w:t>
      </w:r>
      <w:r w:rsidR="00B95304" w:rsidRPr="001C7579">
        <w:t>contribue aux dépôts acides qui affectent à leur tour la qualité des sols et de l</w:t>
      </w:r>
      <w:r w:rsidR="000C01B9">
        <w:t>’</w:t>
      </w:r>
      <w:r w:rsidR="00B95304" w:rsidRPr="001C7579">
        <w:t>eau. Les émissions d</w:t>
      </w:r>
      <w:r w:rsidR="000C01B9">
        <w:t>’</w:t>
      </w:r>
      <w:r w:rsidR="00B95304" w:rsidRPr="001C7579">
        <w:t>oxyde de soufre (SO</w:t>
      </w:r>
      <w:r w:rsidR="00B95304" w:rsidRPr="00F87256">
        <w:rPr>
          <w:vertAlign w:val="subscript"/>
        </w:rPr>
        <w:t>x</w:t>
      </w:r>
      <w:r w:rsidR="00B95304" w:rsidRPr="001C7579">
        <w:t>) sont connues comme précurseurs de la formation</w:t>
      </w:r>
      <w:r w:rsidR="003D3232">
        <w:t xml:space="preserve"> </w:t>
      </w:r>
      <w:r w:rsidR="00B95304" w:rsidRPr="001C7579">
        <w:t>de particules. Les NO</w:t>
      </w:r>
      <w:r w:rsidR="00B95304" w:rsidRPr="00F87256">
        <w:rPr>
          <w:vertAlign w:val="subscript"/>
        </w:rPr>
        <w:t>x</w:t>
      </w:r>
      <w:r w:rsidR="00B95304" w:rsidRPr="001C7579">
        <w:t xml:space="preserve"> réagissent avec l</w:t>
      </w:r>
      <w:r w:rsidR="000C01B9">
        <w:t>’</w:t>
      </w:r>
      <w:r w:rsidR="00B95304" w:rsidRPr="001C7579">
        <w:t>ammoniac pour former de la vapeur d</w:t>
      </w:r>
      <w:r w:rsidR="000C01B9">
        <w:t>’</w:t>
      </w:r>
      <w:r w:rsidR="00B95304" w:rsidRPr="001C7579">
        <w:t>acide nitrique et des particules qui peuvent pénétrer en profondeur dans les tissus pulmonaires sensibles et les endommager, causant des décès prématurés dans les cas extrêmes. Sous l</w:t>
      </w:r>
      <w:r w:rsidR="000C01B9">
        <w:t>’</w:t>
      </w:r>
      <w:r w:rsidR="00B95304" w:rsidRPr="001C7579">
        <w:t>effet de la lumière solaire, à partir de la réaction avec les composés organiques volatils, l</w:t>
      </w:r>
      <w:r w:rsidR="000C01B9">
        <w:t>’</w:t>
      </w:r>
      <w:r w:rsidR="00B95304" w:rsidRPr="001C7579">
        <w:t>ozone peut engendrer des effets nocifs pour la santé, dont des dégâts aux tissus pulmonaires et une diminution de la fonction pulmonaire parmi les membres fragiles des populations, comme les enfants, les personnes âgées et les asthmatiques. L</w:t>
      </w:r>
      <w:r w:rsidR="000C01B9">
        <w:t>’</w:t>
      </w:r>
      <w:r w:rsidR="00B95304" w:rsidRPr="001C7579">
        <w:t>ozone peut être transporté par l</w:t>
      </w:r>
      <w:r w:rsidR="000C01B9">
        <w:t>’</w:t>
      </w:r>
      <w:r w:rsidR="00B95304" w:rsidRPr="001C7579">
        <w:t>action du vent et avoir des conséquences sur la santé humaine loin de sa source.</w:t>
      </w:r>
      <w:r>
        <w:t> »</w:t>
      </w:r>
      <w:r w:rsidR="00B95304" w:rsidRPr="001B51EC">
        <w:rPr>
          <w:rStyle w:val="FootnoteReference"/>
        </w:rPr>
        <w:footnoteReference w:id="20"/>
      </w:r>
      <w:r w:rsidR="00B82CB3">
        <w:t>.</w:t>
      </w:r>
    </w:p>
    <w:p w:rsidR="00B95304" w:rsidRPr="00F04181" w:rsidRDefault="00B95304" w:rsidP="00B95304">
      <w:pPr>
        <w:pStyle w:val="SingleTxtG"/>
      </w:pPr>
      <w:r w:rsidRPr="00F04181">
        <w:t>8.</w:t>
      </w:r>
      <w:r w:rsidRPr="00F04181">
        <w:tab/>
      </w:r>
      <w:r>
        <w:t>Il convient cependant de noter qu</w:t>
      </w:r>
      <w:r w:rsidR="000C01B9">
        <w:t>’</w:t>
      </w:r>
      <w:r>
        <w:t>il existe des incertitudes en ce qui concerne le calcul des émissions provenant des transports, comme l</w:t>
      </w:r>
      <w:r w:rsidR="000C01B9">
        <w:t>’</w:t>
      </w:r>
      <w:r>
        <w:t xml:space="preserve">indique la TNO (Organisation néerlandaise pour la recherche scientifique </w:t>
      </w:r>
      <w:r w:rsidRPr="00123394">
        <w:t>appliquée) dans une</w:t>
      </w:r>
      <w:r>
        <w:t xml:space="preserve"> publication parue le 7</w:t>
      </w:r>
      <w:r w:rsidR="00F87256">
        <w:t> </w:t>
      </w:r>
      <w:r>
        <w:t>août 2017</w:t>
      </w:r>
      <w:r w:rsidRPr="001B51EC">
        <w:rPr>
          <w:rStyle w:val="FootnoteReference"/>
        </w:rPr>
        <w:footnoteReference w:id="21"/>
      </w:r>
      <w:r>
        <w:t>.</w:t>
      </w:r>
      <w:r w:rsidRPr="00F04181">
        <w:t xml:space="preserve"> </w:t>
      </w:r>
    </w:p>
    <w:p w:rsidR="00B95304" w:rsidRPr="00F04181" w:rsidRDefault="00B95304" w:rsidP="000C01B9">
      <w:pPr>
        <w:pStyle w:val="H23G"/>
      </w:pPr>
      <w:r w:rsidRPr="00F04181">
        <w:tab/>
      </w:r>
      <w:r w:rsidRPr="00F04181">
        <w:tab/>
      </w:r>
      <w:r>
        <w:t xml:space="preserve">Réduction substantielle des émissions de </w:t>
      </w:r>
      <w:r w:rsidRPr="00F04181">
        <w:t>NO</w:t>
      </w:r>
      <w:r w:rsidRPr="00A04FD6">
        <w:rPr>
          <w:b w:val="0"/>
          <w:vertAlign w:val="subscript"/>
        </w:rPr>
        <w:t>x</w:t>
      </w:r>
      <w:r w:rsidRPr="00F04181">
        <w:t xml:space="preserve">, </w:t>
      </w:r>
      <w:r>
        <w:t>de SO</w:t>
      </w:r>
      <w:r w:rsidRPr="00A04FD6">
        <w:rPr>
          <w:b w:val="0"/>
          <w:vertAlign w:val="subscript"/>
        </w:rPr>
        <w:t>x</w:t>
      </w:r>
      <w:r>
        <w:t xml:space="preserve"> et de particules </w:t>
      </w:r>
      <w:r w:rsidR="000C01B9">
        <w:t>(PM)</w:t>
      </w:r>
      <w:r w:rsidR="000C01B9">
        <w:br/>
      </w:r>
      <w:r>
        <w:t>d</w:t>
      </w:r>
      <w:r w:rsidR="000C01B9">
        <w:t>’</w:t>
      </w:r>
      <w:r>
        <w:t>ores et déjà obtenue</w:t>
      </w:r>
      <w:r w:rsidR="00F6533D">
        <w:t> :</w:t>
      </w:r>
      <w:r>
        <w:t xml:space="preserve"> écologisation de l</w:t>
      </w:r>
      <w:r w:rsidR="000C01B9">
        <w:t>’</w:t>
      </w:r>
      <w:r>
        <w:t>industrie des transports</w:t>
      </w:r>
    </w:p>
    <w:p w:rsidR="00B95304" w:rsidRPr="00F04181" w:rsidRDefault="00B95304" w:rsidP="00B95304">
      <w:pPr>
        <w:pStyle w:val="SingleTxtG"/>
      </w:pPr>
      <w:r w:rsidRPr="00F04181">
        <w:t>9.</w:t>
      </w:r>
      <w:r w:rsidRPr="00F04181">
        <w:tab/>
      </w:r>
      <w:r>
        <w:t>En accord avec les préceptes responsables de ce secteur des transports, nous obtenons grâce au mélange de cargaisons une réduction substantielle des émissions nocives dans l</w:t>
      </w:r>
      <w:r w:rsidR="000C01B9">
        <w:t>’</w:t>
      </w:r>
      <w:r>
        <w:t xml:space="preserve">atmosphère. </w:t>
      </w:r>
    </w:p>
    <w:p w:rsidR="00B95304" w:rsidRPr="00F04181" w:rsidRDefault="00B95304" w:rsidP="00B95304">
      <w:pPr>
        <w:pStyle w:val="SingleTxtG"/>
      </w:pPr>
      <w:r w:rsidRPr="00F04181">
        <w:t>10.</w:t>
      </w:r>
      <w:r w:rsidRPr="00F04181">
        <w:tab/>
      </w:r>
      <w:r w:rsidRPr="0046611D">
        <w:t>Optimisation des installations à terre et avantages inhérents</w:t>
      </w:r>
      <w:r w:rsidR="00F87256">
        <w:t xml:space="preserve"> pour la sécurité :</w:t>
      </w:r>
    </w:p>
    <w:p w:rsidR="00B95304" w:rsidRPr="00F04181" w:rsidRDefault="00B95304" w:rsidP="00B95304">
      <w:pPr>
        <w:pStyle w:val="SingleTxtG"/>
        <w:ind w:firstLine="567"/>
      </w:pPr>
      <w:r w:rsidRPr="00F04181">
        <w:t>a)</w:t>
      </w:r>
      <w:r w:rsidRPr="00F04181">
        <w:tab/>
      </w:r>
      <w:r>
        <w:t>Différents terminaux traitent différents produits ; les produits ne sont malheureusement pas tous situés sur un même site ;</w:t>
      </w:r>
    </w:p>
    <w:p w:rsidR="00B95304" w:rsidRPr="00F04181" w:rsidRDefault="00B95304" w:rsidP="00B95304">
      <w:pPr>
        <w:pStyle w:val="SingleTxtG"/>
        <w:ind w:firstLine="567"/>
      </w:pPr>
      <w:r w:rsidRPr="00F04181">
        <w:t>b)</w:t>
      </w:r>
      <w:r w:rsidRPr="00F04181">
        <w:tab/>
        <w:t>Diff</w:t>
      </w:r>
      <w:r>
        <w:t>érentes raffineries produisent des produits différents selon les matières dont elles sont alimentées et en fonction de leurs installations ;</w:t>
      </w:r>
    </w:p>
    <w:p w:rsidR="00B95304" w:rsidRPr="00F04181" w:rsidRDefault="00B95304" w:rsidP="00B95304">
      <w:pPr>
        <w:pStyle w:val="SingleTxtG"/>
        <w:ind w:firstLine="567"/>
      </w:pPr>
      <w:r w:rsidRPr="00F04181">
        <w:t>c)</w:t>
      </w:r>
      <w:r w:rsidRPr="00F04181">
        <w:tab/>
      </w:r>
      <w:r>
        <w:t>La plupart des barges ont une capacité de chargement moindre que les citernes à terre.</w:t>
      </w:r>
    </w:p>
    <w:p w:rsidR="00B95304" w:rsidRPr="00F04181" w:rsidRDefault="00B95304" w:rsidP="00B95304">
      <w:pPr>
        <w:pStyle w:val="HChG"/>
      </w:pPr>
      <w:r>
        <w:br w:type="page"/>
      </w:r>
      <w:r w:rsidRPr="00F04181">
        <w:t>Annexe VII</w:t>
      </w:r>
      <w:bookmarkStart w:id="4" w:name="_Hlk515612603"/>
    </w:p>
    <w:p w:rsidR="00B95304" w:rsidRPr="00F04181" w:rsidRDefault="00B95304" w:rsidP="00B95304">
      <w:pPr>
        <w:pStyle w:val="HChG"/>
      </w:pPr>
      <w:r w:rsidRPr="00F04181">
        <w:tab/>
      </w:r>
      <w:r w:rsidRPr="00F04181">
        <w:tab/>
        <w:t>Conclusion</w:t>
      </w:r>
      <w:bookmarkEnd w:id="4"/>
    </w:p>
    <w:p w:rsidR="00B95304" w:rsidRPr="00F04181" w:rsidRDefault="00B95304" w:rsidP="00B95304">
      <w:pPr>
        <w:pStyle w:val="SingleTxtG"/>
      </w:pPr>
      <w:r w:rsidRPr="00F04181">
        <w:t>1.</w:t>
      </w:r>
      <w:r w:rsidRPr="00F04181">
        <w:tab/>
      </w:r>
      <w:r>
        <w:t>Dans le respect de conditions strictes et précises, le mélange de cargaisons peut faire l</w:t>
      </w:r>
      <w:r w:rsidR="000C01B9">
        <w:t>’</w:t>
      </w:r>
      <w:r>
        <w:t>objet d</w:t>
      </w:r>
      <w:r w:rsidR="000C01B9">
        <w:t>’</w:t>
      </w:r>
      <w:r>
        <w:t>une réglementation dans le cadre de l</w:t>
      </w:r>
      <w:r w:rsidR="000C01B9">
        <w:t>’</w:t>
      </w:r>
      <w:r>
        <w:t>ADN.</w:t>
      </w:r>
    </w:p>
    <w:p w:rsidR="00B95304" w:rsidRPr="00F04181" w:rsidRDefault="00B95304" w:rsidP="00B95304">
      <w:pPr>
        <w:pStyle w:val="SingleTxtG"/>
      </w:pPr>
      <w:r w:rsidRPr="001C7579">
        <w:t>2.</w:t>
      </w:r>
      <w:r w:rsidRPr="001C7579">
        <w:tab/>
        <w:t>Le mélange de cargaisons ne doit pas être confondu avec le mélange physique, la fabrication, la formulation ou l</w:t>
      </w:r>
      <w:r w:rsidR="000C01B9">
        <w:t>’</w:t>
      </w:r>
      <w:r w:rsidRPr="001C7579">
        <w:t>élaboration, évoqués à l</w:t>
      </w:r>
      <w:r w:rsidR="000C01B9">
        <w:t>’</w:t>
      </w:r>
      <w:r w:rsidRPr="001C7579">
        <w:t>annexe V.</w:t>
      </w:r>
    </w:p>
    <w:p w:rsidR="00B95304" w:rsidRPr="00F04181" w:rsidRDefault="00B95304" w:rsidP="00B95304">
      <w:pPr>
        <w:pStyle w:val="SingleTxtG"/>
      </w:pPr>
      <w:r w:rsidRPr="00F04181">
        <w:t>3.</w:t>
      </w:r>
      <w:r w:rsidRPr="00F04181">
        <w:tab/>
      </w:r>
      <w:r>
        <w:t>L</w:t>
      </w:r>
      <w:r w:rsidR="000C01B9">
        <w:t>’</w:t>
      </w:r>
      <w:r>
        <w:t>opération doit se faire dans la transparence</w:t>
      </w:r>
      <w:r w:rsidR="003D3232">
        <w:t> ;</w:t>
      </w:r>
      <w:r>
        <w:t xml:space="preserve"> elle doit être traçable et exécutoire.</w:t>
      </w:r>
      <w:r w:rsidRPr="00F04181">
        <w:t xml:space="preserve"> </w:t>
      </w:r>
    </w:p>
    <w:p w:rsidR="00B95304" w:rsidRPr="001B51EC" w:rsidRDefault="00B95304" w:rsidP="00B95304">
      <w:pPr>
        <w:pStyle w:val="HChG"/>
        <w:rPr>
          <w:lang w:val="en-US"/>
        </w:rPr>
      </w:pPr>
      <w:r w:rsidRPr="00F92910">
        <w:rPr>
          <w:lang w:val="en-US"/>
        </w:rPr>
        <w:br w:type="page"/>
      </w:r>
      <w:r w:rsidRPr="001B51EC">
        <w:rPr>
          <w:lang w:val="en-US"/>
        </w:rPr>
        <w:t>Appendice</w:t>
      </w:r>
      <w:bookmarkStart w:id="5" w:name="_Hlk515613132"/>
    </w:p>
    <w:p w:rsidR="00B95304" w:rsidRPr="001B51EC" w:rsidRDefault="00B95304" w:rsidP="000C01B9">
      <w:pPr>
        <w:pStyle w:val="HChG"/>
        <w:rPr>
          <w:lang w:val="en-US"/>
        </w:rPr>
      </w:pPr>
      <w:r w:rsidRPr="001B51EC">
        <w:rPr>
          <w:lang w:val="en-US"/>
        </w:rPr>
        <w:tab/>
      </w:r>
      <w:r w:rsidRPr="001B51EC">
        <w:rPr>
          <w:lang w:val="en-US"/>
        </w:rPr>
        <w:tab/>
        <w:t>Letter of support from the association of Dutch seaports</w:t>
      </w:r>
    </w:p>
    <w:bookmarkEnd w:id="5"/>
    <w:p w:rsidR="00B95304" w:rsidRPr="00F04181" w:rsidRDefault="00B95304" w:rsidP="008B1198">
      <w:pPr>
        <w:ind w:left="567"/>
      </w:pPr>
      <w:r w:rsidRPr="00F04181">
        <w:rPr>
          <w:rFonts w:cs="Calibri"/>
          <w:noProof/>
          <w:lang w:eastAsia="fr-CH"/>
        </w:rPr>
        <w:drawing>
          <wp:inline distT="0" distB="0" distL="0" distR="0" wp14:anchorId="294DBD7E" wp14:editId="266B5F25">
            <wp:extent cx="5470525" cy="7045325"/>
            <wp:effectExtent l="0" t="0" r="0" b="0"/>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0525" cy="7045325"/>
                    </a:xfrm>
                    <a:prstGeom prst="rect">
                      <a:avLst/>
                    </a:prstGeom>
                    <a:noFill/>
                    <a:ln>
                      <a:noFill/>
                    </a:ln>
                  </pic:spPr>
                </pic:pic>
              </a:graphicData>
            </a:graphic>
          </wp:inline>
        </w:drawing>
      </w:r>
    </w:p>
    <w:p w:rsidR="00B95304" w:rsidRPr="00F04181" w:rsidRDefault="00B95304" w:rsidP="000923CD">
      <w:pPr>
        <w:ind w:left="567"/>
      </w:pPr>
      <w:r w:rsidRPr="00F04181">
        <w:rPr>
          <w:rFonts w:cs="Calibri"/>
          <w:noProof/>
          <w:lang w:eastAsia="fr-CH"/>
        </w:rPr>
        <w:drawing>
          <wp:inline distT="0" distB="0" distL="0" distR="0" wp14:anchorId="002DD627" wp14:editId="797D431F">
            <wp:extent cx="5560695" cy="3277235"/>
            <wp:effectExtent l="0" t="0" r="0" b="0"/>
            <wp:docPr id="1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0695" cy="3277235"/>
                    </a:xfrm>
                    <a:prstGeom prst="rect">
                      <a:avLst/>
                    </a:prstGeom>
                    <a:noFill/>
                    <a:ln>
                      <a:noFill/>
                    </a:ln>
                  </pic:spPr>
                </pic:pic>
              </a:graphicData>
            </a:graphic>
          </wp:inline>
        </w:drawing>
      </w:r>
    </w:p>
    <w:p w:rsidR="00340752" w:rsidRPr="000C01B9" w:rsidRDefault="000C01B9" w:rsidP="000C01B9">
      <w:pPr>
        <w:pStyle w:val="SingleTxtG"/>
        <w:spacing w:before="240" w:after="0"/>
        <w:jc w:val="center"/>
        <w:rPr>
          <w:u w:val="single"/>
        </w:rPr>
      </w:pPr>
      <w:r>
        <w:rPr>
          <w:u w:val="single"/>
        </w:rPr>
        <w:tab/>
      </w:r>
      <w:r>
        <w:rPr>
          <w:u w:val="single"/>
        </w:rPr>
        <w:tab/>
      </w:r>
      <w:r>
        <w:rPr>
          <w:u w:val="single"/>
        </w:rPr>
        <w:tab/>
      </w:r>
    </w:p>
    <w:sectPr w:rsidR="00340752" w:rsidRPr="000C01B9" w:rsidSect="00340752">
      <w:headerReference w:type="even" r:id="rId21"/>
      <w:headerReference w:type="default" r:id="rId22"/>
      <w:footerReference w:type="even" r:id="rId23"/>
      <w:footerReference w:type="default" r:id="rId24"/>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6C67" w:rsidRDefault="00366C67" w:rsidP="00F95C08">
      <w:pPr>
        <w:spacing w:line="240" w:lineRule="auto"/>
      </w:pPr>
    </w:p>
  </w:endnote>
  <w:endnote w:type="continuationSeparator" w:id="0">
    <w:p w:rsidR="00366C67" w:rsidRPr="00AC3823" w:rsidRDefault="00366C67" w:rsidP="00AC3823">
      <w:pPr>
        <w:pStyle w:val="Footer"/>
      </w:pPr>
    </w:p>
  </w:endnote>
  <w:endnote w:type="continuationNotice" w:id="1">
    <w:p w:rsidR="00366C67" w:rsidRDefault="00366C6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C96" w:rsidRPr="00210C96" w:rsidRDefault="00210C96" w:rsidP="00210C96">
    <w:pPr>
      <w:pStyle w:val="Footer"/>
      <w:tabs>
        <w:tab w:val="right" w:pos="9638"/>
      </w:tabs>
    </w:pPr>
    <w:r w:rsidRPr="00210C96">
      <w:rPr>
        <w:b/>
        <w:sz w:val="18"/>
      </w:rPr>
      <w:fldChar w:fldCharType="begin"/>
    </w:r>
    <w:r w:rsidRPr="00210C96">
      <w:rPr>
        <w:b/>
        <w:sz w:val="18"/>
      </w:rPr>
      <w:instrText xml:space="preserve"> PAGE  \* MERGEFORMAT </w:instrText>
    </w:r>
    <w:r w:rsidRPr="00210C96">
      <w:rPr>
        <w:b/>
        <w:sz w:val="18"/>
      </w:rPr>
      <w:fldChar w:fldCharType="separate"/>
    </w:r>
    <w:r w:rsidR="002F5431">
      <w:rPr>
        <w:b/>
        <w:noProof/>
        <w:sz w:val="18"/>
      </w:rPr>
      <w:t>2</w:t>
    </w:r>
    <w:r w:rsidRPr="00210C96">
      <w:rPr>
        <w:b/>
        <w:sz w:val="18"/>
      </w:rPr>
      <w:fldChar w:fldCharType="end"/>
    </w:r>
    <w:r>
      <w:rPr>
        <w:b/>
        <w:sz w:val="18"/>
      </w:rPr>
      <w:tab/>
    </w:r>
    <w:r>
      <w:t>GE.18-09594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C96" w:rsidRPr="00210C96" w:rsidRDefault="00210C96" w:rsidP="00210C96">
    <w:pPr>
      <w:pStyle w:val="Footer"/>
      <w:tabs>
        <w:tab w:val="right" w:pos="9638"/>
      </w:tabs>
      <w:rPr>
        <w:b/>
        <w:sz w:val="18"/>
      </w:rPr>
    </w:pPr>
    <w:r>
      <w:t>GE.18-09594</w:t>
    </w:r>
    <w:r>
      <w:tab/>
    </w:r>
    <w:r w:rsidRPr="00210C96">
      <w:rPr>
        <w:b/>
        <w:sz w:val="18"/>
      </w:rPr>
      <w:fldChar w:fldCharType="begin"/>
    </w:r>
    <w:r w:rsidRPr="00210C96">
      <w:rPr>
        <w:b/>
        <w:sz w:val="18"/>
      </w:rPr>
      <w:instrText xml:space="preserve"> PAGE  \* MERGEFORMAT </w:instrText>
    </w:r>
    <w:r w:rsidRPr="00210C96">
      <w:rPr>
        <w:b/>
        <w:sz w:val="18"/>
      </w:rPr>
      <w:fldChar w:fldCharType="separate"/>
    </w:r>
    <w:r w:rsidR="002F5431">
      <w:rPr>
        <w:b/>
        <w:noProof/>
        <w:sz w:val="18"/>
      </w:rPr>
      <w:t>7</w:t>
    </w:r>
    <w:r w:rsidRPr="00210C9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20FA" w:rsidRPr="00210C96" w:rsidRDefault="00210C96" w:rsidP="00210C96">
    <w:pPr>
      <w:pStyle w:val="Footer"/>
      <w:spacing w:before="120"/>
      <w:rPr>
        <w:sz w:val="20"/>
      </w:rPr>
    </w:pPr>
    <w:r>
      <w:rPr>
        <w:sz w:val="20"/>
      </w:rPr>
      <w:t>GE.</w:t>
    </w:r>
    <w:r w:rsidR="007F20FA">
      <w:rPr>
        <w:noProof/>
        <w:lang w:eastAsia="fr-CH"/>
      </w:rPr>
      <w:drawing>
        <wp:anchor distT="0" distB="0" distL="114300" distR="114300" simplePos="0" relativeHeight="251657216"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18-09594  (F)</w:t>
    </w:r>
    <w:r w:rsidR="00C1138C">
      <w:rPr>
        <w:sz w:val="20"/>
      </w:rPr>
      <w:t xml:space="preserve">    200618    12</w:t>
    </w:r>
    <w:r>
      <w:rPr>
        <w:sz w:val="20"/>
      </w:rPr>
      <w:t>0718</w:t>
    </w:r>
    <w:r>
      <w:rPr>
        <w:sz w:val="20"/>
      </w:rPr>
      <w:br/>
    </w:r>
    <w:r w:rsidRPr="00210C96">
      <w:rPr>
        <w:rFonts w:ascii="C39T30Lfz" w:hAnsi="C39T30Lfz"/>
        <w:sz w:val="56"/>
      </w:rPr>
      <w:t></w:t>
    </w:r>
    <w:r w:rsidRPr="00210C96">
      <w:rPr>
        <w:rFonts w:ascii="C39T30Lfz" w:hAnsi="C39T30Lfz"/>
        <w:sz w:val="56"/>
      </w:rPr>
      <w:t></w:t>
    </w:r>
    <w:r w:rsidRPr="00210C96">
      <w:rPr>
        <w:rFonts w:ascii="C39T30Lfz" w:hAnsi="C39T30Lfz"/>
        <w:sz w:val="56"/>
      </w:rPr>
      <w:t></w:t>
    </w:r>
    <w:r w:rsidRPr="00210C96">
      <w:rPr>
        <w:rFonts w:ascii="C39T30Lfz" w:hAnsi="C39T30Lfz"/>
        <w:sz w:val="56"/>
      </w:rPr>
      <w:t></w:t>
    </w:r>
    <w:r w:rsidRPr="00210C96">
      <w:rPr>
        <w:rFonts w:ascii="C39T30Lfz" w:hAnsi="C39T30Lfz"/>
        <w:sz w:val="56"/>
      </w:rPr>
      <w:t></w:t>
    </w:r>
    <w:r w:rsidRPr="00210C96">
      <w:rPr>
        <w:rFonts w:ascii="C39T30Lfz" w:hAnsi="C39T30Lfz"/>
        <w:sz w:val="56"/>
      </w:rPr>
      <w:t></w:t>
    </w:r>
    <w:r w:rsidRPr="00210C96">
      <w:rPr>
        <w:rFonts w:ascii="C39T30Lfz" w:hAnsi="C39T30Lfz"/>
        <w:sz w:val="56"/>
      </w:rPr>
      <w:t></w:t>
    </w:r>
    <w:r w:rsidRPr="00210C96">
      <w:rPr>
        <w:rFonts w:ascii="C39T30Lfz" w:hAnsi="C39T30Lfz"/>
        <w:sz w:val="56"/>
      </w:rPr>
      <w:t></w:t>
    </w:r>
    <w:r w:rsidRPr="00210C96">
      <w:rPr>
        <w:rFonts w:ascii="C39T30Lfz" w:hAnsi="C39T30Lfz"/>
        <w:sz w:val="56"/>
      </w:rPr>
      <w:t></w:t>
    </w:r>
    <w:r>
      <w:rPr>
        <w:noProof/>
        <w:sz w:val="20"/>
        <w:lang w:eastAsia="fr-CH"/>
      </w:rPr>
      <w:drawing>
        <wp:anchor distT="0" distB="0" distL="114300" distR="114300" simplePos="0" relativeHeight="251654144"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15/AC.2/2018/39&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15/AC.2/2018/39&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7D9" w:rsidRPr="00BB27D9" w:rsidRDefault="00BB27D9" w:rsidP="00BB27D9">
    <w:pPr>
      <w:pStyle w:val="Footer"/>
    </w:pPr>
    <w:r>
      <w:rPr>
        <w:noProof/>
        <w:lang w:eastAsia="fr-CH"/>
      </w:rPr>
      <mc:AlternateContent>
        <mc:Choice Requires="wps">
          <w:drawing>
            <wp:anchor distT="0" distB="0" distL="114300" distR="114300" simplePos="0" relativeHeight="251661312"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BB27D9" w:rsidRPr="00210C96" w:rsidRDefault="00BB27D9" w:rsidP="00BB27D9">
                          <w:pPr>
                            <w:pStyle w:val="Footer"/>
                            <w:tabs>
                              <w:tab w:val="right" w:pos="9638"/>
                            </w:tabs>
                          </w:pPr>
                          <w:r w:rsidRPr="00210C96">
                            <w:rPr>
                              <w:b/>
                              <w:sz w:val="18"/>
                            </w:rPr>
                            <w:fldChar w:fldCharType="begin"/>
                          </w:r>
                          <w:r w:rsidRPr="00210C96">
                            <w:rPr>
                              <w:b/>
                              <w:sz w:val="18"/>
                            </w:rPr>
                            <w:instrText xml:space="preserve"> PAGE  \* MERGEFORMAT </w:instrText>
                          </w:r>
                          <w:r w:rsidRPr="00210C96">
                            <w:rPr>
                              <w:b/>
                              <w:sz w:val="18"/>
                            </w:rPr>
                            <w:fldChar w:fldCharType="separate"/>
                          </w:r>
                          <w:r w:rsidR="002F5431">
                            <w:rPr>
                              <w:b/>
                              <w:noProof/>
                              <w:sz w:val="18"/>
                            </w:rPr>
                            <w:t>8</w:t>
                          </w:r>
                          <w:r w:rsidRPr="00210C96">
                            <w:rPr>
                              <w:b/>
                              <w:sz w:val="18"/>
                            </w:rPr>
                            <w:fldChar w:fldCharType="end"/>
                          </w:r>
                          <w:r>
                            <w:rPr>
                              <w:b/>
                              <w:sz w:val="18"/>
                            </w:rPr>
                            <w:tab/>
                          </w:r>
                          <w:r>
                            <w:t>GE.18-09594</w:t>
                          </w:r>
                        </w:p>
                        <w:p w:rsidR="00BB27D9" w:rsidRDefault="00BB27D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7" o:spid="_x0000_s1028" type="#_x0000_t202" style="position:absolute;margin-left:-34pt;margin-top:0;width:17pt;height:481.9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" fillcolor="#4f81bd [3204]" stroked="f" strokeweight=".5pt">
              <v:fill opacity="0"/>
              <v:stroke joinstyle="round"/>
              <v:textbox style="layout-flow:vertical" inset="0,0,0,0">
                <w:txbxContent>
                  <w:p w:rsidR="00BB27D9" w:rsidRPr="00210C96" w:rsidRDefault="00BB27D9" w:rsidP="00BB27D9">
                    <w:pPr>
                      <w:pStyle w:val="Footer"/>
                      <w:tabs>
                        <w:tab w:val="right" w:pos="9638"/>
                      </w:tabs>
                    </w:pPr>
                    <w:r w:rsidRPr="00210C96">
                      <w:rPr>
                        <w:b/>
                        <w:sz w:val="18"/>
                      </w:rPr>
                      <w:fldChar w:fldCharType="begin"/>
                    </w:r>
                    <w:r w:rsidRPr="00210C96">
                      <w:rPr>
                        <w:b/>
                        <w:sz w:val="18"/>
                      </w:rPr>
                      <w:instrText xml:space="preserve"> PAGE  \* MERGEFORMAT </w:instrText>
                    </w:r>
                    <w:r w:rsidRPr="00210C96">
                      <w:rPr>
                        <w:b/>
                        <w:sz w:val="18"/>
                      </w:rPr>
                      <w:fldChar w:fldCharType="separate"/>
                    </w:r>
                    <w:r w:rsidR="002F5431">
                      <w:rPr>
                        <w:b/>
                        <w:noProof/>
                        <w:sz w:val="18"/>
                      </w:rPr>
                      <w:t>8</w:t>
                    </w:r>
                    <w:r w:rsidRPr="00210C96">
                      <w:rPr>
                        <w:b/>
                        <w:sz w:val="18"/>
                      </w:rPr>
                      <w:fldChar w:fldCharType="end"/>
                    </w:r>
                    <w:r>
                      <w:rPr>
                        <w:b/>
                        <w:sz w:val="18"/>
                      </w:rPr>
                      <w:tab/>
                    </w:r>
                    <w:r>
                      <w:t>GE.18-09594</w:t>
                    </w:r>
                  </w:p>
                  <w:p w:rsidR="00BB27D9" w:rsidRDefault="00BB27D9"/>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7D9" w:rsidRPr="00BB27D9" w:rsidRDefault="00BB27D9" w:rsidP="00BB27D9">
    <w:pPr>
      <w:pStyle w:val="Footer"/>
    </w:pPr>
    <w:r>
      <w:rPr>
        <w:noProof/>
        <w:lang w:eastAsia="fr-CH"/>
      </w:rPr>
      <mc:AlternateContent>
        <mc:Choice Requires="wps">
          <w:drawing>
            <wp:anchor distT="0" distB="0" distL="114300" distR="114300" simplePos="0" relativeHeight="251659264"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BB27D9" w:rsidRPr="00210C96" w:rsidRDefault="00BB27D9" w:rsidP="00BB27D9">
                          <w:pPr>
                            <w:pStyle w:val="Footer"/>
                            <w:tabs>
                              <w:tab w:val="right" w:pos="9638"/>
                            </w:tabs>
                            <w:rPr>
                              <w:b/>
                              <w:sz w:val="18"/>
                            </w:rPr>
                          </w:pPr>
                          <w:r>
                            <w:t>GE.18-09594</w:t>
                          </w:r>
                          <w:r>
                            <w:tab/>
                          </w:r>
                          <w:r w:rsidRPr="00210C96">
                            <w:rPr>
                              <w:b/>
                              <w:sz w:val="18"/>
                            </w:rPr>
                            <w:fldChar w:fldCharType="begin"/>
                          </w:r>
                          <w:r w:rsidRPr="00210C96">
                            <w:rPr>
                              <w:b/>
                              <w:sz w:val="18"/>
                            </w:rPr>
                            <w:instrText xml:space="preserve"> PAGE  \* MERGEFORMAT </w:instrText>
                          </w:r>
                          <w:r w:rsidRPr="00210C96">
                            <w:rPr>
                              <w:b/>
                              <w:sz w:val="18"/>
                            </w:rPr>
                            <w:fldChar w:fldCharType="separate"/>
                          </w:r>
                          <w:r w:rsidR="004968E9">
                            <w:rPr>
                              <w:b/>
                              <w:noProof/>
                              <w:sz w:val="18"/>
                            </w:rPr>
                            <w:t>17</w:t>
                          </w:r>
                          <w:r w:rsidRPr="00210C96">
                            <w:rPr>
                              <w:b/>
                              <w:sz w:val="18"/>
                            </w:rPr>
                            <w:fldChar w:fldCharType="end"/>
                          </w:r>
                        </w:p>
                        <w:p w:rsidR="00BB27D9" w:rsidRDefault="00BB27D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5" o:spid="_x0000_s1029" type="#_x0000_t202" style="position:absolute;margin-left:-34pt;margin-top:0;width:17pt;height:481.9pt;z-index:2516592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" fillcolor="#4f81bd [3204]" stroked="f" strokeweight=".5pt">
              <v:fill opacity="0"/>
              <v:stroke joinstyle="round"/>
              <v:textbox style="layout-flow:vertical" inset="0,0,0,0">
                <w:txbxContent>
                  <w:p w:rsidR="00BB27D9" w:rsidRPr="00210C96" w:rsidRDefault="00BB27D9" w:rsidP="00BB27D9">
                    <w:pPr>
                      <w:pStyle w:val="Footer"/>
                      <w:tabs>
                        <w:tab w:val="right" w:pos="9638"/>
                      </w:tabs>
                      <w:rPr>
                        <w:b/>
                        <w:sz w:val="18"/>
                      </w:rPr>
                    </w:pPr>
                    <w:r>
                      <w:t>GE.18-09594</w:t>
                    </w:r>
                    <w:r>
                      <w:tab/>
                    </w:r>
                    <w:r w:rsidRPr="00210C96">
                      <w:rPr>
                        <w:b/>
                        <w:sz w:val="18"/>
                      </w:rPr>
                      <w:fldChar w:fldCharType="begin"/>
                    </w:r>
                    <w:r w:rsidRPr="00210C96">
                      <w:rPr>
                        <w:b/>
                        <w:sz w:val="18"/>
                      </w:rPr>
                      <w:instrText xml:space="preserve"> PAGE  \* MERGEFORMAT </w:instrText>
                    </w:r>
                    <w:r w:rsidRPr="00210C96">
                      <w:rPr>
                        <w:b/>
                        <w:sz w:val="18"/>
                      </w:rPr>
                      <w:fldChar w:fldCharType="separate"/>
                    </w:r>
                    <w:r w:rsidR="004968E9">
                      <w:rPr>
                        <w:b/>
                        <w:noProof/>
                        <w:sz w:val="18"/>
                      </w:rPr>
                      <w:t>17</w:t>
                    </w:r>
                    <w:r w:rsidRPr="00210C96">
                      <w:rPr>
                        <w:b/>
                        <w:sz w:val="18"/>
                      </w:rPr>
                      <w:fldChar w:fldCharType="end"/>
                    </w:r>
                  </w:p>
                  <w:p w:rsidR="00BB27D9" w:rsidRDefault="00BB27D9"/>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0752" w:rsidRPr="00340752" w:rsidRDefault="00340752" w:rsidP="00340752">
    <w:pPr>
      <w:pStyle w:val="Footer"/>
      <w:tabs>
        <w:tab w:val="right" w:pos="9638"/>
      </w:tabs>
      <w:rPr>
        <w:b/>
        <w:sz w:val="18"/>
      </w:rPr>
    </w:pPr>
    <w:r>
      <w:t>GE.</w:t>
    </w:r>
    <w:r w:rsidRPr="00340752">
      <w:t>18</w:t>
    </w:r>
    <w:r>
      <w:t>-</w:t>
    </w:r>
    <w:r w:rsidRPr="00340752">
      <w:t>09594</w:t>
    </w:r>
    <w:r>
      <w:tab/>
    </w:r>
    <w:r>
      <w:rPr>
        <w:b/>
        <w:sz w:val="18"/>
      </w:rPr>
      <w:fldChar w:fldCharType="begin"/>
    </w:r>
    <w:r>
      <w:rPr>
        <w:b/>
        <w:sz w:val="18"/>
      </w:rPr>
      <w:instrText xml:space="preserve"> PAGE  \* MERGEFORMAT </w:instrText>
    </w:r>
    <w:r>
      <w:rPr>
        <w:b/>
        <w:sz w:val="18"/>
      </w:rPr>
      <w:fldChar w:fldCharType="separate"/>
    </w:r>
    <w:r w:rsidR="000E548F">
      <w:rPr>
        <w:b/>
        <w:noProof/>
        <w:sz w:val="18"/>
      </w:rPr>
      <w:t>16</w:t>
    </w:r>
    <w:r>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0752" w:rsidRPr="00340752" w:rsidRDefault="00340752" w:rsidP="00340752">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2F5431">
      <w:rPr>
        <w:b/>
        <w:noProof/>
        <w:sz w:val="18"/>
      </w:rPr>
      <w:t>9</w:t>
    </w:r>
    <w:r>
      <w:rPr>
        <w:b/>
        <w:sz w:val="18"/>
      </w:rPr>
      <w:fldChar w:fldCharType="end"/>
    </w:r>
    <w:r>
      <w:rPr>
        <w:b/>
        <w:sz w:val="18"/>
      </w:rPr>
      <w:tab/>
    </w:r>
    <w:r w:rsidRPr="00340752">
      <w:t>GE.18-09594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6C67" w:rsidRPr="00AC3823" w:rsidRDefault="00366C67" w:rsidP="00AC3823">
      <w:pPr>
        <w:pStyle w:val="Footer"/>
        <w:tabs>
          <w:tab w:val="right" w:pos="2155"/>
        </w:tabs>
        <w:spacing w:after="80" w:line="240" w:lineRule="atLeast"/>
        <w:ind w:left="680"/>
        <w:rPr>
          <w:u w:val="single"/>
        </w:rPr>
      </w:pPr>
      <w:r>
        <w:rPr>
          <w:u w:val="single"/>
        </w:rPr>
        <w:tab/>
      </w:r>
    </w:p>
  </w:footnote>
  <w:footnote w:type="continuationSeparator" w:id="0">
    <w:p w:rsidR="00366C67" w:rsidRPr="00AC3823" w:rsidRDefault="00366C67" w:rsidP="00AC3823">
      <w:pPr>
        <w:pStyle w:val="Footer"/>
        <w:tabs>
          <w:tab w:val="right" w:pos="2155"/>
        </w:tabs>
        <w:spacing w:after="80" w:line="240" w:lineRule="atLeast"/>
        <w:ind w:left="680"/>
        <w:rPr>
          <w:u w:val="single"/>
        </w:rPr>
      </w:pPr>
      <w:r>
        <w:rPr>
          <w:u w:val="single"/>
        </w:rPr>
        <w:tab/>
      </w:r>
    </w:p>
  </w:footnote>
  <w:footnote w:type="continuationNotice" w:id="1">
    <w:p w:rsidR="00366C67" w:rsidRPr="00AC3823" w:rsidRDefault="00366C67">
      <w:pPr>
        <w:spacing w:line="240" w:lineRule="auto"/>
        <w:rPr>
          <w:sz w:val="2"/>
          <w:szCs w:val="2"/>
        </w:rPr>
      </w:pPr>
    </w:p>
  </w:footnote>
  <w:footnote w:id="2">
    <w:p w:rsidR="00581B1E" w:rsidRPr="003A7D20" w:rsidRDefault="00581B1E" w:rsidP="00581B1E">
      <w:pPr>
        <w:pStyle w:val="FootnoteText"/>
      </w:pPr>
      <w:r>
        <w:rPr>
          <w:lang w:val="fr-FR"/>
        </w:rPr>
        <w:tab/>
        <w:t>*</w:t>
      </w:r>
      <w:r>
        <w:rPr>
          <w:lang w:val="fr-FR"/>
        </w:rPr>
        <w:tab/>
        <w:t xml:space="preserve">Diffusé en langue allemande par la Commission centrale pour la navigation du Rhin sous la cote </w:t>
      </w:r>
      <w:r w:rsidR="006D23C8">
        <w:rPr>
          <w:lang w:val="fr-FR"/>
        </w:rPr>
        <w:t>CCNR-</w:t>
      </w:r>
      <w:r>
        <w:rPr>
          <w:lang w:val="fr-FR"/>
        </w:rPr>
        <w:t>ZKR/ADN/WP.15/AC.2/2018/39</w:t>
      </w:r>
      <w:r w:rsidR="00387264">
        <w:rPr>
          <w:lang w:val="fr-FR"/>
        </w:rPr>
        <w:t>.</w:t>
      </w:r>
    </w:p>
  </w:footnote>
  <w:footnote w:id="3">
    <w:p w:rsidR="00581B1E" w:rsidRPr="003A7D20" w:rsidRDefault="00581B1E" w:rsidP="00581B1E">
      <w:pPr>
        <w:pStyle w:val="FootnoteText"/>
      </w:pPr>
      <w:r>
        <w:rPr>
          <w:lang w:val="fr-FR"/>
        </w:rPr>
        <w:tab/>
        <w:t>**</w:t>
      </w:r>
      <w:r>
        <w:rPr>
          <w:lang w:val="fr-FR"/>
        </w:rPr>
        <w:tab/>
        <w:t>Conformément au programme de travail du Comité des transports intérieurs pour 2018-</w:t>
      </w:r>
      <w:r w:rsidR="009233E1">
        <w:rPr>
          <w:lang w:val="fr-FR"/>
        </w:rPr>
        <w:t>2019 (ECE/TRANS/2018/21/Add.1 (</w:t>
      </w:r>
      <w:r>
        <w:rPr>
          <w:lang w:val="fr-FR"/>
        </w:rPr>
        <w:t>9.3)).</w:t>
      </w:r>
    </w:p>
  </w:footnote>
  <w:footnote w:id="4">
    <w:p w:rsidR="00581B1E" w:rsidRDefault="00581B1E" w:rsidP="00581B1E">
      <w:pPr>
        <w:pStyle w:val="FootnoteText"/>
      </w:pPr>
      <w:r>
        <w:tab/>
      </w:r>
      <w:r w:rsidRPr="001B51EC">
        <w:rPr>
          <w:rStyle w:val="FootnoteReference"/>
        </w:rPr>
        <w:footnoteRef/>
      </w:r>
      <w:r>
        <w:t xml:space="preserve"> </w:t>
      </w:r>
      <w:r>
        <w:tab/>
        <w:t>Livre blanc de la CEE sur l</w:t>
      </w:r>
      <w:r w:rsidR="00D123AC">
        <w:t>’</w:t>
      </w:r>
      <w:r>
        <w:t>efficacité et la viabilité du transport par voie navigable en Europe,</w:t>
      </w:r>
      <w:r w:rsidRPr="00A035F0">
        <w:t xml:space="preserve"> http://www.unece.org/fileadmin/DAM/trans/main/sc3/publications/WhitePaper_Inland_Water_Transport_2011e.pdf</w:t>
      </w:r>
      <w:r w:rsidR="009233E1">
        <w:t>.</w:t>
      </w:r>
    </w:p>
  </w:footnote>
  <w:footnote w:id="5">
    <w:p w:rsidR="00581B1E" w:rsidRPr="007B4C4A" w:rsidRDefault="00581B1E" w:rsidP="00581B1E">
      <w:pPr>
        <w:pStyle w:val="FootnoteText"/>
      </w:pPr>
      <w:r>
        <w:tab/>
      </w:r>
      <w:r w:rsidRPr="001B51EC">
        <w:rPr>
          <w:rStyle w:val="FootnoteReference"/>
        </w:rPr>
        <w:footnoteRef/>
      </w:r>
      <w:r w:rsidRPr="00C23191">
        <w:rPr>
          <w:iCs/>
          <w:sz w:val="20"/>
          <w:szCs w:val="22"/>
        </w:rPr>
        <w:t xml:space="preserve"> </w:t>
      </w:r>
      <w:r w:rsidR="009233E1">
        <w:tab/>
        <w:t>p. </w:t>
      </w:r>
      <w:r>
        <w:t>5</w:t>
      </w:r>
      <w:r w:rsidR="009D45A1">
        <w:t>4</w:t>
      </w:r>
      <w:r>
        <w:t xml:space="preserve">, points 185 et </w:t>
      </w:r>
      <w:r w:rsidRPr="00A035F0">
        <w:t xml:space="preserve">186 </w:t>
      </w:r>
      <w:r>
        <w:t>du Livre blanc</w:t>
      </w:r>
      <w:r w:rsidR="009233E1">
        <w:t>.</w:t>
      </w:r>
    </w:p>
  </w:footnote>
  <w:footnote w:id="6">
    <w:p w:rsidR="00581B1E" w:rsidRPr="007B4C4A" w:rsidRDefault="00581B1E" w:rsidP="00581B1E">
      <w:pPr>
        <w:pStyle w:val="FootnoteText"/>
      </w:pPr>
      <w:r>
        <w:tab/>
      </w:r>
      <w:r w:rsidRPr="001B51EC">
        <w:rPr>
          <w:rStyle w:val="FootnoteReference"/>
        </w:rPr>
        <w:footnoteRef/>
      </w:r>
      <w:r w:rsidRPr="006B144F">
        <w:t xml:space="preserve"> </w:t>
      </w:r>
      <w:r>
        <w:tab/>
        <w:t>p.</w:t>
      </w:r>
      <w:r w:rsidR="009233E1">
        <w:t> </w:t>
      </w:r>
      <w:r>
        <w:t>5</w:t>
      </w:r>
      <w:r w:rsidR="00480A3D">
        <w:t>5 et 56</w:t>
      </w:r>
      <w:r>
        <w:t>, points</w:t>
      </w:r>
      <w:r w:rsidRPr="006B144F">
        <w:t xml:space="preserve"> 192</w:t>
      </w:r>
      <w:r>
        <w:t xml:space="preserve"> et </w:t>
      </w:r>
      <w:r w:rsidRPr="006B144F">
        <w:t xml:space="preserve">196 </w:t>
      </w:r>
      <w:r>
        <w:t>du Livre blanc</w:t>
      </w:r>
      <w:r w:rsidR="009233E1">
        <w:t>.</w:t>
      </w:r>
    </w:p>
  </w:footnote>
  <w:footnote w:id="7">
    <w:p w:rsidR="00581B1E" w:rsidRDefault="00581B1E" w:rsidP="00581B1E">
      <w:pPr>
        <w:pStyle w:val="FootnoteText"/>
      </w:pPr>
      <w:r>
        <w:tab/>
      </w:r>
      <w:r w:rsidRPr="001B51EC">
        <w:rPr>
          <w:rStyle w:val="FootnoteReference"/>
        </w:rPr>
        <w:footnoteRef/>
      </w:r>
      <w:r>
        <w:t xml:space="preserve"> </w:t>
      </w:r>
      <w:r>
        <w:tab/>
      </w:r>
      <w:r w:rsidRPr="006B144F">
        <w:t>p</w:t>
      </w:r>
      <w:r w:rsidRPr="00A035F0">
        <w:t>.</w:t>
      </w:r>
      <w:r w:rsidR="006D5422">
        <w:t> </w:t>
      </w:r>
      <w:r w:rsidR="00B74F10">
        <w:t>57</w:t>
      </w:r>
      <w:r w:rsidRPr="00A035F0">
        <w:t xml:space="preserve">, </w:t>
      </w:r>
      <w:r w:rsidR="006D5422">
        <w:t>al. </w:t>
      </w:r>
      <w:r>
        <w:t>c) du Livre blanc</w:t>
      </w:r>
      <w:r w:rsidR="008329E5">
        <w:t>.</w:t>
      </w:r>
    </w:p>
  </w:footnote>
  <w:footnote w:id="8">
    <w:p w:rsidR="00581B1E" w:rsidRPr="00C53521" w:rsidRDefault="00581B1E" w:rsidP="00581B1E">
      <w:pPr>
        <w:pStyle w:val="FootnoteText"/>
      </w:pPr>
      <w:r>
        <w:tab/>
      </w:r>
      <w:r w:rsidRPr="001B51EC">
        <w:rPr>
          <w:rStyle w:val="FootnoteReference"/>
        </w:rPr>
        <w:footnoteRef/>
      </w:r>
      <w:r>
        <w:t xml:space="preserve"> </w:t>
      </w:r>
      <w:r>
        <w:tab/>
      </w:r>
      <w:r w:rsidRPr="006B144F">
        <w:t>p</w:t>
      </w:r>
      <w:r w:rsidRPr="00A035F0">
        <w:t>.</w:t>
      </w:r>
      <w:r w:rsidR="006D5422">
        <w:t> </w:t>
      </w:r>
      <w:r w:rsidR="00B74F10">
        <w:t>56 et 57</w:t>
      </w:r>
      <w:r>
        <w:t>, point</w:t>
      </w:r>
      <w:r w:rsidRPr="00A035F0">
        <w:t xml:space="preserve"> 198 d) </w:t>
      </w:r>
      <w:r>
        <w:t>du Livre blanc</w:t>
      </w:r>
      <w:r w:rsidR="008329E5">
        <w:t>.</w:t>
      </w:r>
    </w:p>
  </w:footnote>
  <w:footnote w:id="9">
    <w:p w:rsidR="00581B1E" w:rsidRPr="00241754" w:rsidRDefault="00581B1E" w:rsidP="00581B1E">
      <w:pPr>
        <w:pStyle w:val="FootnoteText"/>
      </w:pPr>
      <w:r>
        <w:rPr>
          <w:lang w:val="fr-FR"/>
        </w:rPr>
        <w:tab/>
      </w:r>
      <w:r w:rsidRPr="001B51EC">
        <w:rPr>
          <w:rStyle w:val="FootnoteReference"/>
        </w:rPr>
        <w:footnoteRef/>
      </w:r>
      <w:r>
        <w:rPr>
          <w:lang w:val="fr-FR"/>
        </w:rPr>
        <w:tab/>
      </w:r>
      <w:hyperlink r:id="rId1" w:history="1">
        <w:r w:rsidRPr="00241754">
          <w:t>ECE/TRANS/SC.3/189</w:t>
        </w:r>
      </w:hyperlink>
      <w:r>
        <w:t>, accessible à l</w:t>
      </w:r>
      <w:r w:rsidR="00D123AC">
        <w:t>’</w:t>
      </w:r>
      <w:r>
        <w:t>adresse :</w:t>
      </w:r>
      <w:r>
        <w:rPr>
          <w:lang w:val="fr-FR"/>
        </w:rPr>
        <w:t xml:space="preserve"> </w:t>
      </w:r>
      <w:r w:rsidRPr="00241754">
        <w:t>https://www.unece.org/fileadmin/DAM/trans/doc/</w:t>
      </w:r>
      <w:r w:rsidR="006D5422">
        <w:t xml:space="preserve"> </w:t>
      </w:r>
      <w:r w:rsidRPr="00241754">
        <w:t>2017/sc3wp3/ECE-TRANS-SC3-WP3-2017-inf_09e.pdf</w:t>
      </w:r>
      <w:r>
        <w:rPr>
          <w:lang w:val="fr-FR"/>
        </w:rPr>
        <w:t xml:space="preserve"> (anglais seulement)</w:t>
      </w:r>
      <w:r w:rsidR="008329E5">
        <w:rPr>
          <w:lang w:val="fr-FR"/>
        </w:rPr>
        <w:t>.</w:t>
      </w:r>
    </w:p>
  </w:footnote>
  <w:footnote w:id="10">
    <w:p w:rsidR="00581B1E" w:rsidRPr="006B144F" w:rsidRDefault="00581B1E" w:rsidP="00581B1E">
      <w:pPr>
        <w:pStyle w:val="FootnoteText"/>
      </w:pPr>
      <w:r>
        <w:rPr>
          <w:lang w:val="fr-FR"/>
        </w:rPr>
        <w:tab/>
      </w:r>
      <w:r w:rsidRPr="001B51EC">
        <w:rPr>
          <w:rStyle w:val="FootnoteReference"/>
        </w:rPr>
        <w:footnoteRef/>
      </w:r>
      <w:r>
        <w:rPr>
          <w:lang w:val="fr-FR"/>
        </w:rPr>
        <w:t xml:space="preserve"> </w:t>
      </w:r>
      <w:r>
        <w:rPr>
          <w:lang w:val="fr-FR"/>
        </w:rPr>
        <w:tab/>
        <w:t>ECE/TRANS/SC.3/189</w:t>
      </w:r>
      <w:r w:rsidR="009C1CB3">
        <w:rPr>
          <w:lang w:val="fr-FR"/>
        </w:rPr>
        <w:t> ;</w:t>
      </w:r>
      <w:r>
        <w:rPr>
          <w:lang w:val="fr-FR"/>
        </w:rPr>
        <w:t xml:space="preserve"> p.</w:t>
      </w:r>
      <w:r w:rsidR="006D5422">
        <w:rPr>
          <w:lang w:val="fr-FR"/>
        </w:rPr>
        <w:t> </w:t>
      </w:r>
      <w:r w:rsidR="00B74F10">
        <w:rPr>
          <w:lang w:val="fr-FR"/>
        </w:rPr>
        <w:t xml:space="preserve">2 et </w:t>
      </w:r>
      <w:r>
        <w:rPr>
          <w:lang w:val="fr-FR"/>
        </w:rPr>
        <w:t>3, point 10</w:t>
      </w:r>
      <w:r w:rsidR="006D5422">
        <w:rPr>
          <w:lang w:val="fr-FR"/>
        </w:rPr>
        <w:t>.</w:t>
      </w:r>
    </w:p>
  </w:footnote>
  <w:footnote w:id="11">
    <w:p w:rsidR="00581B1E" w:rsidRPr="00943654" w:rsidRDefault="00581B1E" w:rsidP="00581B1E">
      <w:pPr>
        <w:pStyle w:val="FootnoteText"/>
      </w:pPr>
      <w:r>
        <w:rPr>
          <w:lang w:val="fr-FR"/>
        </w:rPr>
        <w:tab/>
      </w:r>
      <w:r w:rsidRPr="001B51EC">
        <w:rPr>
          <w:rStyle w:val="FootnoteReference"/>
        </w:rPr>
        <w:footnoteRef/>
      </w:r>
      <w:r>
        <w:rPr>
          <w:lang w:val="fr-FR"/>
        </w:rPr>
        <w:t xml:space="preserve"> </w:t>
      </w:r>
      <w:r>
        <w:rPr>
          <w:lang w:val="fr-FR"/>
        </w:rPr>
        <w:tab/>
        <w:t>Directive 2009/28/CE du Parleme</w:t>
      </w:r>
      <w:r w:rsidR="006D5422">
        <w:rPr>
          <w:lang w:val="fr-FR"/>
        </w:rPr>
        <w:t>nt européen et du Conseil du 23 </w:t>
      </w:r>
      <w:r>
        <w:rPr>
          <w:lang w:val="fr-FR"/>
        </w:rPr>
        <w:t>avril 2009 relative à la promotion de l</w:t>
      </w:r>
      <w:r w:rsidR="00D123AC">
        <w:rPr>
          <w:lang w:val="fr-FR"/>
        </w:rPr>
        <w:t>’</w:t>
      </w:r>
      <w:r>
        <w:rPr>
          <w:lang w:val="fr-FR"/>
        </w:rPr>
        <w:t>utilisation de l</w:t>
      </w:r>
      <w:r w:rsidR="00D123AC">
        <w:rPr>
          <w:lang w:val="fr-FR"/>
        </w:rPr>
        <w:t>’</w:t>
      </w:r>
      <w:r>
        <w:rPr>
          <w:lang w:val="fr-FR"/>
        </w:rPr>
        <w:t xml:space="preserve">énergie produite à partir de sources renouvelables et modifiant puis abrogeant les </w:t>
      </w:r>
      <w:r w:rsidR="008329E5">
        <w:rPr>
          <w:lang w:val="fr-FR"/>
        </w:rPr>
        <w:t>Directive</w:t>
      </w:r>
      <w:r>
        <w:rPr>
          <w:lang w:val="fr-FR"/>
        </w:rPr>
        <w:t>s 2001/77/CE et 2003/30/CE.</w:t>
      </w:r>
    </w:p>
  </w:footnote>
  <w:footnote w:id="12">
    <w:p w:rsidR="00581B1E" w:rsidRPr="00F744A4" w:rsidRDefault="00581B1E" w:rsidP="00581B1E">
      <w:pPr>
        <w:pStyle w:val="FootnoteText"/>
      </w:pPr>
      <w:r>
        <w:tab/>
      </w:r>
      <w:r w:rsidRPr="001B51EC">
        <w:rPr>
          <w:rStyle w:val="FootnoteReference"/>
        </w:rPr>
        <w:footnoteRef/>
      </w:r>
      <w:r>
        <w:tab/>
        <w:t>Directive 2009/30/CE du Parlemen</w:t>
      </w:r>
      <w:r w:rsidR="006D5422">
        <w:t>t européen et du Conseil du 23 </w:t>
      </w:r>
      <w:r>
        <w:t xml:space="preserve">avril 2009 modifiant la </w:t>
      </w:r>
      <w:r w:rsidR="008329E5">
        <w:t>Directive</w:t>
      </w:r>
      <w:r>
        <w:t xml:space="preserve"> 98/70/CE en ce qui concerne les spécifications relatives à l</w:t>
      </w:r>
      <w:r w:rsidR="00D123AC">
        <w:t>’</w:t>
      </w:r>
      <w:r>
        <w:t>essence, au carburant diesel et aux gazoles ainsi que l</w:t>
      </w:r>
      <w:r w:rsidR="00D123AC">
        <w:t>’</w:t>
      </w:r>
      <w:r>
        <w:t>introduction d</w:t>
      </w:r>
      <w:r w:rsidR="00D123AC">
        <w:t>’</w:t>
      </w:r>
      <w:r>
        <w:t xml:space="preserve">un mécanisme permettant de surveiller et de réduire les émissions de gaz à effet de serre, modifiant la </w:t>
      </w:r>
      <w:r w:rsidR="008329E5">
        <w:t>Directive</w:t>
      </w:r>
      <w:r>
        <w:t xml:space="preserve"> 1999/32/CE du Conseil en ce qui concerne les spécifications relatives aux carburants utilisés par les bateaux de navigation intérieure et abrogeant la </w:t>
      </w:r>
      <w:r w:rsidR="008329E5">
        <w:t>D</w:t>
      </w:r>
      <w:r>
        <w:t>irective 93/12/CEE.</w:t>
      </w:r>
      <w:r w:rsidRPr="001B51EC">
        <w:t xml:space="preserve"> </w:t>
      </w:r>
    </w:p>
  </w:footnote>
  <w:footnote w:id="13">
    <w:p w:rsidR="00581B1E" w:rsidRPr="00962A6F" w:rsidRDefault="00581B1E" w:rsidP="00581B1E">
      <w:pPr>
        <w:pStyle w:val="FootnoteText"/>
      </w:pPr>
      <w:r>
        <w:tab/>
      </w:r>
      <w:r w:rsidRPr="001B51EC">
        <w:rPr>
          <w:rStyle w:val="FootnoteReference"/>
        </w:rPr>
        <w:footnoteRef/>
      </w:r>
      <w:r>
        <w:t xml:space="preserve"> </w:t>
      </w:r>
      <w:r>
        <w:tab/>
        <w:t>Voir ECE/</w:t>
      </w:r>
      <w:r w:rsidR="006D5422">
        <w:t>TRANS/WP.15/AC.2/2017/44, chap. </w:t>
      </w:r>
      <w:r w:rsidR="00061E49">
        <w:t>I, sous-sect. </w:t>
      </w:r>
      <w:r>
        <w:t>C, transmis par la FETSA avec l</w:t>
      </w:r>
      <w:r w:rsidR="00D123AC">
        <w:t>’</w:t>
      </w:r>
      <w:r>
        <w:t>appui de Fuels Europe, de l</w:t>
      </w:r>
      <w:r w:rsidR="00D123AC">
        <w:t>’</w:t>
      </w:r>
      <w:r>
        <w:t>OEB et de l</w:t>
      </w:r>
      <w:r w:rsidR="00D123AC">
        <w:t>’</w:t>
      </w:r>
      <w:r>
        <w:t xml:space="preserve">UENF. </w:t>
      </w:r>
    </w:p>
  </w:footnote>
  <w:footnote w:id="14">
    <w:p w:rsidR="00581B1E" w:rsidRPr="00C06DDE" w:rsidRDefault="00581B1E" w:rsidP="00581B1E">
      <w:pPr>
        <w:pStyle w:val="FootnoteText"/>
      </w:pPr>
      <w:r>
        <w:tab/>
      </w:r>
      <w:r w:rsidRPr="001B51EC">
        <w:rPr>
          <w:rStyle w:val="FootnoteReference"/>
        </w:rPr>
        <w:footnoteRef/>
      </w:r>
      <w:r>
        <w:t xml:space="preserve"> </w:t>
      </w:r>
      <w:r>
        <w:tab/>
        <w:t xml:space="preserve">Document informel </w:t>
      </w:r>
      <w:r w:rsidRPr="00C06DDE">
        <w:t>WP.15/AC.2/32/INF.9</w:t>
      </w:r>
      <w:r>
        <w:t xml:space="preserve"> de la trente-deuxième session, en date du 2</w:t>
      </w:r>
      <w:r w:rsidR="006D5422">
        <w:t> </w:t>
      </w:r>
      <w:r>
        <w:t>janvier</w:t>
      </w:r>
      <w:r w:rsidRPr="00C06DDE">
        <w:t xml:space="preserve"> 2018, </w:t>
      </w:r>
      <w:r>
        <w:t>Rapport de la première réunion du groupe de travail informel du mélange de cargaisons à bord des barges</w:t>
      </w:r>
      <w:r w:rsidRPr="00C06DDE">
        <w:t>, Rotterdam</w:t>
      </w:r>
      <w:r>
        <w:t>,</w:t>
      </w:r>
      <w:r w:rsidRPr="00C06DDE">
        <w:t xml:space="preserve"> </w:t>
      </w:r>
      <w:r>
        <w:t>21</w:t>
      </w:r>
      <w:r w:rsidR="006D5422">
        <w:t> </w:t>
      </w:r>
      <w:r>
        <w:t>novembre 2017.</w:t>
      </w:r>
    </w:p>
  </w:footnote>
  <w:footnote w:id="15">
    <w:p w:rsidR="00581B1E" w:rsidRPr="00364307" w:rsidRDefault="00581B1E" w:rsidP="00581B1E">
      <w:pPr>
        <w:pStyle w:val="FootnoteText"/>
      </w:pPr>
      <w:r>
        <w:tab/>
      </w:r>
      <w:r w:rsidRPr="001B51EC">
        <w:rPr>
          <w:rStyle w:val="FootnoteReference"/>
        </w:rPr>
        <w:footnoteRef/>
      </w:r>
      <w:r>
        <w:t xml:space="preserve"> </w:t>
      </w:r>
      <w:r>
        <w:tab/>
        <w:t xml:space="preserve">Voir </w:t>
      </w:r>
      <w:hyperlink r:id="rId2" w:history="1">
        <w:hyperlink r:id="rId3" w:history="1">
          <w:r w:rsidR="00E01A07" w:rsidRPr="008319D8">
            <w:rPr>
              <w:rStyle w:val="Hyperlink"/>
            </w:rPr>
            <w:t>http://www.cdni-iwt.org/wp-content/uploads/2017/03/Art_5.01en.pdf</w:t>
          </w:r>
        </w:hyperlink>
      </w:hyperlink>
      <w:r w:rsidRPr="00364307">
        <w:t xml:space="preserve">, </w:t>
      </w:r>
      <w:r>
        <w:t>a</w:t>
      </w:r>
      <w:r w:rsidRPr="00364307">
        <w:t xml:space="preserve">rticle 5.01 </w:t>
      </w:r>
      <w:r>
        <w:t xml:space="preserve">tel que modifié par la résolution </w:t>
      </w:r>
      <w:r w:rsidRPr="00364307">
        <w:t>2016-I-5</w:t>
      </w:r>
      <w:r w:rsidR="00061E49">
        <w:t>.</w:t>
      </w:r>
    </w:p>
  </w:footnote>
  <w:footnote w:id="16">
    <w:p w:rsidR="00581B1E" w:rsidRDefault="00581B1E" w:rsidP="00581B1E">
      <w:pPr>
        <w:pStyle w:val="FootnoteText"/>
      </w:pPr>
      <w:r>
        <w:rPr>
          <w:lang w:val="fr-FR"/>
        </w:rPr>
        <w:tab/>
      </w:r>
      <w:r w:rsidRPr="001B51EC">
        <w:rPr>
          <w:rStyle w:val="FootnoteReference"/>
        </w:rPr>
        <w:footnoteRef/>
      </w:r>
      <w:r>
        <w:rPr>
          <w:lang w:val="fr-FR"/>
        </w:rPr>
        <w:t xml:space="preserve"> </w:t>
      </w:r>
      <w:r>
        <w:rPr>
          <w:lang w:val="fr-FR"/>
        </w:rPr>
        <w:tab/>
        <w:t>Directive 2009/28/CE du Parleme</w:t>
      </w:r>
      <w:r w:rsidR="00061E49">
        <w:rPr>
          <w:lang w:val="fr-FR"/>
        </w:rPr>
        <w:t>nt européen et du Conseil du 23 </w:t>
      </w:r>
      <w:r>
        <w:rPr>
          <w:lang w:val="fr-FR"/>
        </w:rPr>
        <w:t>avril 2009 relative à la promotion de l</w:t>
      </w:r>
      <w:r w:rsidR="00D123AC">
        <w:rPr>
          <w:lang w:val="fr-FR"/>
        </w:rPr>
        <w:t>’</w:t>
      </w:r>
      <w:r>
        <w:rPr>
          <w:lang w:val="fr-FR"/>
        </w:rPr>
        <w:t>utilisation de l</w:t>
      </w:r>
      <w:r w:rsidR="00D123AC">
        <w:rPr>
          <w:lang w:val="fr-FR"/>
        </w:rPr>
        <w:t>’</w:t>
      </w:r>
      <w:r>
        <w:rPr>
          <w:lang w:val="fr-FR"/>
        </w:rPr>
        <w:t xml:space="preserve">énergie produite à partir de sources renouvelables et modifiant puis abrogeant les </w:t>
      </w:r>
      <w:r w:rsidR="008329E5">
        <w:rPr>
          <w:lang w:val="fr-FR"/>
        </w:rPr>
        <w:t>Directive</w:t>
      </w:r>
      <w:r>
        <w:rPr>
          <w:lang w:val="fr-FR"/>
        </w:rPr>
        <w:t>s 2001/77/CE et 2003/30/CE.</w:t>
      </w:r>
    </w:p>
  </w:footnote>
  <w:footnote w:id="17">
    <w:p w:rsidR="00B95304" w:rsidRPr="002F3BC6" w:rsidRDefault="00B95304" w:rsidP="00B95304">
      <w:pPr>
        <w:pStyle w:val="FootnoteText"/>
      </w:pPr>
      <w:r>
        <w:tab/>
      </w:r>
      <w:r w:rsidRPr="001B51EC">
        <w:rPr>
          <w:rStyle w:val="FootnoteReference"/>
        </w:rPr>
        <w:footnoteRef/>
      </w:r>
      <w:r w:rsidRPr="00972C69">
        <w:rPr>
          <w:iCs/>
          <w:szCs w:val="18"/>
        </w:rPr>
        <w:t xml:space="preserve"> </w:t>
      </w:r>
      <w:r>
        <w:tab/>
      </w:r>
      <w:r w:rsidR="00071576">
        <w:t>Publication BLG15/3 −</w:t>
      </w:r>
      <w:r w:rsidRPr="002F3BC6">
        <w:t xml:space="preserve"> </w:t>
      </w:r>
      <w:r>
        <w:t>Point</w:t>
      </w:r>
      <w:r w:rsidRPr="002F3BC6">
        <w:t xml:space="preserve"> 6.2 </w:t>
      </w:r>
      <w:r w:rsidR="00071576">
        <w:t>−</w:t>
      </w:r>
      <w:r w:rsidRPr="002F3BC6">
        <w:t xml:space="preserve"> </w:t>
      </w:r>
      <w:r>
        <w:t>Mélange physique à bord</w:t>
      </w:r>
      <w:r w:rsidRPr="002F3BC6">
        <w:t xml:space="preserve">, </w:t>
      </w:r>
      <w:r>
        <w:t>OMI</w:t>
      </w:r>
      <w:r w:rsidRPr="002F3BC6">
        <w:t xml:space="preserve">, </w:t>
      </w:r>
      <w:r w:rsidR="00071576">
        <w:t>2 </w:t>
      </w:r>
      <w:r>
        <w:t>n</w:t>
      </w:r>
      <w:r w:rsidRPr="002F3BC6">
        <w:t>ovemb</w:t>
      </w:r>
      <w:r>
        <w:t>re</w:t>
      </w:r>
      <w:r w:rsidRPr="002F3BC6">
        <w:t>, 2010.</w:t>
      </w:r>
    </w:p>
  </w:footnote>
  <w:footnote w:id="18">
    <w:p w:rsidR="00B95304" w:rsidRPr="00FE6F95" w:rsidRDefault="00B95304" w:rsidP="00B95304">
      <w:pPr>
        <w:pStyle w:val="FootnoteText"/>
        <w:rPr>
          <w:lang w:val="en-US"/>
        </w:rPr>
      </w:pPr>
      <w:r>
        <w:rPr>
          <w:rFonts w:cs="Calibri Light"/>
        </w:rPr>
        <w:tab/>
      </w:r>
      <w:r w:rsidRPr="001B51EC">
        <w:rPr>
          <w:rStyle w:val="FootnoteReference"/>
        </w:rPr>
        <w:footnoteRef/>
      </w:r>
      <w:r w:rsidRPr="00FE6F95">
        <w:rPr>
          <w:rFonts w:cs="Calibri Light"/>
          <w:lang w:val="en-US"/>
        </w:rPr>
        <w:t xml:space="preserve"> </w:t>
      </w:r>
      <w:r w:rsidRPr="00FE6F95">
        <w:rPr>
          <w:rFonts w:cs="Calibri Light"/>
          <w:lang w:val="en-US"/>
        </w:rPr>
        <w:tab/>
      </w:r>
      <w:r w:rsidRPr="00FE6F95">
        <w:rPr>
          <w:lang w:val="en-US"/>
        </w:rPr>
        <w:t>HM 66. Guidelines for the blending of liquid hydrocarbon cargoes on board tank vessels, Institut de l</w:t>
      </w:r>
      <w:r w:rsidR="00D123AC" w:rsidRPr="00FE6F95">
        <w:rPr>
          <w:lang w:val="en-US"/>
        </w:rPr>
        <w:t>’</w:t>
      </w:r>
      <w:r w:rsidRPr="00FE6F95">
        <w:rPr>
          <w:lang w:val="en-US"/>
        </w:rPr>
        <w:t>énergie, avril 2016.</w:t>
      </w:r>
    </w:p>
  </w:footnote>
  <w:footnote w:id="19">
    <w:p w:rsidR="00B95304" w:rsidRPr="00FE6F95" w:rsidRDefault="00B95304" w:rsidP="00B95304">
      <w:pPr>
        <w:pStyle w:val="FootnoteText"/>
        <w:rPr>
          <w:lang w:val="en-US"/>
        </w:rPr>
      </w:pPr>
      <w:r w:rsidRPr="00FE6F95">
        <w:rPr>
          <w:lang w:val="en-US"/>
        </w:rPr>
        <w:tab/>
      </w:r>
      <w:r w:rsidRPr="001B51EC">
        <w:rPr>
          <w:rStyle w:val="FootnoteReference"/>
        </w:rPr>
        <w:footnoteRef/>
      </w:r>
      <w:r w:rsidRPr="00FE6F95">
        <w:rPr>
          <w:lang w:val="en-US"/>
        </w:rPr>
        <w:t xml:space="preserve"> </w:t>
      </w:r>
      <w:r w:rsidRPr="00FE6F95">
        <w:rPr>
          <w:lang w:val="en-US"/>
        </w:rPr>
        <w:tab/>
        <w:t>European Maritime Safety Agency (EMSA) Publication http://www.emsa.europa.eu/main/air-pollution/download/4499/1709/23.html</w:t>
      </w:r>
    </w:p>
  </w:footnote>
  <w:footnote w:id="20">
    <w:p w:rsidR="00B95304" w:rsidRPr="001B51EC" w:rsidRDefault="00B95304" w:rsidP="00B95304">
      <w:pPr>
        <w:pStyle w:val="FootnoteText"/>
        <w:rPr>
          <w:lang w:val="en-US"/>
        </w:rPr>
      </w:pPr>
      <w:r w:rsidRPr="00FE6F95">
        <w:rPr>
          <w:lang w:val="en-US"/>
        </w:rPr>
        <w:tab/>
      </w:r>
      <w:r w:rsidRPr="001B51EC">
        <w:rPr>
          <w:rStyle w:val="FootnoteReference"/>
        </w:rPr>
        <w:footnoteRef/>
      </w:r>
      <w:r w:rsidRPr="001B51EC">
        <w:rPr>
          <w:lang w:val="en-US"/>
        </w:rPr>
        <w:t xml:space="preserve"> </w:t>
      </w:r>
      <w:r w:rsidRPr="001B51EC">
        <w:rPr>
          <w:lang w:val="en-US"/>
        </w:rPr>
        <w:tab/>
        <w:t>European Maritime Safety Agency (EMSA) Publication http://www.emsa.europa.eu/main/air-pollution/download/4499/1709/23.html</w:t>
      </w:r>
      <w:r w:rsidR="00F87256">
        <w:rPr>
          <w:lang w:val="en-US"/>
        </w:rPr>
        <w:t>.</w:t>
      </w:r>
    </w:p>
  </w:footnote>
  <w:footnote w:id="21">
    <w:p w:rsidR="00B95304" w:rsidRPr="001B51EC" w:rsidRDefault="00B95304" w:rsidP="00B95304">
      <w:pPr>
        <w:pStyle w:val="FootnoteText"/>
        <w:rPr>
          <w:lang w:val="en-US"/>
        </w:rPr>
      </w:pPr>
      <w:r w:rsidRPr="001B51EC">
        <w:rPr>
          <w:lang w:val="en-US"/>
        </w:rPr>
        <w:tab/>
      </w:r>
      <w:r w:rsidRPr="001B51EC">
        <w:rPr>
          <w:rStyle w:val="FootnoteReference"/>
        </w:rPr>
        <w:footnoteRef/>
      </w:r>
      <w:r w:rsidRPr="001B51EC">
        <w:rPr>
          <w:lang w:val="en-US"/>
        </w:rPr>
        <w:t xml:space="preserve"> </w:t>
      </w:r>
      <w:r w:rsidRPr="001B51EC">
        <w:rPr>
          <w:lang w:val="en-US"/>
        </w:rPr>
        <w:tab/>
        <w:t xml:space="preserve">TNO Report 2017 R10854 </w:t>
      </w:r>
      <w:r w:rsidR="00F87256">
        <w:rPr>
          <w:lang w:val="en-US"/>
        </w:rPr>
        <w:t>−</w:t>
      </w:r>
      <w:r w:rsidRPr="001B51EC">
        <w:rPr>
          <w:lang w:val="en-US"/>
        </w:rPr>
        <w:t xml:space="preserve"> uncertainty of the NOx, </w:t>
      </w:r>
      <w:r w:rsidR="008B1198">
        <w:rPr>
          <w:lang w:val="en-US"/>
        </w:rPr>
        <w:t>Sox, NH3, PM10, PM2.5, EC2.5 and</w:t>
      </w:r>
      <w:r w:rsidRPr="001B51EC">
        <w:rPr>
          <w:lang w:val="en-US"/>
        </w:rPr>
        <w:t xml:space="preserve"> NMVOC emissions from transport, 7 août 2017, sous le parrainage du RIVM.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C96" w:rsidRPr="00210C96" w:rsidRDefault="000E548F">
    <w:pPr>
      <w:pStyle w:val="Header"/>
    </w:pPr>
    <w:fldSimple w:instr=" TITLE  \* MERGEFORMAT ">
      <w:r>
        <w:t>ECE/TRANS/WP.15/AC.2/2018/39</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C96" w:rsidRPr="00210C96" w:rsidRDefault="000E548F" w:rsidP="00210C96">
    <w:pPr>
      <w:pStyle w:val="Header"/>
      <w:jc w:val="right"/>
    </w:pPr>
    <w:fldSimple w:instr=" TITLE  \* MERGEFORMAT ">
      <w:r>
        <w:t>ECE/TRANS/WP.15/AC.2/2018/39</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7D9" w:rsidRPr="00BB27D9" w:rsidRDefault="00BB27D9" w:rsidP="00BB27D9">
    <w:r>
      <w:rPr>
        <w:noProof/>
        <w:lang w:eastAsia="fr-CH"/>
      </w:rPr>
      <mc:AlternateContent>
        <mc:Choice Requires="wps">
          <w:drawing>
            <wp:anchor distT="0" distB="0" distL="114300" distR="114300" simplePos="0" relativeHeight="251660288"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rsidR="00BB27D9" w:rsidRPr="00210C96" w:rsidRDefault="002F5431" w:rsidP="00BB27D9">
                          <w:pPr>
                            <w:pStyle w:val="Header"/>
                          </w:pPr>
                          <w:r>
                            <w:fldChar w:fldCharType="begin"/>
                          </w:r>
                          <w:r>
                            <w:instrText xml:space="preserve"> TITLE  \* MERGEFORMAT </w:instrText>
                          </w:r>
                          <w:r>
                            <w:fldChar w:fldCharType="separate"/>
                          </w:r>
                          <w:r w:rsidR="000E548F">
                            <w:t>ECE/TRANS/WP.15/AC.2/2018/39</w:t>
                          </w:r>
                          <w:r>
                            <w:fldChar w:fldCharType="end"/>
                          </w:r>
                        </w:p>
                        <w:p w:rsidR="00BB27D9" w:rsidRDefault="00BB27D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6" o:spid="_x0000_s1026" type="#_x0000_t202" style="position:absolute;margin-left:782.35pt;margin-top:0;width:17pt;height:481.9pt;z-index:2516602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" fillcolor="#4f81bd [3204]" stroked="f" strokeweight=".5pt">
              <v:fill opacity="0"/>
              <v:path arrowok="t"/>
              <v:textbox style="layout-flow:vertical" inset="0,0,0,0">
                <w:txbxContent>
                  <w:p w:rsidR="00BB27D9" w:rsidRPr="00210C96" w:rsidRDefault="002F5431" w:rsidP="00BB27D9">
                    <w:pPr>
                      <w:pStyle w:val="Header"/>
                    </w:pPr>
                    <w:r>
                      <w:fldChar w:fldCharType="begin"/>
                    </w:r>
                    <w:r>
                      <w:instrText xml:space="preserve"> TITLE  \* MERGEFORMAT </w:instrText>
                    </w:r>
                    <w:r>
                      <w:fldChar w:fldCharType="separate"/>
                    </w:r>
                    <w:r w:rsidR="000E548F">
                      <w:t>ECE/TRANS/WP.15/AC.2/2018/39</w:t>
                    </w:r>
                    <w:r>
                      <w:fldChar w:fldCharType="end"/>
                    </w:r>
                  </w:p>
                  <w:p w:rsidR="00BB27D9" w:rsidRDefault="00BB27D9"/>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7D9" w:rsidRPr="00BB27D9" w:rsidRDefault="00BB27D9" w:rsidP="00BB27D9">
    <w:r>
      <w:rPr>
        <w:noProof/>
        <w:lang w:eastAsia="fr-CH"/>
      </w:rPr>
      <mc:AlternateContent>
        <mc:Choice Requires="wps">
          <w:drawing>
            <wp:anchor distT="0" distB="0" distL="114300" distR="114300" simplePos="0" relativeHeight="251658240"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BB27D9" w:rsidRPr="00210C96" w:rsidRDefault="002F5431" w:rsidP="00BB27D9">
                          <w:pPr>
                            <w:pStyle w:val="Header"/>
                            <w:jc w:val="right"/>
                          </w:pPr>
                          <w:r>
                            <w:fldChar w:fldCharType="begin"/>
                          </w:r>
                          <w:r>
                            <w:instrText xml:space="preserve"> TITLE  \* MERGEFORMAT </w:instrText>
                          </w:r>
                          <w:r>
                            <w:fldChar w:fldCharType="separate"/>
                          </w:r>
                          <w:r w:rsidR="000E548F">
                            <w:t>ECE/TRANS/WP.15/AC.2/2018/39</w:t>
                          </w:r>
                          <w:r>
                            <w:fldChar w:fldCharType="end"/>
                          </w:r>
                        </w:p>
                        <w:p w:rsidR="00BB27D9" w:rsidRDefault="00BB27D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 o:spid="_x0000_s1027" type="#_x0000_t202" style="position:absolute;margin-left:782.35pt;margin-top:0;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" fillcolor="#4f81bd [3204]" stroked="f" strokeweight=".5pt">
              <v:fill opacity="0"/>
              <v:stroke joinstyle="round"/>
              <v:textbox style="layout-flow:vertical" inset="0,0,0,0">
                <w:txbxContent>
                  <w:p w:rsidR="00BB27D9" w:rsidRPr="00210C96" w:rsidRDefault="002F5431" w:rsidP="00BB27D9">
                    <w:pPr>
                      <w:pStyle w:val="Header"/>
                      <w:jc w:val="right"/>
                    </w:pPr>
                    <w:r>
                      <w:fldChar w:fldCharType="begin"/>
                    </w:r>
                    <w:r>
                      <w:instrText xml:space="preserve"> TITLE  \* MERGEFORMAT </w:instrText>
                    </w:r>
                    <w:r>
                      <w:fldChar w:fldCharType="separate"/>
                    </w:r>
                    <w:r w:rsidR="000E548F">
                      <w:t>ECE/TRANS/WP.15/AC.2/2018/39</w:t>
                    </w:r>
                    <w:r>
                      <w:fldChar w:fldCharType="end"/>
                    </w:r>
                  </w:p>
                  <w:p w:rsidR="00BB27D9" w:rsidRDefault="00BB27D9"/>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0752" w:rsidRPr="00340752" w:rsidRDefault="000E548F" w:rsidP="00340752">
    <w:pPr>
      <w:pStyle w:val="Header"/>
      <w:jc w:val="right"/>
    </w:pPr>
    <w:fldSimple w:instr=" TITLE  \* MERGEFORMAT ">
      <w:r>
        <w:t>ECE/TRANS/WP.15/AC.2/2018/39</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0752" w:rsidRPr="00340752" w:rsidRDefault="000E548F" w:rsidP="00340752">
    <w:pPr>
      <w:pStyle w:val="Header"/>
    </w:pPr>
    <w:fldSimple w:instr=" TITLE  \* MERGEFORMAT ">
      <w:r>
        <w:t>ECE/TRANS/WP.15/AC.2/2018/39</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3"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8AD07B2"/>
    <w:multiLevelType w:val="hybridMultilevel"/>
    <w:tmpl w:val="2C7049BE"/>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4"/>
  </w:num>
  <w:num w:numId="2">
    <w:abstractNumId w:val="12"/>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4"/>
  </w:num>
  <w:num w:numId="15">
    <w:abstractNumId w:val="12"/>
  </w:num>
  <w:num w:numId="16">
    <w:abstractNumId w:val="10"/>
  </w:num>
  <w:num w:numId="17">
    <w:abstractNumId w:val="13"/>
  </w:num>
  <w:num w:numId="18">
    <w:abstractNumId w:val="11"/>
    <w:lvlOverride w:ilvl="0">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Override>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567"/>
  <w:hyphenationZone w:val="425"/>
  <w:evenAndOddHeaders/>
  <w:characterSpacingControl w:val="doNotCompress"/>
  <w:hdrShapeDefaults>
    <o:shapedefaults v:ext="edit" spidmax="18433"/>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C67"/>
    <w:rsid w:val="000057D1"/>
    <w:rsid w:val="00016A39"/>
    <w:rsid w:val="00017F94"/>
    <w:rsid w:val="00023842"/>
    <w:rsid w:val="000334F9"/>
    <w:rsid w:val="00045FEB"/>
    <w:rsid w:val="00061E49"/>
    <w:rsid w:val="00071576"/>
    <w:rsid w:val="00071DCF"/>
    <w:rsid w:val="0007796D"/>
    <w:rsid w:val="00091B23"/>
    <w:rsid w:val="000923CD"/>
    <w:rsid w:val="000A53A6"/>
    <w:rsid w:val="000B7790"/>
    <w:rsid w:val="000C01B9"/>
    <w:rsid w:val="000E548F"/>
    <w:rsid w:val="00111F2F"/>
    <w:rsid w:val="0014365E"/>
    <w:rsid w:val="00143C66"/>
    <w:rsid w:val="0014713E"/>
    <w:rsid w:val="00161306"/>
    <w:rsid w:val="00176178"/>
    <w:rsid w:val="00195D9F"/>
    <w:rsid w:val="001A04A2"/>
    <w:rsid w:val="001A5306"/>
    <w:rsid w:val="001D14D9"/>
    <w:rsid w:val="001E3E8D"/>
    <w:rsid w:val="001F1B0C"/>
    <w:rsid w:val="001F22D2"/>
    <w:rsid w:val="001F525A"/>
    <w:rsid w:val="00210C96"/>
    <w:rsid w:val="00223272"/>
    <w:rsid w:val="00235187"/>
    <w:rsid w:val="0024779E"/>
    <w:rsid w:val="00257168"/>
    <w:rsid w:val="002744B8"/>
    <w:rsid w:val="002832AC"/>
    <w:rsid w:val="00287BCE"/>
    <w:rsid w:val="002A5961"/>
    <w:rsid w:val="002B0454"/>
    <w:rsid w:val="002D1ECE"/>
    <w:rsid w:val="002D7C93"/>
    <w:rsid w:val="002F5431"/>
    <w:rsid w:val="00305801"/>
    <w:rsid w:val="00340752"/>
    <w:rsid w:val="003437FA"/>
    <w:rsid w:val="00366C67"/>
    <w:rsid w:val="00387264"/>
    <w:rsid w:val="003916DE"/>
    <w:rsid w:val="003D3232"/>
    <w:rsid w:val="003E46B0"/>
    <w:rsid w:val="00413736"/>
    <w:rsid w:val="00441C3B"/>
    <w:rsid w:val="00446FE5"/>
    <w:rsid w:val="00452396"/>
    <w:rsid w:val="00480A3D"/>
    <w:rsid w:val="004837D8"/>
    <w:rsid w:val="004968E9"/>
    <w:rsid w:val="004E468C"/>
    <w:rsid w:val="005505B7"/>
    <w:rsid w:val="005541E3"/>
    <w:rsid w:val="00573BE5"/>
    <w:rsid w:val="005777F8"/>
    <w:rsid w:val="00581B1E"/>
    <w:rsid w:val="00586ED3"/>
    <w:rsid w:val="00596AA9"/>
    <w:rsid w:val="005B5D9A"/>
    <w:rsid w:val="005D7211"/>
    <w:rsid w:val="005E4B1F"/>
    <w:rsid w:val="005E5548"/>
    <w:rsid w:val="006144D6"/>
    <w:rsid w:val="006A0B32"/>
    <w:rsid w:val="006D23C8"/>
    <w:rsid w:val="006D5422"/>
    <w:rsid w:val="0071601D"/>
    <w:rsid w:val="00720740"/>
    <w:rsid w:val="0075525C"/>
    <w:rsid w:val="00762413"/>
    <w:rsid w:val="00780F3D"/>
    <w:rsid w:val="00787203"/>
    <w:rsid w:val="007A5266"/>
    <w:rsid w:val="007A62E6"/>
    <w:rsid w:val="007D1EA2"/>
    <w:rsid w:val="007E6CFC"/>
    <w:rsid w:val="007F20FA"/>
    <w:rsid w:val="0080684C"/>
    <w:rsid w:val="0081166C"/>
    <w:rsid w:val="00814B7D"/>
    <w:rsid w:val="00827E3E"/>
    <w:rsid w:val="008329E5"/>
    <w:rsid w:val="00871C75"/>
    <w:rsid w:val="0087621F"/>
    <w:rsid w:val="008776DC"/>
    <w:rsid w:val="008B1198"/>
    <w:rsid w:val="008F0DB8"/>
    <w:rsid w:val="008F2F17"/>
    <w:rsid w:val="00905578"/>
    <w:rsid w:val="009233E1"/>
    <w:rsid w:val="009446C0"/>
    <w:rsid w:val="009705C8"/>
    <w:rsid w:val="009879BC"/>
    <w:rsid w:val="00990062"/>
    <w:rsid w:val="009C1CB3"/>
    <w:rsid w:val="009C1CF4"/>
    <w:rsid w:val="009D45A1"/>
    <w:rsid w:val="009F6B74"/>
    <w:rsid w:val="00A04FD6"/>
    <w:rsid w:val="00A30353"/>
    <w:rsid w:val="00A4634D"/>
    <w:rsid w:val="00AC3823"/>
    <w:rsid w:val="00AD4A49"/>
    <w:rsid w:val="00AE323C"/>
    <w:rsid w:val="00AF0CB5"/>
    <w:rsid w:val="00B00181"/>
    <w:rsid w:val="00B00B0D"/>
    <w:rsid w:val="00B17DE3"/>
    <w:rsid w:val="00B605C7"/>
    <w:rsid w:val="00B74F10"/>
    <w:rsid w:val="00B765F7"/>
    <w:rsid w:val="00B82CB3"/>
    <w:rsid w:val="00B84CE7"/>
    <w:rsid w:val="00B95304"/>
    <w:rsid w:val="00BA0CA9"/>
    <w:rsid w:val="00BA294B"/>
    <w:rsid w:val="00BB27D9"/>
    <w:rsid w:val="00C02897"/>
    <w:rsid w:val="00C04BD1"/>
    <w:rsid w:val="00C1138C"/>
    <w:rsid w:val="00C322DB"/>
    <w:rsid w:val="00C61B68"/>
    <w:rsid w:val="00C73F5A"/>
    <w:rsid w:val="00C84A42"/>
    <w:rsid w:val="00C97039"/>
    <w:rsid w:val="00CA3339"/>
    <w:rsid w:val="00CB12D2"/>
    <w:rsid w:val="00CD4FE0"/>
    <w:rsid w:val="00D123AC"/>
    <w:rsid w:val="00D128AD"/>
    <w:rsid w:val="00D33351"/>
    <w:rsid w:val="00D3439C"/>
    <w:rsid w:val="00D36A73"/>
    <w:rsid w:val="00D61F5C"/>
    <w:rsid w:val="00D83C73"/>
    <w:rsid w:val="00DA20CF"/>
    <w:rsid w:val="00DB1831"/>
    <w:rsid w:val="00DC3648"/>
    <w:rsid w:val="00DD3BFD"/>
    <w:rsid w:val="00DF6678"/>
    <w:rsid w:val="00E01A07"/>
    <w:rsid w:val="00E0299A"/>
    <w:rsid w:val="00E43785"/>
    <w:rsid w:val="00E85C74"/>
    <w:rsid w:val="00EA6547"/>
    <w:rsid w:val="00ED172D"/>
    <w:rsid w:val="00EF2E22"/>
    <w:rsid w:val="00F057A8"/>
    <w:rsid w:val="00F31887"/>
    <w:rsid w:val="00F35BAF"/>
    <w:rsid w:val="00F6533D"/>
    <w:rsid w:val="00F660DF"/>
    <w:rsid w:val="00F81355"/>
    <w:rsid w:val="00F87256"/>
    <w:rsid w:val="00F92910"/>
    <w:rsid w:val="00F94664"/>
    <w:rsid w:val="00F9573C"/>
    <w:rsid w:val="00F95C08"/>
    <w:rsid w:val="00FE1875"/>
    <w:rsid w:val="00FE2983"/>
    <w:rsid w:val="00FE6F95"/>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F7AEDED-FAB5-408E-9878-CFEA6581B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Footnote Reference/"/>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qFormat/>
    <w:rsid w:val="00016A39"/>
    <w:rPr>
      <w:rFonts w:ascii="Times New Roman" w:eastAsiaTheme="minorHAnsi" w:hAnsi="Times New Roman" w:cs="Times New Roman"/>
      <w:sz w:val="20"/>
      <w:szCs w:val="20"/>
      <w:lang w:eastAsia="en-US"/>
    </w:rPr>
  </w:style>
  <w:style w:type="paragraph" w:customStyle="1" w:styleId="Bullet1GR">
    <w:name w:val="_Bullet 1_GR"/>
    <w:basedOn w:val="Normal"/>
    <w:qFormat/>
    <w:rsid w:val="00DA20CF"/>
    <w:pPr>
      <w:numPr>
        <w:numId w:val="17"/>
      </w:numPr>
      <w:kinsoku/>
      <w:overflowPunct/>
      <w:autoSpaceDE/>
      <w:autoSpaceDN/>
      <w:adjustRightInd/>
      <w:snapToGrid/>
      <w:spacing w:after="120"/>
      <w:ind w:right="1134"/>
      <w:jc w:val="both"/>
    </w:pPr>
    <w:rPr>
      <w:rFonts w:eastAsia="Times New Roman"/>
      <w:lang w:val="ru-RU" w:eastAsia="ru-RU"/>
    </w:rPr>
  </w:style>
  <w:style w:type="table" w:customStyle="1" w:styleId="TabTxt">
    <w:name w:val="_TabTxt"/>
    <w:basedOn w:val="TableNormal"/>
    <w:rsid w:val="00DA20CF"/>
    <w:pPr>
      <w:spacing w:before="40" w:after="120" w:line="240" w:lineRule="atLeast"/>
    </w:pPr>
    <w:rPr>
      <w:rFonts w:ascii="Times New Roman" w:hAnsi="Times New Roman" w:cs="Times New Roman"/>
      <w:sz w:val="20"/>
      <w:szCs w:val="20"/>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character" w:customStyle="1" w:styleId="preferred">
    <w:name w:val="preferred"/>
    <w:basedOn w:val="DefaultParagraphFont"/>
    <w:rsid w:val="00B95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6.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undocs.org/ru/http://www.cdni-iwt.org/wp-content/uploads/2017/03/Art_5.01en.pdf" TargetMode="External"/><Relationship Id="rId2" Type="http://schemas.openxmlformats.org/officeDocument/2006/relationships/hyperlink" Target="http://www.cdni-iwt.org/wp-content/uploads/2017/03/Art_5.01en.pdf" TargetMode="External"/><Relationship Id="rId1" Type="http://schemas.openxmlformats.org/officeDocument/2006/relationships/hyperlink" Target="https://www.unece.org/fileadmin/DAM/trans/doc/2017/sc3wp3/ECE-TRANS-SC3-WP3-2017-inf_09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0FC32-4737-487D-8019-CAA8D42D3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4462</Words>
  <Characters>25435</Characters>
  <Application>Microsoft Office Word</Application>
  <DocSecurity>0</DocSecurity>
  <Lines>211</Lines>
  <Paragraphs>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ECE/TRANS/WP.15/AC.2/2018/39</vt:lpstr>
      <vt:lpstr>ECE/TRANS/WP.15/AC.2/2018/39</vt:lpstr>
    </vt:vector>
  </TitlesOfParts>
  <Company>DCM</Company>
  <LinksUpToDate>false</LinksUpToDate>
  <CharactersWithSpaces>29838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ECE/TRANS/WP.15/AC.2/2018/39</dc:title>
  <dc:subject/>
  <dc:creator>Sylvie LAMY</dc:creator>
  <cp:keywords/>
  <cp:lastModifiedBy>Caillot</cp:lastModifiedBy>
  <cp:revision>2</cp:revision>
  <cp:lastPrinted>2018-07-12T07:55:00Z</cp:lastPrinted>
  <dcterms:created xsi:type="dcterms:W3CDTF">2018-07-23T16:16:00Z</dcterms:created>
  <dcterms:modified xsi:type="dcterms:W3CDTF">2018-07-23T16:16:00Z</dcterms:modified>
</cp:coreProperties>
</file>