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0B7B3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0B7B32" w:rsidP="000B7B32">
            <w:pPr>
              <w:jc w:val="right"/>
            </w:pPr>
            <w:r w:rsidRPr="000B7B32">
              <w:rPr>
                <w:sz w:val="40"/>
              </w:rPr>
              <w:t>ECE</w:t>
            </w:r>
            <w:r>
              <w:t>/TRANS/WP.15/AC.2/2018/39</w:t>
            </w:r>
          </w:p>
        </w:tc>
      </w:tr>
      <w:tr w:rsidR="002D5AAC" w:rsidRPr="00AE2E52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0B7B32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0B7B32" w:rsidRDefault="00D6017E" w:rsidP="000B7B32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0B7B32">
              <w:rPr>
                <w:lang w:val="en-US"/>
              </w:rPr>
              <w:t xml:space="preserve"> June 2018</w:t>
            </w:r>
          </w:p>
          <w:p w:rsidR="000B7B32" w:rsidRDefault="000B7B32" w:rsidP="000B7B32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0B7B32" w:rsidRPr="008D53B6" w:rsidRDefault="000B7B32" w:rsidP="000B7B32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FF04F8" w:rsidRPr="00F31FBE" w:rsidRDefault="00FF04F8" w:rsidP="00AE2E52">
      <w:pPr>
        <w:spacing w:before="80"/>
        <w:rPr>
          <w:sz w:val="28"/>
          <w:szCs w:val="28"/>
        </w:rPr>
      </w:pPr>
      <w:r w:rsidRPr="00F31FBE">
        <w:rPr>
          <w:sz w:val="28"/>
          <w:szCs w:val="28"/>
        </w:rPr>
        <w:t>Комитет по внутреннему транспорту</w:t>
      </w:r>
    </w:p>
    <w:p w:rsidR="00FF04F8" w:rsidRPr="00F31FBE" w:rsidRDefault="00FF04F8" w:rsidP="00AE2E52">
      <w:pPr>
        <w:spacing w:before="80"/>
        <w:rPr>
          <w:b/>
          <w:sz w:val="24"/>
          <w:szCs w:val="24"/>
        </w:rPr>
      </w:pPr>
      <w:r w:rsidRPr="00F31FBE">
        <w:rPr>
          <w:b/>
          <w:bCs/>
          <w:sz w:val="24"/>
          <w:szCs w:val="24"/>
        </w:rPr>
        <w:t>Рабочая группа по перевозкам опасных грузов</w:t>
      </w:r>
    </w:p>
    <w:p w:rsidR="00FF04F8" w:rsidRPr="00F31FBE" w:rsidRDefault="00FF04F8" w:rsidP="00AE2E52">
      <w:pPr>
        <w:spacing w:before="80" w:after="120"/>
        <w:rPr>
          <w:b/>
          <w:bCs/>
        </w:rPr>
      </w:pPr>
      <w:r w:rsidRPr="00F31FBE">
        <w:rPr>
          <w:b/>
          <w:bCs/>
        </w:rPr>
        <w:t>Совместное совещание экспертов по Правилам, прилагаемым</w:t>
      </w:r>
      <w:r w:rsidRPr="00F31FBE">
        <w:rPr>
          <w:b/>
          <w:bCs/>
        </w:rPr>
        <w:br/>
        <w:t>к Европейскому соглашению о международной перевозке</w:t>
      </w:r>
      <w:r w:rsidRPr="00F31FBE">
        <w:rPr>
          <w:b/>
          <w:bCs/>
        </w:rPr>
        <w:br/>
        <w:t xml:space="preserve">опасных грузов по внутренним водным путям (ВОПОГ) </w:t>
      </w:r>
      <w:r w:rsidRPr="00F31FBE">
        <w:rPr>
          <w:b/>
          <w:bCs/>
        </w:rPr>
        <w:br/>
        <w:t>(Комитет по вопросам безопасности ВОПОГ)</w:t>
      </w:r>
    </w:p>
    <w:p w:rsidR="00FF04F8" w:rsidRPr="00F31FBE" w:rsidRDefault="00FF04F8" w:rsidP="00FF04F8">
      <w:pPr>
        <w:spacing w:before="120"/>
        <w:rPr>
          <w:b/>
          <w:bCs/>
        </w:rPr>
      </w:pPr>
      <w:r w:rsidRPr="00F31FBE">
        <w:rPr>
          <w:b/>
          <w:bCs/>
        </w:rPr>
        <w:t>Тридцать третья сессия</w:t>
      </w:r>
    </w:p>
    <w:p w:rsidR="00FF04F8" w:rsidRPr="00F31FBE" w:rsidRDefault="00FF04F8" w:rsidP="00FF04F8">
      <w:r w:rsidRPr="00F31FBE">
        <w:t>Женева, 27–31 августа 2018 года</w:t>
      </w:r>
      <w:r w:rsidRPr="00F31FBE">
        <w:rPr>
          <w:b/>
          <w:bCs/>
        </w:rPr>
        <w:br/>
      </w:r>
      <w:r w:rsidRPr="00F31FBE">
        <w:t>Пункт 5 предварительной повестки дня</w:t>
      </w:r>
    </w:p>
    <w:p w:rsidR="00FF04F8" w:rsidRPr="00F31FBE" w:rsidRDefault="00FF04F8" w:rsidP="00FF04F8">
      <w:pPr>
        <w:rPr>
          <w:b/>
          <w:bCs/>
        </w:rPr>
      </w:pPr>
      <w:r w:rsidRPr="00F31FBE">
        <w:rPr>
          <w:b/>
          <w:bCs/>
        </w:rPr>
        <w:t>Доклады неофициальных рабочих групп</w:t>
      </w:r>
    </w:p>
    <w:p w:rsidR="00FF04F8" w:rsidRPr="00F31FBE" w:rsidRDefault="00FF04F8" w:rsidP="00FF04F8">
      <w:pPr>
        <w:pStyle w:val="HChG"/>
        <w:rPr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</w:r>
      <w:r w:rsidRPr="00F31FBE">
        <w:rPr>
          <w:bCs/>
          <w:lang w:val="ru-RU"/>
        </w:rPr>
        <w:t>Рабочее резюме итогов работы второго совещания неофициальной рабочей группы по вопросу погрузки поверх на баржах</w:t>
      </w:r>
    </w:p>
    <w:p w:rsidR="00FF04F8" w:rsidRPr="00F31FBE" w:rsidRDefault="00FF04F8" w:rsidP="00AE2E52">
      <w:pPr>
        <w:pStyle w:val="H1G"/>
        <w:spacing w:before="240"/>
        <w:rPr>
          <w:bCs/>
          <w:sz w:val="20"/>
          <w:vertAlign w:val="superscript"/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</w:r>
      <w:r w:rsidRPr="00F31FBE">
        <w:rPr>
          <w:bCs/>
          <w:lang w:val="ru-RU"/>
        </w:rPr>
        <w:t>Передано Федерацией европейских ассоциаций владельцев цистерн-хранилищ (ФЕТСА), Европейским союзом речного судоходства (ЕСРС), Европейской организацией судоводителей (ЕОС), Европейской ассоциацией оптовых поставщиков нефтепродуктов (ЕАОН) и «Фьюэлз-Юроп»</w:t>
      </w:r>
      <w:r w:rsidRPr="00B129DB">
        <w:rPr>
          <w:rFonts w:eastAsia="Times New Roman"/>
          <w:b w:val="0"/>
          <w:sz w:val="20"/>
          <w:lang w:val="ru-RU" w:eastAsia="ru-RU"/>
        </w:rPr>
        <w:footnoteReference w:customMarkFollows="1" w:id="1"/>
        <w:t>*</w:t>
      </w:r>
      <w:r w:rsidR="00B129DB" w:rsidRPr="00AE2E52">
        <w:rPr>
          <w:rFonts w:eastAsia="Times New Roman"/>
          <w:b w:val="0"/>
          <w:sz w:val="20"/>
          <w:lang w:val="ru-RU" w:eastAsia="ru-RU"/>
        </w:rPr>
        <w:t xml:space="preserve"> </w:t>
      </w:r>
      <w:r w:rsidRPr="00B129DB">
        <w:rPr>
          <w:rFonts w:eastAsia="Times New Roman"/>
          <w:b w:val="0"/>
          <w:sz w:val="20"/>
          <w:lang w:val="ru-RU" w:eastAsia="ru-RU"/>
        </w:rPr>
        <w:footnoteReference w:customMarkFollows="1" w:id="2"/>
        <w:t xml:space="preserve">** </w:t>
      </w:r>
    </w:p>
    <w:tbl>
      <w:tblPr>
        <w:tblW w:w="9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6523"/>
      </w:tblGrid>
      <w:tr w:rsidR="00B129DB" w:rsidRPr="00F31FBE" w:rsidTr="007C4311">
        <w:trPr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</w:tcBorders>
          </w:tcPr>
          <w:p w:rsidR="00B129DB" w:rsidRPr="007C4311" w:rsidRDefault="00B129DB" w:rsidP="00AE2E52">
            <w:pPr>
              <w:tabs>
                <w:tab w:val="left" w:pos="284"/>
              </w:tabs>
              <w:spacing w:before="120" w:after="80"/>
              <w:rPr>
                <w:i/>
                <w:iCs/>
                <w:sz w:val="24"/>
                <w:szCs w:val="24"/>
              </w:rPr>
            </w:pPr>
            <w:r w:rsidRPr="007C4311">
              <w:rPr>
                <w:sz w:val="24"/>
                <w:szCs w:val="24"/>
              </w:rPr>
              <w:tab/>
            </w:r>
            <w:r w:rsidRPr="007C4311">
              <w:rPr>
                <w:i/>
                <w:iCs/>
                <w:sz w:val="24"/>
                <w:szCs w:val="24"/>
              </w:rPr>
              <w:t>Краткая информация</w:t>
            </w:r>
          </w:p>
        </w:tc>
        <w:tc>
          <w:tcPr>
            <w:tcW w:w="6523" w:type="dxa"/>
            <w:tcBorders>
              <w:top w:val="single" w:sz="4" w:space="0" w:color="auto"/>
              <w:bottom w:val="nil"/>
            </w:tcBorders>
          </w:tcPr>
          <w:p w:rsidR="00B129DB" w:rsidRPr="00F31FBE" w:rsidRDefault="00B129DB" w:rsidP="00C2050F">
            <w:pPr>
              <w:spacing w:before="120" w:after="120"/>
            </w:pPr>
          </w:p>
        </w:tc>
      </w:tr>
      <w:tr w:rsidR="00B129DB" w:rsidRPr="00F31FBE" w:rsidTr="007C4311">
        <w:trPr>
          <w:jc w:val="center"/>
        </w:trPr>
        <w:tc>
          <w:tcPr>
            <w:tcW w:w="2977" w:type="dxa"/>
            <w:tcBorders>
              <w:top w:val="nil"/>
              <w:bottom w:val="nil"/>
            </w:tcBorders>
          </w:tcPr>
          <w:p w:rsidR="00B129DB" w:rsidRPr="00F31FBE" w:rsidRDefault="00B129DB" w:rsidP="00AE2E52">
            <w:pPr>
              <w:tabs>
                <w:tab w:val="left" w:pos="284"/>
              </w:tabs>
              <w:spacing w:before="80" w:after="120"/>
              <w:rPr>
                <w:b/>
                <w:bCs/>
              </w:rPr>
            </w:pPr>
            <w:r w:rsidRPr="00F31FBE">
              <w:tab/>
            </w:r>
            <w:r w:rsidRPr="00F31FBE">
              <w:rPr>
                <w:b/>
                <w:bCs/>
              </w:rPr>
              <w:t>Рабочее резюме:</w:t>
            </w:r>
          </w:p>
        </w:tc>
        <w:tc>
          <w:tcPr>
            <w:tcW w:w="6523" w:type="dxa"/>
            <w:tcBorders>
              <w:top w:val="nil"/>
              <w:bottom w:val="nil"/>
            </w:tcBorders>
          </w:tcPr>
          <w:p w:rsidR="00B129DB" w:rsidRPr="00F31FBE" w:rsidRDefault="00B129DB" w:rsidP="00AE2E52">
            <w:pPr>
              <w:spacing w:before="80" w:after="120"/>
              <w:ind w:right="1134"/>
              <w:jc w:val="both"/>
              <w:rPr>
                <w:bCs/>
                <w:szCs w:val="24"/>
              </w:rPr>
            </w:pPr>
            <w:r w:rsidRPr="00F31FBE">
              <w:t xml:space="preserve">Рабочее резюме итогов работы первого и второго совещаний неофициальной рабочей группы по вопросу погрузки поверх на баржах; полное резюме </w:t>
            </w:r>
            <w:r w:rsidRPr="00E35830">
              <w:rPr>
                <w:rFonts w:eastAsia="DengXian"/>
                <w:lang w:eastAsia="zh-CN"/>
              </w:rPr>
              <w:t>материалов</w:t>
            </w:r>
            <w:r w:rsidRPr="00F31FBE">
              <w:t xml:space="preserve"> и ответов на поставленные вопросы</w:t>
            </w:r>
            <w:r>
              <w:t xml:space="preserve"> в соответствии с </w:t>
            </w:r>
            <w:r w:rsidRPr="00F31FBE">
              <w:t>мандат</w:t>
            </w:r>
            <w:r>
              <w:t>ом</w:t>
            </w:r>
            <w:r w:rsidRPr="00F31FBE">
              <w:t>, предоставленн</w:t>
            </w:r>
            <w:r>
              <w:t>ым</w:t>
            </w:r>
            <w:r w:rsidRPr="00F31FBE">
              <w:t xml:space="preserve"> на тридцатой, тридцать первой и тридцать второй сессиях Комитета по вопросам безопасности ВОПОГ. </w:t>
            </w:r>
          </w:p>
          <w:p w:rsidR="00B129DB" w:rsidRPr="00F31FBE" w:rsidRDefault="00B129DB" w:rsidP="00AE2E52">
            <w:pPr>
              <w:spacing w:before="80" w:after="120"/>
              <w:ind w:right="1134"/>
              <w:jc w:val="both"/>
            </w:pPr>
            <w:r w:rsidRPr="00F31FBE">
              <w:t>На втором совещании, которое состоялось в Гааге, Нидерланды, 24</w:t>
            </w:r>
            <w:r>
              <w:rPr>
                <w:lang w:val="en-US"/>
              </w:rPr>
              <w:t> </w:t>
            </w:r>
            <w:r w:rsidRPr="00F31FBE">
              <w:t xml:space="preserve">апреля 2018 года и было организовано ФЕТСА, присутствовали представители следующих организаций: Администрация порта Роттердам, </w:t>
            </w:r>
            <w:r w:rsidRPr="00F31FBE">
              <w:lastRenderedPageBreak/>
              <w:t>Администрация порта Амстердам, «Фьюэлз-Юроп», ЕСРС, ЕОС, ЕАОН и ФЕТСА.</w:t>
            </w:r>
          </w:p>
        </w:tc>
      </w:tr>
      <w:tr w:rsidR="00B129DB" w:rsidRPr="00F31FBE" w:rsidTr="007C4311">
        <w:trPr>
          <w:trHeight w:val="509"/>
          <w:jc w:val="center"/>
        </w:trPr>
        <w:tc>
          <w:tcPr>
            <w:tcW w:w="2977" w:type="dxa"/>
            <w:tcBorders>
              <w:top w:val="nil"/>
            </w:tcBorders>
          </w:tcPr>
          <w:p w:rsidR="00B129DB" w:rsidRPr="00F31FBE" w:rsidRDefault="00B129DB" w:rsidP="00C2050F">
            <w:pPr>
              <w:tabs>
                <w:tab w:val="left" w:pos="284"/>
              </w:tabs>
              <w:spacing w:before="120"/>
              <w:rPr>
                <w:b/>
                <w:bCs/>
              </w:rPr>
            </w:pPr>
            <w:r w:rsidRPr="00F31FBE">
              <w:lastRenderedPageBreak/>
              <w:tab/>
            </w:r>
            <w:r w:rsidRPr="00F31FBE">
              <w:rPr>
                <w:b/>
                <w:bCs/>
              </w:rPr>
              <w:t>Предлагаемые шаги:</w:t>
            </w:r>
          </w:p>
        </w:tc>
        <w:tc>
          <w:tcPr>
            <w:tcW w:w="6523" w:type="dxa"/>
            <w:tcBorders>
              <w:top w:val="nil"/>
            </w:tcBorders>
          </w:tcPr>
          <w:p w:rsidR="00B129DB" w:rsidRPr="00F31FBE" w:rsidRDefault="00B129DB" w:rsidP="004C6EAE">
            <w:pPr>
              <w:spacing w:before="120" w:after="120"/>
              <w:ind w:right="1134"/>
              <w:jc w:val="both"/>
            </w:pPr>
            <w:r w:rsidRPr="00F31FBE">
              <w:t>Неофициальная рабочая группа предлагает Комитету по вопросам безопасности изучить предложения, подробно</w:t>
            </w:r>
            <w:r>
              <w:t xml:space="preserve"> представленные во введении и </w:t>
            </w:r>
            <w:r w:rsidRPr="00F31FBE">
              <w:t>приложениях ниже, и</w:t>
            </w:r>
            <w:r w:rsidR="004C6EAE">
              <w:rPr>
                <w:lang w:val="en-US"/>
              </w:rPr>
              <w:t> </w:t>
            </w:r>
            <w:r w:rsidRPr="00F31FBE">
              <w:t xml:space="preserve">продлить мандат неофициальной рабочей группы в целях продолжения работы над </w:t>
            </w:r>
            <w:r>
              <w:t xml:space="preserve">соответствующими </w:t>
            </w:r>
            <w:r w:rsidRPr="00F31FBE">
              <w:t>предложениями, в том числе над предложениями о внесении поправок в раздел 1.2.1, главы 1.4, 2.1, 5.4, 7.2 и раздел 8.6.3 ВОПОГ и предложением о включении положений, касающихся погрузки поверх</w:t>
            </w:r>
            <w:r>
              <w:t>,</w:t>
            </w:r>
            <w:r w:rsidRPr="00F31FBE">
              <w:t xml:space="preserve"> в пункты 7.2.4.12 и</w:t>
            </w:r>
            <w:r>
              <w:rPr>
                <w:lang w:val="en-US"/>
              </w:rPr>
              <w:t> </w:t>
            </w:r>
            <w:r w:rsidRPr="00F31FBE">
              <w:t>8.1.11 ВОПОГ.</w:t>
            </w:r>
          </w:p>
        </w:tc>
      </w:tr>
      <w:tr w:rsidR="00B129DB" w:rsidRPr="00F31FBE" w:rsidTr="007C4311">
        <w:trPr>
          <w:jc w:val="center"/>
        </w:trPr>
        <w:tc>
          <w:tcPr>
            <w:tcW w:w="2977" w:type="dxa"/>
            <w:tcBorders>
              <w:bottom w:val="single" w:sz="4" w:space="0" w:color="auto"/>
            </w:tcBorders>
          </w:tcPr>
          <w:p w:rsidR="00B129DB" w:rsidRPr="00F31FBE" w:rsidRDefault="00B129DB" w:rsidP="00C2050F">
            <w:pPr>
              <w:tabs>
                <w:tab w:val="left" w:pos="352"/>
              </w:tabs>
              <w:spacing w:before="120" w:after="120"/>
              <w:ind w:left="352" w:hanging="352"/>
              <w:rPr>
                <w:b/>
              </w:rPr>
            </w:pPr>
            <w:r w:rsidRPr="00F31FBE">
              <w:tab/>
            </w:r>
            <w:r w:rsidRPr="00F31FBE">
              <w:rPr>
                <w:b/>
                <w:bCs/>
              </w:rPr>
              <w:t>Справочные документы:</w:t>
            </w:r>
          </w:p>
        </w:tc>
        <w:tc>
          <w:tcPr>
            <w:tcW w:w="6523" w:type="dxa"/>
            <w:tcBorders>
              <w:bottom w:val="single" w:sz="4" w:space="0" w:color="auto"/>
            </w:tcBorders>
          </w:tcPr>
          <w:p w:rsidR="00B129DB" w:rsidRPr="00F31FBE" w:rsidRDefault="00B129DB" w:rsidP="007C4311">
            <w:pPr>
              <w:spacing w:before="120"/>
              <w:ind w:right="1134"/>
              <w:jc w:val="both"/>
            </w:pPr>
            <w:r w:rsidRPr="00F31FBE">
              <w:t>Неофициальный документ INF.15, представленный на тридцатой сессии</w:t>
            </w:r>
          </w:p>
          <w:p w:rsidR="00B129DB" w:rsidRPr="00F31FBE" w:rsidRDefault="00B129DB" w:rsidP="007C4311">
            <w:pPr>
              <w:ind w:right="1134"/>
              <w:jc w:val="both"/>
            </w:pPr>
            <w:r w:rsidRPr="00F31FBE">
              <w:t>Неофициальный документ INF.6, представленный на тридцать первой сессии в качестве добавления к документу ECE/TRANS/WP.15/AC.2/2017/44</w:t>
            </w:r>
          </w:p>
          <w:p w:rsidR="00B129DB" w:rsidRPr="00F31FBE" w:rsidRDefault="00B129DB" w:rsidP="007C4311">
            <w:pPr>
              <w:spacing w:after="120"/>
              <w:ind w:right="1134"/>
              <w:jc w:val="both"/>
            </w:pPr>
            <w:r w:rsidRPr="00F31FBE">
              <w:t>Неофициальный документ INF.9, представленный на тридцать второй сессии</w:t>
            </w:r>
          </w:p>
        </w:tc>
      </w:tr>
    </w:tbl>
    <w:p w:rsidR="00B129DB" w:rsidRPr="00F31FBE" w:rsidRDefault="00B129DB" w:rsidP="00B129DB">
      <w:pPr>
        <w:pStyle w:val="HChG"/>
        <w:rPr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  <w:t>Введение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1.</w:t>
      </w:r>
      <w:r w:rsidRPr="00F31FBE">
        <w:rPr>
          <w:lang w:val="ru-RU"/>
        </w:rPr>
        <w:tab/>
        <w:t xml:space="preserve">Погрузка поверх на баржах, используемых во внутреннем судоходстве, – это распространенная и хорошо контролируемая операция, осуществляемая главным образом в различных (морских) портах. Ее выполняют специалисты в соответствии с высокими отраслевыми стандартами в области охраны здоровья, безопасности и защиты окружающей среды, и благодаря этому на протяжении многих лет она производилась без каких-либо происшествий или инцидентов. 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2.</w:t>
      </w:r>
      <w:r w:rsidRPr="00F31FBE">
        <w:rPr>
          <w:lang w:val="ru-RU"/>
        </w:rPr>
        <w:tab/>
        <w:t xml:space="preserve">Эта операция продиктована необходимостью оптимизации работы на фоне все более сложного регулирования на местном, национальном и международном уровнях и логистических трудностей. </w:t>
      </w:r>
      <w:r>
        <w:rPr>
          <w:lang w:val="ru-RU"/>
        </w:rPr>
        <w:t>В различных точках по всему миру ведется производство разнообразной продукции</w:t>
      </w:r>
      <w:r w:rsidRPr="00F31FBE">
        <w:rPr>
          <w:lang w:val="ru-RU"/>
        </w:rPr>
        <w:t>; морские порты Европы, в том числе в районе Антверпен</w:t>
      </w:r>
      <w:r w:rsidRPr="00AE2E52">
        <w:rPr>
          <w:lang w:val="ru-RU"/>
        </w:rPr>
        <w:t>–</w:t>
      </w:r>
      <w:r w:rsidRPr="00F31FBE">
        <w:rPr>
          <w:lang w:val="ru-RU"/>
        </w:rPr>
        <w:t>Роттердам</w:t>
      </w:r>
      <w:r w:rsidRPr="00AE2E52">
        <w:rPr>
          <w:lang w:val="ru-RU"/>
        </w:rPr>
        <w:t>–</w:t>
      </w:r>
      <w:r w:rsidRPr="00F31FBE">
        <w:rPr>
          <w:lang w:val="ru-RU"/>
        </w:rPr>
        <w:t xml:space="preserve">Амстердам (АРА), принимают морские танкеры и обеспечивают выполнение </w:t>
      </w:r>
      <w:r>
        <w:rPr>
          <w:lang w:val="ru-RU"/>
        </w:rPr>
        <w:t>различных</w:t>
      </w:r>
      <w:r w:rsidRPr="00F31FBE">
        <w:rPr>
          <w:lang w:val="ru-RU"/>
        </w:rPr>
        <w:t xml:space="preserve"> сложных логистических операций между ними</w:t>
      </w:r>
      <w:r>
        <w:rPr>
          <w:lang w:val="ru-RU"/>
        </w:rPr>
        <w:t>,</w:t>
      </w:r>
      <w:r w:rsidRPr="00F31FBE">
        <w:rPr>
          <w:lang w:val="ru-RU"/>
        </w:rPr>
        <w:t xml:space="preserve"> танкерами внутреннего плавания</w:t>
      </w:r>
      <w:r>
        <w:rPr>
          <w:lang w:val="ru-RU"/>
        </w:rPr>
        <w:t xml:space="preserve"> и</w:t>
      </w:r>
      <w:r w:rsidRPr="00F31FBE">
        <w:rPr>
          <w:lang w:val="ru-RU"/>
        </w:rPr>
        <w:t xml:space="preserve"> такими </w:t>
      </w:r>
      <w:r>
        <w:rPr>
          <w:lang w:val="ru-RU"/>
        </w:rPr>
        <w:t>береговыми</w:t>
      </w:r>
      <w:r w:rsidRPr="00F31FBE">
        <w:rPr>
          <w:lang w:val="ru-RU"/>
        </w:rPr>
        <w:t xml:space="preserve"> </w:t>
      </w:r>
      <w:r>
        <w:rPr>
          <w:lang w:val="ru-RU"/>
        </w:rPr>
        <w:t>объектами</w:t>
      </w:r>
      <w:r w:rsidRPr="00F31FBE">
        <w:rPr>
          <w:lang w:val="ru-RU"/>
        </w:rPr>
        <w:t xml:space="preserve">, как нефтяные терминалы и нефтеперерабатывающие заводы. </w:t>
      </w:r>
      <w:r>
        <w:rPr>
          <w:lang w:val="ru-RU"/>
        </w:rPr>
        <w:t>Эти</w:t>
      </w:r>
      <w:r w:rsidRPr="00F31FBE">
        <w:rPr>
          <w:lang w:val="ru-RU"/>
        </w:rPr>
        <w:t xml:space="preserve"> операции не ограничиваются погрузкой </w:t>
      </w:r>
      <w:r>
        <w:rPr>
          <w:lang w:val="ru-RU"/>
        </w:rPr>
        <w:t xml:space="preserve">поверх </w:t>
      </w:r>
      <w:r w:rsidRPr="00F31FBE">
        <w:rPr>
          <w:lang w:val="ru-RU"/>
        </w:rPr>
        <w:t xml:space="preserve">на баржах, используемых во внутреннем судоходстве. Кроме того, они осуществляются и в других портах. В этой связи и сообразно подходу ЕЭК ООН к проблематике внутреннего водного транспорта для урегулирования этого вопроса необходима общеевропейская концепция и решение. 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3.</w:t>
      </w:r>
      <w:r w:rsidRPr="00F31FBE">
        <w:rPr>
          <w:lang w:val="ru-RU"/>
        </w:rPr>
        <w:tab/>
        <w:t>Порты (в Европе) являются объектом жесткого регулирования на местном, национальном и международном уровнях. Это же относится к промышленным объектам, нефтяным терминалам и перевозчикам. Законы и нормы развиваются сообразно принципам международной торговли и призваны обеспечивать упрощение ее процедур. Это справедливо и в случае ВОПОГ, ДОПОГ и МПОГ, поскольку различные органы ЕЭК ООН проводят совещания и обсуждения, принимают решения и формируют рабочие группы с участием представителей неправительственных организаций для уточнения толкования и адаптации ДОПОГ, ВОПОГ и МПОГ в целях удовлетворения возник</w:t>
      </w:r>
      <w:r>
        <w:rPr>
          <w:lang w:val="ru-RU"/>
        </w:rPr>
        <w:t>ающ</w:t>
      </w:r>
      <w:r w:rsidRPr="00F31FBE">
        <w:rPr>
          <w:lang w:val="ru-RU"/>
        </w:rPr>
        <w:t xml:space="preserve">их потребностей. 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4.</w:t>
      </w:r>
      <w:r w:rsidRPr="00F31FBE">
        <w:rPr>
          <w:lang w:val="ru-RU"/>
        </w:rPr>
        <w:tab/>
        <w:t xml:space="preserve">Комитет по внутреннему транспорту ЕЭК ООН работает над упрощением процедур международных перевозок людей и товаров внутренним транспортом, как отмечается в Белой книге ЕЭК ООН 2011 года по эффективному и устойчивому </w:t>
      </w:r>
      <w:r w:rsidRPr="00F31FBE">
        <w:rPr>
          <w:lang w:val="ru-RU"/>
        </w:rPr>
        <w:lastRenderedPageBreak/>
        <w:t>внутреннему водному транспорту в Европе</w:t>
      </w:r>
      <w:r w:rsidRPr="00B129DB">
        <w:rPr>
          <w:rFonts w:eastAsia="Calibri"/>
          <w:sz w:val="18"/>
          <w:vertAlign w:val="superscript"/>
          <w:lang w:val="ru-RU"/>
        </w:rPr>
        <w:footnoteReference w:id="3"/>
      </w:r>
      <w:r w:rsidRPr="00F31FBE">
        <w:rPr>
          <w:lang w:val="ru-RU"/>
        </w:rPr>
        <w:t xml:space="preserve">. В этой публикации признается необходимость адаптации к быстро меняющимся условиям. Согласно оценке, представленной в Белой книге ЕЭК ООН, внутренний водный транспорт представляет собой безопасный, надежный и </w:t>
      </w:r>
      <w:r>
        <w:rPr>
          <w:lang w:val="ru-RU"/>
        </w:rPr>
        <w:t>экологичный</w:t>
      </w:r>
      <w:r w:rsidRPr="00F31FBE">
        <w:rPr>
          <w:lang w:val="ru-RU"/>
        </w:rPr>
        <w:t xml:space="preserve"> вид транспорта, который имеет потенциал и потребность в развитии</w:t>
      </w:r>
      <w:r w:rsidRPr="00B129DB">
        <w:rPr>
          <w:rFonts w:eastAsia="Calibri"/>
          <w:sz w:val="18"/>
          <w:vertAlign w:val="superscript"/>
          <w:lang w:val="ru-RU"/>
        </w:rPr>
        <w:footnoteReference w:id="4"/>
      </w:r>
      <w:r w:rsidRPr="00F31FBE">
        <w:rPr>
          <w:lang w:val="ru-RU"/>
        </w:rPr>
        <w:t>.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5.</w:t>
      </w:r>
      <w:r w:rsidRPr="00F31FBE">
        <w:rPr>
          <w:lang w:val="ru-RU"/>
        </w:rPr>
        <w:tab/>
        <w:t>Хотя многие барьеры были ликвидированы, ЕЭК ООН признала необходимость дальнейшего устранения административных, технических и правовых барьеров для внутреннего судоходства</w:t>
      </w:r>
      <w:r w:rsidRPr="00B129DB">
        <w:rPr>
          <w:rFonts w:eastAsia="Calibri"/>
          <w:sz w:val="18"/>
          <w:vertAlign w:val="superscript"/>
          <w:lang w:val="ru-RU"/>
        </w:rPr>
        <w:footnoteReference w:id="5"/>
      </w:r>
      <w:r w:rsidRPr="00F31FBE">
        <w:rPr>
          <w:lang w:val="ru-RU"/>
        </w:rPr>
        <w:t>.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6.</w:t>
      </w:r>
      <w:r w:rsidRPr="00F31FBE">
        <w:rPr>
          <w:lang w:val="ru-RU"/>
        </w:rPr>
        <w:tab/>
        <w:t>Общеевропейская концепция развития эффективного и устойчивого внутреннего водного транспорта предусматривает также использование речных информационных служб (РИС)</w:t>
      </w:r>
      <w:r w:rsidRPr="00B129DB">
        <w:rPr>
          <w:rFonts w:eastAsia="Calibri"/>
          <w:sz w:val="18"/>
          <w:vertAlign w:val="superscript"/>
          <w:lang w:val="ru-RU"/>
        </w:rPr>
        <w:footnoteReference w:id="6"/>
      </w:r>
      <w:r w:rsidRPr="00F31FBE">
        <w:rPr>
          <w:lang w:val="ru-RU"/>
        </w:rPr>
        <w:t>; она учитывает трудности, возникающие в связи с требованиями рынка, особенно в морских портах</w:t>
      </w:r>
      <w:r w:rsidRPr="00B129DB">
        <w:rPr>
          <w:rFonts w:eastAsia="Calibri"/>
          <w:sz w:val="18"/>
          <w:vertAlign w:val="superscript"/>
          <w:lang w:val="ru-RU"/>
        </w:rPr>
        <w:footnoteReference w:id="7"/>
      </w:r>
      <w:r w:rsidRPr="00F31FBE">
        <w:rPr>
          <w:lang w:val="ru-RU"/>
        </w:rPr>
        <w:t>.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7.</w:t>
      </w:r>
      <w:r w:rsidRPr="00F31FBE">
        <w:rPr>
          <w:lang w:val="ru-RU"/>
        </w:rPr>
        <w:tab/>
        <w:t>В документе ECE/TRANS/SC.3/189 «</w:t>
      </w:r>
      <w:r w:rsidRPr="00115C5D">
        <w:rPr>
          <w:lang w:val="ru-RU"/>
        </w:rPr>
        <w:t>Укрепление роли внутреннего водного</w:t>
      </w:r>
      <w:r>
        <w:rPr>
          <w:lang w:val="ru-RU"/>
        </w:rPr>
        <w:t xml:space="preserve"> </w:t>
      </w:r>
      <w:r w:rsidRPr="00115C5D">
        <w:rPr>
          <w:lang w:val="ru-RU"/>
        </w:rPr>
        <w:t>транспорта в мире в рамках Повестки устойчивого</w:t>
      </w:r>
      <w:r>
        <w:rPr>
          <w:lang w:val="ru-RU"/>
        </w:rPr>
        <w:t xml:space="preserve"> </w:t>
      </w:r>
      <w:r w:rsidRPr="00115C5D">
        <w:rPr>
          <w:lang w:val="ru-RU"/>
        </w:rPr>
        <w:t>развития</w:t>
      </w:r>
      <w:r w:rsidRPr="00F31FBE">
        <w:rPr>
          <w:lang w:val="ru-RU"/>
        </w:rPr>
        <w:t>»</w:t>
      </w:r>
      <w:r w:rsidRPr="00F31FBE">
        <w:rPr>
          <w:rFonts w:eastAsia="Calibri"/>
          <w:sz w:val="18"/>
          <w:szCs w:val="18"/>
          <w:vertAlign w:val="superscript"/>
          <w:lang w:val="ru-RU"/>
        </w:rPr>
        <w:footnoteReference w:id="8"/>
      </w:r>
      <w:r w:rsidRPr="00F31FBE">
        <w:rPr>
          <w:lang w:val="ru-RU"/>
        </w:rPr>
        <w:t xml:space="preserve"> рассматривается роль внутреннего водного транспорта в контексте соответствующих целей в области устойчивого развития</w:t>
      </w:r>
      <w:r w:rsidRPr="00F31FBE">
        <w:rPr>
          <w:rFonts w:eastAsia="Calibri"/>
          <w:sz w:val="18"/>
          <w:szCs w:val="18"/>
          <w:vertAlign w:val="superscript"/>
          <w:lang w:val="ru-RU"/>
        </w:rPr>
        <w:footnoteReference w:id="9"/>
      </w:r>
      <w:r w:rsidRPr="00F31FBE">
        <w:rPr>
          <w:lang w:val="ru-RU"/>
        </w:rPr>
        <w:t xml:space="preserve">. Иными словами, другие органы ЕЭК ООН прилагают усилия для устойчивого развития внутреннего водного транспорта, уделяя при этом внимание требованиям рынка. 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8.</w:t>
      </w:r>
      <w:r w:rsidRPr="00F31FBE">
        <w:rPr>
          <w:lang w:val="ru-RU"/>
        </w:rPr>
        <w:tab/>
        <w:t xml:space="preserve">Наши предложения перекликаются с некоторыми целями в области устойчивого развития, упомянутыми в публикации ЕЭК ООН </w:t>
      </w:r>
      <w:r>
        <w:rPr>
          <w:lang w:val="ru-RU"/>
        </w:rPr>
        <w:t xml:space="preserve">в связи с </w:t>
      </w:r>
      <w:r w:rsidRPr="00F31FBE">
        <w:rPr>
          <w:lang w:val="ru-RU"/>
        </w:rPr>
        <w:t>Международной конференци</w:t>
      </w:r>
      <w:r>
        <w:rPr>
          <w:lang w:val="ru-RU"/>
        </w:rPr>
        <w:t>ей</w:t>
      </w:r>
      <w:r w:rsidRPr="00F31FBE">
        <w:rPr>
          <w:lang w:val="ru-RU"/>
        </w:rPr>
        <w:t xml:space="preserve"> по внутренне</w:t>
      </w:r>
      <w:r>
        <w:rPr>
          <w:lang w:val="ru-RU"/>
        </w:rPr>
        <w:t>му</w:t>
      </w:r>
      <w:r w:rsidRPr="00F31FBE">
        <w:rPr>
          <w:lang w:val="ru-RU"/>
        </w:rPr>
        <w:t xml:space="preserve"> водно</w:t>
      </w:r>
      <w:r>
        <w:rPr>
          <w:lang w:val="ru-RU"/>
        </w:rPr>
        <w:t>му</w:t>
      </w:r>
      <w:r w:rsidRPr="00F31FBE">
        <w:rPr>
          <w:lang w:val="ru-RU"/>
        </w:rPr>
        <w:t xml:space="preserve"> транспорт</w:t>
      </w:r>
      <w:r>
        <w:rPr>
          <w:lang w:val="ru-RU"/>
        </w:rPr>
        <w:t>у</w:t>
      </w:r>
      <w:r w:rsidRPr="00F31FBE">
        <w:rPr>
          <w:lang w:val="ru-RU"/>
        </w:rPr>
        <w:t xml:space="preserve">. </w:t>
      </w:r>
    </w:p>
    <w:p w:rsidR="00B129DB" w:rsidRPr="00F31FBE" w:rsidRDefault="00B129DB" w:rsidP="00B129DB">
      <w:pPr>
        <w:pStyle w:val="Bullet1G"/>
        <w:rPr>
          <w:rFonts w:eastAsia="Calibri"/>
          <w:lang w:val="ru-RU"/>
        </w:rPr>
      </w:pPr>
      <w:r w:rsidRPr="00F31FBE">
        <w:rPr>
          <w:lang w:val="ru-RU"/>
        </w:rPr>
        <w:t>Цель в области устойчивого развития № 3 – Обеспечение здорового образа жизни и содействие благополучию для всех в любом возрасте.</w:t>
      </w:r>
    </w:p>
    <w:p w:rsidR="00B129DB" w:rsidRPr="00F31FBE" w:rsidRDefault="00B129DB" w:rsidP="00B129DB">
      <w:pPr>
        <w:pStyle w:val="Bullet1G"/>
        <w:rPr>
          <w:rFonts w:eastAsia="Calibri"/>
          <w:lang w:val="ru-RU"/>
        </w:rPr>
      </w:pPr>
      <w:r w:rsidRPr="00F31FBE">
        <w:rPr>
          <w:lang w:val="ru-RU"/>
        </w:rPr>
        <w:t>Цель в области устойчивого развития № 7 – Обеспечение всеобщего доступа к недорогим, надежным, устойчивым и современным источникам энергии для всех.</w:t>
      </w:r>
    </w:p>
    <w:p w:rsidR="00B129DB" w:rsidRPr="00F31FBE" w:rsidRDefault="00B129DB" w:rsidP="00B129DB">
      <w:pPr>
        <w:pStyle w:val="Bullet1G"/>
        <w:rPr>
          <w:rFonts w:eastAsia="Calibri"/>
          <w:lang w:val="ru-RU"/>
        </w:rPr>
      </w:pPr>
      <w:r w:rsidRPr="00F31FBE">
        <w:rPr>
          <w:lang w:val="ru-RU"/>
        </w:rPr>
        <w:t>Цель в области устойчивого развития № 9 – Создание стойкой инфраструктуры, содействие всеохватной и устойчивой индустриализации и инновациям.</w:t>
      </w:r>
    </w:p>
    <w:p w:rsidR="00B129DB" w:rsidRPr="00F31FBE" w:rsidRDefault="00B129DB" w:rsidP="00B129DB">
      <w:pPr>
        <w:pStyle w:val="Bullet1G"/>
        <w:rPr>
          <w:rFonts w:eastAsia="Calibri"/>
          <w:lang w:val="ru-RU"/>
        </w:rPr>
      </w:pPr>
      <w:r w:rsidRPr="00F31FBE">
        <w:rPr>
          <w:lang w:val="ru-RU"/>
        </w:rPr>
        <w:t>Цель в области устойчивого развития № 11 – Обеспечение открытости, безопасности, жизнестойкости и экологической устойчивости городов и населенных пунктов.</w:t>
      </w:r>
    </w:p>
    <w:p w:rsidR="00B129DB" w:rsidRPr="00F31FBE" w:rsidRDefault="00B129DB" w:rsidP="00B129DB">
      <w:pPr>
        <w:pStyle w:val="Bullet1G"/>
        <w:rPr>
          <w:rFonts w:eastAsia="Calibri"/>
          <w:lang w:val="ru-RU"/>
        </w:rPr>
      </w:pPr>
      <w:r w:rsidRPr="00F31FBE">
        <w:rPr>
          <w:lang w:val="ru-RU"/>
        </w:rPr>
        <w:t>Цель в области устойчивого развития № 13 – Принятие срочных мер по борьбе с изменением климата и его последствиями.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9.</w:t>
      </w:r>
      <w:r w:rsidRPr="00F31FBE">
        <w:rPr>
          <w:lang w:val="ru-RU"/>
        </w:rPr>
        <w:tab/>
        <w:t>ВОПОГ – это правила, основанны</w:t>
      </w:r>
      <w:r>
        <w:rPr>
          <w:lang w:val="ru-RU"/>
        </w:rPr>
        <w:t>е</w:t>
      </w:r>
      <w:r w:rsidRPr="00F31FBE">
        <w:rPr>
          <w:lang w:val="ru-RU"/>
        </w:rPr>
        <w:t xml:space="preserve"> на целях. Это означает, что стороны ВОПОГ обязаны соблюдать его положения, но само Соглашение не предписывает, как это делать. Наши предложения </w:t>
      </w:r>
      <w:r>
        <w:rPr>
          <w:lang w:val="ru-RU"/>
        </w:rPr>
        <w:t>будут подготовлены с учетом</w:t>
      </w:r>
      <w:r w:rsidRPr="00F31FBE">
        <w:rPr>
          <w:lang w:val="ru-RU"/>
        </w:rPr>
        <w:t xml:space="preserve"> это</w:t>
      </w:r>
      <w:r>
        <w:rPr>
          <w:lang w:val="ru-RU"/>
        </w:rPr>
        <w:t xml:space="preserve">го </w:t>
      </w:r>
      <w:r w:rsidRPr="00F31FBE">
        <w:rPr>
          <w:lang w:val="ru-RU"/>
        </w:rPr>
        <w:t>аспект</w:t>
      </w:r>
      <w:r>
        <w:rPr>
          <w:lang w:val="ru-RU"/>
        </w:rPr>
        <w:t>а</w:t>
      </w:r>
      <w:r w:rsidRPr="00F31FBE">
        <w:rPr>
          <w:lang w:val="ru-RU"/>
        </w:rPr>
        <w:t xml:space="preserve">. 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10.</w:t>
      </w:r>
      <w:r w:rsidRPr="00F31FBE">
        <w:rPr>
          <w:lang w:val="ru-RU"/>
        </w:rPr>
        <w:tab/>
        <w:t xml:space="preserve">На одном из предыдущих заседаний Комитет по вопросам безопасности признал, что операции подобного рода практикуются в разных </w:t>
      </w:r>
      <w:r>
        <w:rPr>
          <w:lang w:val="ru-RU"/>
        </w:rPr>
        <w:t>точках</w:t>
      </w:r>
      <w:r w:rsidRPr="00F31FBE">
        <w:rPr>
          <w:lang w:val="ru-RU"/>
        </w:rPr>
        <w:t xml:space="preserve"> в пределах территории действия ВОПОГ. Было отмечено, что «если такие операции имеют место, то им следует уделить более пристальное внимание».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11.</w:t>
      </w:r>
      <w:r w:rsidRPr="00F31FBE">
        <w:rPr>
          <w:lang w:val="ru-RU"/>
        </w:rPr>
        <w:tab/>
        <w:t xml:space="preserve">Члены неофициальной рабочей группы, включая представителей «Фьюэлз-Юроп», ЕАОН, ЕСРС/ЕОС и ФЕТСА, разделяют обеспокоенность, выраженную </w:t>
      </w:r>
      <w:r w:rsidRPr="00F31FBE">
        <w:rPr>
          <w:lang w:val="ru-RU"/>
        </w:rPr>
        <w:lastRenderedPageBreak/>
        <w:t xml:space="preserve">некоторыми делегатами на предыдущих заседаниях. Признается необходимость в том, чтобы более полно охарактеризовать эту операцию в целях обеспечения транспарентности и возможностей для ее регулирования. Мы осознаем деликатность этой темы, учитывая всем известные случаи незаконного смешивания потоков отходов на морских судах, имевшие место в прошлом. Мы должны </w:t>
      </w:r>
      <w:r>
        <w:rPr>
          <w:lang w:val="ru-RU"/>
        </w:rPr>
        <w:t>отнестись</w:t>
      </w:r>
      <w:r w:rsidRPr="00F31FBE">
        <w:rPr>
          <w:lang w:val="ru-RU"/>
        </w:rPr>
        <w:t xml:space="preserve"> к </w:t>
      </w:r>
      <w:r>
        <w:rPr>
          <w:lang w:val="ru-RU"/>
        </w:rPr>
        <w:t>этому вопросу</w:t>
      </w:r>
      <w:r w:rsidRPr="00F31FBE">
        <w:rPr>
          <w:lang w:val="ru-RU"/>
        </w:rPr>
        <w:t xml:space="preserve"> со всей серьезностью. 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12.</w:t>
      </w:r>
      <w:r w:rsidRPr="00F31FBE">
        <w:rPr>
          <w:lang w:val="ru-RU"/>
        </w:rPr>
        <w:tab/>
        <w:t xml:space="preserve">Следует четко указать, что погрузка поверх вовсе не означает смешивания отходов; надлежит определить, что может быть разрешено и при каких контролируемых условиях. Речь не идет также о неограниченной погрузке поверх/смешивании. Мы предлагаем </w:t>
      </w:r>
      <w:r>
        <w:rPr>
          <w:lang w:val="ru-RU"/>
        </w:rPr>
        <w:t xml:space="preserve">разрешить </w:t>
      </w:r>
      <w:r w:rsidRPr="00F31FBE">
        <w:rPr>
          <w:lang w:val="ru-RU"/>
        </w:rPr>
        <w:t xml:space="preserve">погрузку поверх/смешивание биокомпонентов </w:t>
      </w:r>
      <w:r>
        <w:rPr>
          <w:lang w:val="ru-RU"/>
        </w:rPr>
        <w:t>с</w:t>
      </w:r>
      <w:r w:rsidRPr="00F31FBE">
        <w:rPr>
          <w:lang w:val="ru-RU"/>
        </w:rPr>
        <w:t xml:space="preserve"> весьма ограничен</w:t>
      </w:r>
      <w:r>
        <w:rPr>
          <w:lang w:val="ru-RU"/>
        </w:rPr>
        <w:t>ным</w:t>
      </w:r>
      <w:r w:rsidRPr="00F31FBE">
        <w:rPr>
          <w:lang w:val="ru-RU"/>
        </w:rPr>
        <w:t xml:space="preserve"> числ</w:t>
      </w:r>
      <w:r>
        <w:rPr>
          <w:lang w:val="ru-RU"/>
        </w:rPr>
        <w:t>ом</w:t>
      </w:r>
      <w:r w:rsidRPr="00F31FBE">
        <w:rPr>
          <w:lang w:val="ru-RU"/>
        </w:rPr>
        <w:t xml:space="preserve"> продуктов в транспортном секторе в соответствии с существующим европейским законодательством, в частности в соответствии с Директивой о возобновляемых источниках энергии</w:t>
      </w:r>
      <w:r w:rsidRPr="00F31FBE">
        <w:rPr>
          <w:rFonts w:eastAsia="Calibri"/>
          <w:sz w:val="18"/>
          <w:szCs w:val="18"/>
          <w:vertAlign w:val="superscript"/>
          <w:lang w:val="ru-RU"/>
        </w:rPr>
        <w:footnoteReference w:id="10"/>
      </w:r>
      <w:r w:rsidRPr="00F31FBE">
        <w:rPr>
          <w:lang w:val="ru-RU"/>
        </w:rPr>
        <w:t xml:space="preserve"> и Директивой о качестве топлива</w:t>
      </w:r>
      <w:r w:rsidRPr="00F31FBE">
        <w:rPr>
          <w:rStyle w:val="FootnoteReference"/>
          <w:rFonts w:eastAsia="Calibri"/>
          <w:lang w:val="ru-RU"/>
        </w:rPr>
        <w:footnoteReference w:id="11"/>
      </w:r>
      <w:r w:rsidRPr="00F31FBE">
        <w:rPr>
          <w:lang w:val="ru-RU"/>
        </w:rPr>
        <w:t xml:space="preserve">. Наше предложение предусматривает возможность погрузки поверх для ограниченного числа позиций под номерами ООН. 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13.</w:t>
      </w:r>
      <w:r w:rsidRPr="00F31FBE">
        <w:rPr>
          <w:lang w:val="ru-RU"/>
        </w:rPr>
        <w:tab/>
        <w:t xml:space="preserve">В целях уменьшения простора для толкования необходимы недвусмысленные и подлежащие исполнению правила, четкое распределение обязанностей и подотчетность. 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14.</w:t>
      </w:r>
      <w:r w:rsidRPr="00F31FBE">
        <w:rPr>
          <w:lang w:val="ru-RU"/>
        </w:rPr>
        <w:tab/>
        <w:t>ВОПОГ предусматривает в этом смысле ряд возможностей, как видно из технологической схемы типовой операции погрузки поверх/смешивания. Мы</w:t>
      </w:r>
      <w:r>
        <w:rPr>
          <w:lang w:val="en-US"/>
        </w:rPr>
        <w:t> </w:t>
      </w:r>
      <w:r w:rsidRPr="00F31FBE">
        <w:rPr>
          <w:lang w:val="ru-RU"/>
        </w:rPr>
        <w:t xml:space="preserve">продемонстрируем, </w:t>
      </w:r>
      <w:r>
        <w:rPr>
          <w:lang w:val="ru-RU"/>
        </w:rPr>
        <w:t>каким образом</w:t>
      </w:r>
      <w:r w:rsidRPr="00F31FBE">
        <w:rPr>
          <w:lang w:val="ru-RU"/>
        </w:rPr>
        <w:t xml:space="preserve"> четкие обязанности и ответственность по осуществлению операции, связанной с погрузкой поверх, могут быть </w:t>
      </w:r>
      <w:r>
        <w:rPr>
          <w:lang w:val="ru-RU"/>
        </w:rPr>
        <w:t>распределены между</w:t>
      </w:r>
      <w:r w:rsidRPr="00F31FBE">
        <w:rPr>
          <w:lang w:val="ru-RU"/>
        </w:rPr>
        <w:t xml:space="preserve"> различны</w:t>
      </w:r>
      <w:r>
        <w:rPr>
          <w:lang w:val="ru-RU"/>
        </w:rPr>
        <w:t>ми</w:t>
      </w:r>
      <w:r w:rsidRPr="00F31FBE">
        <w:rPr>
          <w:lang w:val="ru-RU"/>
        </w:rPr>
        <w:t xml:space="preserve"> участник</w:t>
      </w:r>
      <w:r>
        <w:rPr>
          <w:lang w:val="ru-RU"/>
        </w:rPr>
        <w:t>ами</w:t>
      </w:r>
      <w:r w:rsidRPr="00F31FBE">
        <w:rPr>
          <w:lang w:val="ru-RU"/>
        </w:rPr>
        <w:t xml:space="preserve">. 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15.</w:t>
      </w:r>
      <w:r w:rsidRPr="00F31FBE">
        <w:rPr>
          <w:lang w:val="ru-RU"/>
        </w:rPr>
        <w:tab/>
        <w:t>«Фьюэлз-Юроп», ЕАОН, ФЕТСА и ЕСРС/ЕОС хотели бы внести непосредственный вклад в разработку четких и прозрачных положений, касающихся разрешаемой</w:t>
      </w:r>
      <w:r>
        <w:rPr>
          <w:lang w:val="ru-RU" w:eastAsia="zh-CN"/>
        </w:rPr>
        <w:t xml:space="preserve"> </w:t>
      </w:r>
      <w:r w:rsidRPr="00F31FBE">
        <w:rPr>
          <w:lang w:val="ru-RU"/>
        </w:rPr>
        <w:t>погрузки поверх на баржах, при поддержке Ассоциации морских портов</w:t>
      </w:r>
      <w:r>
        <w:rPr>
          <w:lang w:val="ru-RU"/>
        </w:rPr>
        <w:t xml:space="preserve"> Нидерландов</w:t>
      </w:r>
      <w:r w:rsidRPr="00F31FBE">
        <w:rPr>
          <w:lang w:val="ru-RU"/>
        </w:rPr>
        <w:t xml:space="preserve">, в частности администраций портов Амстердам, Роттердам и Флашинг, </w:t>
      </w:r>
      <w:r>
        <w:rPr>
          <w:lang w:val="ru-RU"/>
        </w:rPr>
        <w:t>в целях</w:t>
      </w:r>
      <w:r w:rsidRPr="00F31FBE">
        <w:rPr>
          <w:lang w:val="ru-RU"/>
        </w:rPr>
        <w:t xml:space="preserve"> включения в ВОПОГ </w:t>
      </w:r>
      <w:r>
        <w:rPr>
          <w:lang w:val="ru-RU"/>
        </w:rPr>
        <w:t>для</w:t>
      </w:r>
      <w:r w:rsidRPr="00F31FBE">
        <w:rPr>
          <w:lang w:val="ru-RU"/>
        </w:rPr>
        <w:t xml:space="preserve"> обеспечения </w:t>
      </w:r>
      <w:r>
        <w:rPr>
          <w:lang w:val="ru-RU"/>
        </w:rPr>
        <w:t>безопасности деятельности</w:t>
      </w:r>
      <w:r w:rsidRPr="00F31FBE">
        <w:rPr>
          <w:lang w:val="ru-RU"/>
        </w:rPr>
        <w:t xml:space="preserve">. В этой связи мы предлагаем Комитету по вопросам безопасности ВОПОГ изучить предложения, представленные в приложениях к настоящему документу, и продлить мандат неофициальной рабочей группы в целях продолжения работы над </w:t>
      </w:r>
      <w:r>
        <w:rPr>
          <w:lang w:val="ru-RU"/>
        </w:rPr>
        <w:t xml:space="preserve">соответствующими </w:t>
      </w:r>
      <w:r w:rsidRPr="00F31FBE">
        <w:rPr>
          <w:lang w:val="ru-RU"/>
        </w:rPr>
        <w:t>предложениями, в том числе над предложениями о внесении поправок в раздел 1.2.1, главы 1.4, 2.1, 5.4, 7.2 и раздел 8.6.3 ВОПОГ и предложением о включении положений, касающихся погрузки поверх</w:t>
      </w:r>
      <w:r>
        <w:rPr>
          <w:lang w:val="ru-RU"/>
        </w:rPr>
        <w:t>,</w:t>
      </w:r>
      <w:r w:rsidRPr="00F31FBE">
        <w:rPr>
          <w:lang w:val="ru-RU"/>
        </w:rPr>
        <w:t xml:space="preserve"> в пункты 7.2.4.12 и 8.1.11 ВОПОГ. </w:t>
      </w:r>
    </w:p>
    <w:p w:rsidR="00B129DB" w:rsidRPr="00F31FBE" w:rsidRDefault="00B129DB" w:rsidP="00B129DB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16.</w:t>
      </w:r>
      <w:r w:rsidRPr="00F31FBE">
        <w:rPr>
          <w:lang w:val="ru-RU"/>
        </w:rPr>
        <w:tab/>
        <w:t>Наше предложение заключается в том, чтобы разрешить ограниченное число операций, связанных с погрузкой поверх, в частности:</w:t>
      </w:r>
    </w:p>
    <w:p w:rsidR="00B129DB" w:rsidRPr="00F31FBE" w:rsidRDefault="00B129DB" w:rsidP="00B129DB">
      <w:pPr>
        <w:pStyle w:val="SingleTxtG"/>
        <w:ind w:firstLine="567"/>
        <w:rPr>
          <w:rFonts w:eastAsia="Calibri"/>
          <w:lang w:val="ru-RU"/>
        </w:rPr>
      </w:pPr>
      <w:r w:rsidRPr="00F31FBE">
        <w:rPr>
          <w:lang w:val="ru-RU"/>
        </w:rPr>
        <w:t>a)</w:t>
      </w:r>
      <w:r w:rsidRPr="00F31FBE">
        <w:rPr>
          <w:lang w:val="ru-RU"/>
        </w:rPr>
        <w:tab/>
        <w:t>погрузк</w:t>
      </w:r>
      <w:r>
        <w:rPr>
          <w:lang w:val="ru-RU"/>
        </w:rPr>
        <w:t>у</w:t>
      </w:r>
      <w:r w:rsidRPr="00F31FBE">
        <w:rPr>
          <w:lang w:val="ru-RU"/>
        </w:rPr>
        <w:t xml:space="preserve"> поверх </w:t>
      </w:r>
      <w:r>
        <w:rPr>
          <w:lang w:val="ru-RU"/>
        </w:rPr>
        <w:t>продуктов</w:t>
      </w:r>
      <w:r w:rsidRPr="00F31FBE">
        <w:rPr>
          <w:lang w:val="ru-RU"/>
        </w:rPr>
        <w:t xml:space="preserve">, имеющих один и тот же номер ООН. Эти </w:t>
      </w:r>
      <w:r>
        <w:rPr>
          <w:lang w:val="ru-RU"/>
        </w:rPr>
        <w:t>продукты</w:t>
      </w:r>
      <w:r w:rsidRPr="00F31FBE">
        <w:rPr>
          <w:lang w:val="ru-RU"/>
        </w:rPr>
        <w:t xml:space="preserve"> указаны в таблицах 1, 2 и 3 приложения I;</w:t>
      </w:r>
    </w:p>
    <w:p w:rsidR="008319D8" w:rsidRPr="00AE2E52" w:rsidRDefault="00B129DB" w:rsidP="00226770">
      <w:pPr>
        <w:pStyle w:val="SingleTxtG"/>
        <w:ind w:firstLine="567"/>
        <w:rPr>
          <w:rFonts w:eastAsia="Times New Roman"/>
          <w:lang w:val="ru-RU"/>
        </w:rPr>
      </w:pPr>
      <w:r w:rsidRPr="00F31FBE">
        <w:rPr>
          <w:lang w:val="ru-RU"/>
        </w:rPr>
        <w:t>b)</w:t>
      </w:r>
      <w:r w:rsidRPr="00F31FBE">
        <w:rPr>
          <w:lang w:val="ru-RU"/>
        </w:rPr>
        <w:tab/>
        <w:t>погрузк</w:t>
      </w:r>
      <w:r>
        <w:rPr>
          <w:lang w:val="ru-RU"/>
        </w:rPr>
        <w:t>у</w:t>
      </w:r>
      <w:r w:rsidRPr="00F31FBE">
        <w:rPr>
          <w:lang w:val="ru-RU"/>
        </w:rPr>
        <w:t xml:space="preserve"> поверх на борту для газолина (№ ООН 1203), газойля (№</w:t>
      </w:r>
      <w:r>
        <w:rPr>
          <w:lang w:val="en-US"/>
        </w:rPr>
        <w:t> </w:t>
      </w:r>
      <w:r w:rsidRPr="00F31FBE">
        <w:rPr>
          <w:lang w:val="ru-RU"/>
        </w:rPr>
        <w:t>ООН</w:t>
      </w:r>
      <w:r>
        <w:rPr>
          <w:lang w:val="en-US"/>
        </w:rPr>
        <w:t> </w:t>
      </w:r>
      <w:r w:rsidRPr="00F31FBE">
        <w:rPr>
          <w:lang w:val="ru-RU"/>
        </w:rPr>
        <w:t>1202) и тяжелого печного топлива (№ ООН 3082) с ограниченным числом (био)компонентов</w:t>
      </w:r>
      <w:r>
        <w:rPr>
          <w:lang w:val="ru-RU"/>
        </w:rPr>
        <w:t xml:space="preserve"> в пределах их</w:t>
      </w:r>
      <w:r w:rsidRPr="00F31FBE">
        <w:rPr>
          <w:lang w:val="ru-RU"/>
        </w:rPr>
        <w:t xml:space="preserve"> групп</w:t>
      </w:r>
      <w:r>
        <w:rPr>
          <w:lang w:val="ru-RU"/>
        </w:rPr>
        <w:t>ы</w:t>
      </w:r>
      <w:r w:rsidRPr="00F31FBE">
        <w:rPr>
          <w:lang w:val="ru-RU"/>
        </w:rPr>
        <w:t xml:space="preserve">. Биокомпоненты перечислены в таблице 4 приложения I. </w:t>
      </w:r>
      <w:r>
        <w:rPr>
          <w:lang w:val="ru-RU"/>
        </w:rPr>
        <w:t>Доли веществ при п</w:t>
      </w:r>
      <w:r w:rsidRPr="00F31FBE">
        <w:rPr>
          <w:lang w:val="ru-RU"/>
        </w:rPr>
        <w:t>огрузк</w:t>
      </w:r>
      <w:r>
        <w:rPr>
          <w:lang w:val="ru-RU"/>
        </w:rPr>
        <w:t>е</w:t>
      </w:r>
      <w:r w:rsidRPr="00F31FBE">
        <w:rPr>
          <w:lang w:val="ru-RU"/>
        </w:rPr>
        <w:t xml:space="preserve"> поверх/смешивани</w:t>
      </w:r>
      <w:r>
        <w:rPr>
          <w:lang w:val="ru-RU"/>
        </w:rPr>
        <w:t>и</w:t>
      </w:r>
      <w:r w:rsidRPr="00F31FBE">
        <w:rPr>
          <w:lang w:val="ru-RU"/>
        </w:rPr>
        <w:t xml:space="preserve">, а также используемые биокомпоненты должны отвечать установленным требованиям в отношении качества топлива для того, чтобы </w:t>
      </w:r>
      <w:r>
        <w:rPr>
          <w:lang w:val="ru-RU"/>
        </w:rPr>
        <w:t>соответствующие продукты</w:t>
      </w:r>
      <w:r w:rsidRPr="00F31FBE">
        <w:rPr>
          <w:lang w:val="ru-RU"/>
        </w:rPr>
        <w:t xml:space="preserve"> по-прежнему можно было использовать в качестве моторных топлив.</w:t>
      </w:r>
      <w:r w:rsidR="008319D8" w:rsidRPr="00AE2E52">
        <w:rPr>
          <w:lang w:val="ru-RU"/>
        </w:rPr>
        <w:br w:type="page"/>
      </w:r>
    </w:p>
    <w:p w:rsidR="008319D8" w:rsidRPr="00F31FBE" w:rsidRDefault="008319D8" w:rsidP="008319D8">
      <w:pPr>
        <w:pStyle w:val="HChGR"/>
        <w:rPr>
          <w:rFonts w:eastAsia="Calibri"/>
        </w:rPr>
      </w:pPr>
      <w:r>
        <w:lastRenderedPageBreak/>
        <w:t>Приложение I</w:t>
      </w:r>
    </w:p>
    <w:p w:rsidR="008319D8" w:rsidRPr="00F31FBE" w:rsidRDefault="008319D8" w:rsidP="008319D8">
      <w:pPr>
        <w:pStyle w:val="HChG"/>
        <w:rPr>
          <w:rFonts w:eastAsia="Calibri"/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  <w:t>Перечень предлагаемых веществ</w:t>
      </w:r>
      <w:bookmarkStart w:id="1" w:name="_Hlk515616800"/>
      <w:bookmarkEnd w:id="1"/>
    </w:p>
    <w:p w:rsidR="008319D8" w:rsidRPr="00F31FBE" w:rsidRDefault="008319D8" w:rsidP="008319D8">
      <w:pPr>
        <w:pStyle w:val="H1G"/>
        <w:rPr>
          <w:rFonts w:eastAsia="Calibri"/>
          <w:lang w:val="ru-RU"/>
        </w:rPr>
      </w:pPr>
      <w:r w:rsidRPr="00F31FBE">
        <w:rPr>
          <w:lang w:val="ru-RU"/>
        </w:rPr>
        <w:tab/>
        <w:t>I.</w:t>
      </w:r>
      <w:r w:rsidRPr="00F31FBE">
        <w:rPr>
          <w:lang w:val="ru-RU"/>
        </w:rPr>
        <w:tab/>
        <w:t>Перечень предлагаемых веществ</w:t>
      </w:r>
    </w:p>
    <w:p w:rsidR="008319D8" w:rsidRPr="00F31FBE" w:rsidRDefault="008319D8" w:rsidP="008319D8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1.</w:t>
      </w:r>
      <w:r w:rsidRPr="00F31FBE">
        <w:rPr>
          <w:lang w:val="ru-RU"/>
        </w:rPr>
        <w:tab/>
        <w:t>В ответ на вопросы, поднятые в связи с первым рабочим документом</w:t>
      </w:r>
      <w:r w:rsidRPr="00F31FBE">
        <w:rPr>
          <w:rFonts w:eastAsia="Calibri"/>
          <w:sz w:val="18"/>
          <w:szCs w:val="18"/>
          <w:vertAlign w:val="superscript"/>
          <w:lang w:val="ru-RU"/>
        </w:rPr>
        <w:footnoteReference w:id="12"/>
      </w:r>
      <w:r w:rsidRPr="00F31FBE">
        <w:rPr>
          <w:lang w:val="ru-RU"/>
        </w:rPr>
        <w:t xml:space="preserve"> и INF.9</w:t>
      </w:r>
      <w:r w:rsidRPr="00F31FBE">
        <w:rPr>
          <w:rFonts w:eastAsia="Calibri"/>
          <w:sz w:val="18"/>
          <w:szCs w:val="18"/>
          <w:vertAlign w:val="superscript"/>
          <w:lang w:val="ru-RU"/>
        </w:rPr>
        <w:footnoteReference w:id="13"/>
      </w:r>
      <w:r w:rsidRPr="00F31FBE">
        <w:rPr>
          <w:lang w:val="ru-RU"/>
        </w:rPr>
        <w:t xml:space="preserve">, неофициальная рабочая группа составила образец неисчерпывающего перечня веществ, </w:t>
      </w:r>
      <w:r>
        <w:rPr>
          <w:lang w:val="ru-RU"/>
        </w:rPr>
        <w:t>распределенных</w:t>
      </w:r>
      <w:r w:rsidRPr="00F31FBE">
        <w:rPr>
          <w:lang w:val="ru-RU"/>
        </w:rPr>
        <w:t xml:space="preserve"> </w:t>
      </w:r>
      <w:r>
        <w:rPr>
          <w:lang w:val="ru-RU"/>
        </w:rPr>
        <w:t>по</w:t>
      </w:r>
      <w:r w:rsidRPr="00F31FBE">
        <w:rPr>
          <w:lang w:val="ru-RU"/>
        </w:rPr>
        <w:t xml:space="preserve"> тре</w:t>
      </w:r>
      <w:r>
        <w:rPr>
          <w:lang w:val="ru-RU"/>
        </w:rPr>
        <w:t>м</w:t>
      </w:r>
      <w:r w:rsidRPr="00F31FBE">
        <w:rPr>
          <w:lang w:val="ru-RU"/>
        </w:rPr>
        <w:t xml:space="preserve"> таблицам</w:t>
      </w:r>
      <w:r>
        <w:rPr>
          <w:lang w:val="ru-RU"/>
        </w:rPr>
        <w:t xml:space="preserve"> по принципу</w:t>
      </w:r>
      <w:r w:rsidRPr="00F31FBE">
        <w:rPr>
          <w:lang w:val="ru-RU"/>
        </w:rPr>
        <w:t xml:space="preserve"> совместимости. Вещества, указанные в каждой из групп, представляют собой обычные компоненты топлива того или иного типа (например, этанол под № ООН 1170 является обычным составляющим смеси, которую мы называем «газолином»</w:t>
      </w:r>
      <w:r>
        <w:rPr>
          <w:lang w:val="ru-RU"/>
        </w:rPr>
        <w:t xml:space="preserve"> и которой присвоен № ООН 1203).</w:t>
      </w:r>
    </w:p>
    <w:p w:rsidR="008319D8" w:rsidRPr="00AE2E52" w:rsidRDefault="008319D8" w:rsidP="008319D8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2.</w:t>
      </w:r>
      <w:r w:rsidRPr="00F31FBE">
        <w:rPr>
          <w:lang w:val="ru-RU"/>
        </w:rPr>
        <w:tab/>
        <w:t xml:space="preserve">Комитету по вопросам безопасности предлагается рассмотреть следующие три группы веществ в соответствии с таблицей C главы 3.2 ВОПОГ, для которых предлагается разрешить погрузку поверх, </w:t>
      </w:r>
      <w:r w:rsidRPr="00F31FBE">
        <w:rPr>
          <w:u w:val="single"/>
          <w:lang w:val="ru-RU"/>
        </w:rPr>
        <w:t>в пределах их группы совместимости</w:t>
      </w:r>
      <w:r w:rsidRPr="00F31FBE">
        <w:rPr>
          <w:lang w:val="ru-RU"/>
        </w:rPr>
        <w:t>, в</w:t>
      </w:r>
      <w:r w:rsidR="001C1421">
        <w:rPr>
          <w:lang w:val="en-US"/>
        </w:rPr>
        <w:t> </w:t>
      </w:r>
      <w:r>
        <w:rPr>
          <w:lang w:val="ru-RU"/>
        </w:rPr>
        <w:t>танкерах</w:t>
      </w:r>
      <w:r w:rsidRPr="00F31FBE">
        <w:rPr>
          <w:lang w:val="ru-RU"/>
        </w:rPr>
        <w:t xml:space="preserve"> внутреннего плавания в соответствии с третьим абзацем пункта 7.2.4.13.1 ВОПОГ и определениями терминов «исключительные перевозки» и «совместимые транспортные операции», </w:t>
      </w:r>
      <w:r>
        <w:rPr>
          <w:lang w:val="ru-RU"/>
        </w:rPr>
        <w:t>приведенными</w:t>
      </w:r>
      <w:r w:rsidRPr="00F31FBE">
        <w:rPr>
          <w:lang w:val="ru-RU"/>
        </w:rPr>
        <w:t xml:space="preserve"> в статье 5.01 Конвенции о сборе, сдаче и приеме отходов, образующихся при судоходстве на Рейне и на других внутренних водных путях (КОВВП)</w:t>
      </w:r>
      <w:r w:rsidRPr="00F31FBE">
        <w:rPr>
          <w:rFonts w:eastAsia="Calibri"/>
          <w:sz w:val="18"/>
          <w:szCs w:val="18"/>
          <w:vertAlign w:val="superscript"/>
          <w:lang w:val="ru-RU"/>
        </w:rPr>
        <w:footnoteReference w:id="14"/>
      </w:r>
      <w:r w:rsidRPr="00F31FBE">
        <w:rPr>
          <w:lang w:val="ru-RU"/>
        </w:rPr>
        <w:t xml:space="preserve">, и при строгом условии включения </w:t>
      </w:r>
      <w:r>
        <w:rPr>
          <w:lang w:val="ru-RU"/>
        </w:rPr>
        <w:t>соответствующих</w:t>
      </w:r>
      <w:r w:rsidRPr="00F31FBE">
        <w:rPr>
          <w:lang w:val="ru-RU"/>
        </w:rPr>
        <w:t xml:space="preserve"> веществ и образовавшейся смеси в предусмотренный в пункте 1.16.1.2.5</w:t>
      </w:r>
      <w:r>
        <w:rPr>
          <w:lang w:val="ru-RU"/>
        </w:rPr>
        <w:t xml:space="preserve"> </w:t>
      </w:r>
      <w:r w:rsidRPr="00F31FBE">
        <w:rPr>
          <w:lang w:val="ru-RU"/>
        </w:rPr>
        <w:t>перечень веществ, допущенных к перевозке судном</w:t>
      </w:r>
      <w:r>
        <w:rPr>
          <w:lang w:val="ru-RU"/>
        </w:rPr>
        <w:t>.</w:t>
      </w:r>
    </w:p>
    <w:p w:rsidR="008319D8" w:rsidRPr="008319D8" w:rsidRDefault="008319D8" w:rsidP="009F6A03">
      <w:pPr>
        <w:pStyle w:val="H23GR"/>
        <w:spacing w:before="120"/>
        <w:rPr>
          <w:rFonts w:eastAsia="Calibri"/>
        </w:rPr>
      </w:pPr>
      <w:r w:rsidRPr="008319D8">
        <w:rPr>
          <w:b w:val="0"/>
        </w:rPr>
        <w:tab/>
      </w:r>
      <w:r w:rsidRPr="008319D8">
        <w:rPr>
          <w:b w:val="0"/>
        </w:rPr>
        <w:tab/>
        <w:t xml:space="preserve">Таблица 1 </w:t>
      </w:r>
      <w:r w:rsidRPr="008319D8">
        <w:rPr>
          <w:b w:val="0"/>
        </w:rPr>
        <w:br/>
      </w:r>
      <w:r w:rsidRPr="008319D8">
        <w:t>Группа совместимости I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2"/>
        <w:gridCol w:w="840"/>
        <w:gridCol w:w="5648"/>
      </w:tblGrid>
      <w:tr w:rsidR="008319D8" w:rsidRPr="00F31FBE" w:rsidTr="008319D8">
        <w:trPr>
          <w:trHeight w:val="311"/>
          <w:tblHeader/>
        </w:trPr>
        <w:tc>
          <w:tcPr>
            <w:tcW w:w="88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8319D8" w:rsidRPr="00F31FBE" w:rsidRDefault="008319D8" w:rsidP="00C2050F">
            <w:pPr>
              <w:suppressAutoHyphens w:val="0"/>
              <w:spacing w:before="80" w:after="80" w:line="200" w:lineRule="exact"/>
              <w:ind w:right="113"/>
              <w:rPr>
                <w:i/>
                <w:iCs/>
                <w:sz w:val="16"/>
                <w:szCs w:val="16"/>
              </w:rPr>
            </w:pPr>
            <w:r w:rsidRPr="00F31FBE">
              <w:rPr>
                <w:i/>
                <w:iCs/>
                <w:sz w:val="16"/>
                <w:szCs w:val="16"/>
              </w:rPr>
              <w:t>Группа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8319D8" w:rsidRPr="00F31FBE" w:rsidRDefault="008319D8" w:rsidP="00C2050F">
            <w:pPr>
              <w:suppressAutoHyphens w:val="0"/>
              <w:spacing w:before="80" w:after="80" w:line="200" w:lineRule="exact"/>
              <w:ind w:right="113"/>
              <w:rPr>
                <w:i/>
                <w:iCs/>
                <w:sz w:val="16"/>
                <w:szCs w:val="16"/>
              </w:rPr>
            </w:pPr>
            <w:r w:rsidRPr="00F31FBE">
              <w:rPr>
                <w:i/>
                <w:iCs/>
                <w:sz w:val="16"/>
                <w:szCs w:val="16"/>
              </w:rPr>
              <w:t>№ ООН</w:t>
            </w:r>
          </w:p>
        </w:tc>
        <w:tc>
          <w:tcPr>
            <w:tcW w:w="564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8319D8" w:rsidRPr="00F31FBE" w:rsidRDefault="008319D8" w:rsidP="00C2050F">
            <w:pPr>
              <w:suppressAutoHyphens w:val="0"/>
              <w:spacing w:before="80" w:after="80" w:line="200" w:lineRule="exact"/>
              <w:ind w:right="113"/>
              <w:rPr>
                <w:i/>
                <w:iCs/>
                <w:sz w:val="16"/>
                <w:szCs w:val="16"/>
              </w:rPr>
            </w:pPr>
            <w:r w:rsidRPr="00F31FBE">
              <w:rPr>
                <w:i/>
                <w:iCs/>
                <w:sz w:val="16"/>
                <w:szCs w:val="16"/>
              </w:rPr>
              <w:t>Надлежащее отгрузочное наименование</w:t>
            </w:r>
          </w:p>
        </w:tc>
      </w:tr>
      <w:tr w:rsidR="008319D8" w:rsidRPr="00F31FBE" w:rsidTr="008319D8">
        <w:trPr>
          <w:trHeight w:val="325"/>
        </w:trPr>
        <w:tc>
          <w:tcPr>
            <w:tcW w:w="88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Газолин</w:t>
            </w:r>
          </w:p>
        </w:tc>
        <w:tc>
          <w:tcPr>
            <w:tcW w:w="840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1203</w:t>
            </w:r>
          </w:p>
        </w:tc>
        <w:tc>
          <w:tcPr>
            <w:tcW w:w="5648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БЕНЗИН МОТОРНЫЙ или ГАЗОЛИН или ПЕТРОЛ 2)</w:t>
            </w:r>
          </w:p>
        </w:tc>
      </w:tr>
      <w:tr w:rsidR="008319D8" w:rsidRPr="00F31FBE" w:rsidTr="008319D8">
        <w:trPr>
          <w:trHeight w:val="311"/>
        </w:trPr>
        <w:tc>
          <w:tcPr>
            <w:tcW w:w="88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 </w:t>
            </w:r>
          </w:p>
        </w:tc>
        <w:tc>
          <w:tcPr>
            <w:tcW w:w="840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1170</w:t>
            </w:r>
          </w:p>
        </w:tc>
        <w:tc>
          <w:tcPr>
            <w:tcW w:w="5648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ЭТАНОЛ (СПИРТ ЭТИЛОВЫЙ) или ЭТАНОЛА РАСТВОР (СПИРТА ЭТИЛОВОГО РАСТВОР) 1)</w:t>
            </w:r>
          </w:p>
        </w:tc>
      </w:tr>
      <w:tr w:rsidR="008319D8" w:rsidRPr="00F31FBE" w:rsidTr="008319D8">
        <w:trPr>
          <w:trHeight w:val="311"/>
        </w:trPr>
        <w:tc>
          <w:tcPr>
            <w:tcW w:w="88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 </w:t>
            </w:r>
          </w:p>
        </w:tc>
        <w:tc>
          <w:tcPr>
            <w:tcW w:w="840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1179</w:t>
            </w:r>
          </w:p>
        </w:tc>
        <w:tc>
          <w:tcPr>
            <w:tcW w:w="5648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ЭФИР ЭТИЛБУТИЛОВЫЙ (ЭФИР ЭТИЛ-терт-БУТИЛОВЫЙ)</w:t>
            </w:r>
          </w:p>
        </w:tc>
      </w:tr>
      <w:tr w:rsidR="008319D8" w:rsidRPr="00F31FBE" w:rsidTr="008319D8">
        <w:trPr>
          <w:trHeight w:val="311"/>
        </w:trPr>
        <w:tc>
          <w:tcPr>
            <w:tcW w:w="88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 </w:t>
            </w:r>
          </w:p>
        </w:tc>
        <w:tc>
          <w:tcPr>
            <w:tcW w:w="840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1230</w:t>
            </w:r>
          </w:p>
        </w:tc>
        <w:tc>
          <w:tcPr>
            <w:tcW w:w="5648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МЕТАНОЛ</w:t>
            </w:r>
          </w:p>
        </w:tc>
      </w:tr>
      <w:tr w:rsidR="008319D8" w:rsidRPr="00F31FBE" w:rsidTr="008319D8">
        <w:trPr>
          <w:trHeight w:val="311"/>
        </w:trPr>
        <w:tc>
          <w:tcPr>
            <w:tcW w:w="88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 </w:t>
            </w:r>
          </w:p>
        </w:tc>
        <w:tc>
          <w:tcPr>
            <w:tcW w:w="840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1268</w:t>
            </w:r>
          </w:p>
        </w:tc>
        <w:tc>
          <w:tcPr>
            <w:tcW w:w="5648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НЕФТИ ДИСТИЛЛЯТЫ, Н.У.К., или НЕФТЕПРОДУКТЫ, Н.У.К. 2)</w:t>
            </w:r>
          </w:p>
        </w:tc>
      </w:tr>
      <w:tr w:rsidR="008319D8" w:rsidRPr="00F31FBE" w:rsidTr="008319D8">
        <w:trPr>
          <w:trHeight w:val="311"/>
        </w:trPr>
        <w:tc>
          <w:tcPr>
            <w:tcW w:w="88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 </w:t>
            </w:r>
          </w:p>
        </w:tc>
        <w:tc>
          <w:tcPr>
            <w:tcW w:w="840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1294</w:t>
            </w:r>
          </w:p>
        </w:tc>
        <w:tc>
          <w:tcPr>
            <w:tcW w:w="5648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ТОЛУОЛ</w:t>
            </w:r>
          </w:p>
        </w:tc>
      </w:tr>
      <w:tr w:rsidR="008319D8" w:rsidRPr="00F31FBE" w:rsidTr="008319D8">
        <w:trPr>
          <w:trHeight w:val="311"/>
        </w:trPr>
        <w:tc>
          <w:tcPr>
            <w:tcW w:w="88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 </w:t>
            </w:r>
          </w:p>
        </w:tc>
        <w:tc>
          <w:tcPr>
            <w:tcW w:w="840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1307</w:t>
            </w:r>
          </w:p>
        </w:tc>
        <w:tc>
          <w:tcPr>
            <w:tcW w:w="5648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КСИЛОЛЫ</w:t>
            </w:r>
          </w:p>
        </w:tc>
      </w:tr>
      <w:tr w:rsidR="008319D8" w:rsidRPr="00F31FBE" w:rsidTr="008319D8">
        <w:trPr>
          <w:trHeight w:val="311"/>
        </w:trPr>
        <w:tc>
          <w:tcPr>
            <w:tcW w:w="88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 </w:t>
            </w:r>
          </w:p>
        </w:tc>
        <w:tc>
          <w:tcPr>
            <w:tcW w:w="840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2398</w:t>
            </w:r>
          </w:p>
        </w:tc>
        <w:tc>
          <w:tcPr>
            <w:tcW w:w="5648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ЭФИР МЕТИЛ-трет-БУТИЛОВЫЙ</w:t>
            </w:r>
          </w:p>
        </w:tc>
      </w:tr>
      <w:tr w:rsidR="008319D8" w:rsidRPr="00F31FBE" w:rsidTr="008319D8">
        <w:trPr>
          <w:trHeight w:val="311"/>
        </w:trPr>
        <w:tc>
          <w:tcPr>
            <w:tcW w:w="882" w:type="dxa"/>
            <w:shd w:val="clear" w:color="auto" w:fill="auto"/>
            <w:noWrap/>
            <w:tcMar>
              <w:left w:w="28" w:type="dxa"/>
              <w:right w:w="28" w:type="dxa"/>
            </w:tcMar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</w:p>
        </w:tc>
        <w:tc>
          <w:tcPr>
            <w:tcW w:w="840" w:type="dxa"/>
            <w:shd w:val="clear" w:color="auto" w:fill="auto"/>
            <w:tcMar>
              <w:left w:w="28" w:type="dxa"/>
              <w:right w:w="28" w:type="dxa"/>
            </w:tcMar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3475</w:t>
            </w:r>
          </w:p>
        </w:tc>
        <w:tc>
          <w:tcPr>
            <w:tcW w:w="564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ЭТАНОЛА И ГАЗОЛИНА СМЕСЬ или ЭТАНОЛА И БЕНЗИНА МОТОРНОГО СМЕСЬ, или</w:t>
            </w:r>
          </w:p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ЭТАНОЛА И ТОПЛИВА МОТОРНОГО СМЕСЬ 1)</w:t>
            </w:r>
          </w:p>
        </w:tc>
      </w:tr>
      <w:tr w:rsidR="008319D8" w:rsidRPr="00F31FBE" w:rsidTr="001C1421">
        <w:trPr>
          <w:trHeight w:val="311"/>
        </w:trPr>
        <w:tc>
          <w:tcPr>
            <w:tcW w:w="882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 </w:t>
            </w:r>
          </w:p>
        </w:tc>
        <w:tc>
          <w:tcPr>
            <w:tcW w:w="840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3295</w:t>
            </w:r>
          </w:p>
        </w:tc>
        <w:tc>
          <w:tcPr>
            <w:tcW w:w="5648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  <w:rPr>
                <w:rFonts w:eastAsia="Calibri"/>
              </w:rPr>
            </w:pPr>
            <w:r w:rsidRPr="00F31FBE">
              <w:t xml:space="preserve">УГЛЕВОДОРОДЫ ЖИДКИЕ, Н.У.К. 2) </w:t>
            </w:r>
          </w:p>
        </w:tc>
      </w:tr>
      <w:tr w:rsidR="008319D8" w:rsidRPr="00F31FBE" w:rsidTr="001C1421">
        <w:trPr>
          <w:trHeight w:val="311"/>
        </w:trPr>
        <w:tc>
          <w:tcPr>
            <w:tcW w:w="882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  <w:rPr>
                <w:rFonts w:eastAsia="Calibri"/>
              </w:rPr>
            </w:pPr>
            <w:r w:rsidRPr="00F31FBE">
              <w:rPr>
                <w:rFonts w:eastAsia="Calibri"/>
              </w:rPr>
              <w:t> 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  <w:rPr>
                <w:rFonts w:eastAsia="Calibri"/>
              </w:rPr>
            </w:pPr>
            <w:r w:rsidRPr="00F31FBE">
              <w:rPr>
                <w:rFonts w:eastAsia="Calibri"/>
              </w:rPr>
              <w:t> </w:t>
            </w:r>
          </w:p>
        </w:tc>
        <w:tc>
          <w:tcPr>
            <w:tcW w:w="5648" w:type="dxa"/>
            <w:tcBorders>
              <w:top w:val="nil"/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9F6A03">
            <w:pPr>
              <w:suppressAutoHyphens w:val="0"/>
              <w:spacing w:before="40" w:after="80" w:line="220" w:lineRule="exact"/>
              <w:ind w:right="113"/>
            </w:pPr>
            <w:r w:rsidRPr="00F31FBE">
              <w:t>Биокомпоненты, соответствующие приложению III ДВИЭ</w:t>
            </w:r>
          </w:p>
        </w:tc>
      </w:tr>
      <w:tr w:rsidR="008319D8" w:rsidRPr="00F31FBE" w:rsidTr="001C1421">
        <w:trPr>
          <w:trHeight w:val="311"/>
        </w:trPr>
        <w:tc>
          <w:tcPr>
            <w:tcW w:w="882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C2050F">
            <w:pPr>
              <w:suppressAutoHyphens w:val="0"/>
              <w:spacing w:before="40" w:after="120" w:line="220" w:lineRule="exact"/>
              <w:ind w:right="113"/>
            </w:pPr>
            <w:r w:rsidRPr="00F31FBE">
              <w:t> </w:t>
            </w:r>
          </w:p>
        </w:tc>
        <w:tc>
          <w:tcPr>
            <w:tcW w:w="840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C2050F">
            <w:pPr>
              <w:suppressAutoHyphens w:val="0"/>
              <w:spacing w:before="40" w:after="120" w:line="220" w:lineRule="exact"/>
              <w:ind w:right="113"/>
            </w:pPr>
            <w:r w:rsidRPr="00F31FBE">
              <w:t> </w:t>
            </w:r>
          </w:p>
        </w:tc>
        <w:tc>
          <w:tcPr>
            <w:tcW w:w="5648" w:type="dxa"/>
            <w:tcBorders>
              <w:top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C2050F">
            <w:pPr>
              <w:suppressAutoHyphens w:val="0"/>
              <w:spacing w:before="40" w:after="120" w:line="220" w:lineRule="exact"/>
              <w:ind w:right="113"/>
            </w:pPr>
            <w:r w:rsidRPr="00F31FBE">
              <w:t>Биокомпоненты, неопасные, соответствующие приложению III ДВИЭ</w:t>
            </w:r>
          </w:p>
        </w:tc>
      </w:tr>
    </w:tbl>
    <w:p w:rsidR="008319D8" w:rsidRPr="008319D8" w:rsidRDefault="008319D8" w:rsidP="008319D8">
      <w:pPr>
        <w:pStyle w:val="H23GR"/>
        <w:rPr>
          <w:rFonts w:eastAsia="Calibri"/>
        </w:rPr>
      </w:pPr>
      <w:r w:rsidRPr="008319D8">
        <w:rPr>
          <w:b w:val="0"/>
        </w:rPr>
        <w:lastRenderedPageBreak/>
        <w:tab/>
      </w:r>
      <w:r w:rsidRPr="008319D8">
        <w:rPr>
          <w:b w:val="0"/>
        </w:rPr>
        <w:tab/>
        <w:t xml:space="preserve">Taблица 2 </w:t>
      </w:r>
      <w:r w:rsidRPr="008319D8">
        <w:rPr>
          <w:b w:val="0"/>
        </w:rPr>
        <w:br/>
      </w:r>
      <w:r w:rsidRPr="008319D8">
        <w:t>Группа совместимости II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6"/>
        <w:gridCol w:w="840"/>
        <w:gridCol w:w="5634"/>
      </w:tblGrid>
      <w:tr w:rsidR="008319D8" w:rsidRPr="00F31FBE" w:rsidTr="008319D8">
        <w:trPr>
          <w:trHeight w:val="325"/>
          <w:tblHeader/>
        </w:trPr>
        <w:tc>
          <w:tcPr>
            <w:tcW w:w="8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319D8" w:rsidRPr="00F31FBE" w:rsidRDefault="008319D8" w:rsidP="00C2050F">
            <w:pPr>
              <w:suppressAutoHyphens w:val="0"/>
              <w:spacing w:before="80" w:after="80" w:line="200" w:lineRule="exact"/>
              <w:ind w:right="113"/>
              <w:rPr>
                <w:i/>
                <w:iCs/>
                <w:sz w:val="18"/>
                <w:szCs w:val="18"/>
              </w:rPr>
            </w:pPr>
            <w:r w:rsidRPr="00F31FBE">
              <w:rPr>
                <w:i/>
                <w:iCs/>
                <w:sz w:val="18"/>
                <w:szCs w:val="18"/>
              </w:rPr>
              <w:t>Газойль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8319D8" w:rsidRPr="00F31FBE" w:rsidRDefault="008319D8" w:rsidP="00C2050F">
            <w:pPr>
              <w:suppressAutoHyphens w:val="0"/>
              <w:spacing w:before="80" w:after="80" w:line="200" w:lineRule="exact"/>
              <w:ind w:right="113"/>
              <w:rPr>
                <w:i/>
                <w:iCs/>
                <w:sz w:val="18"/>
                <w:szCs w:val="18"/>
              </w:rPr>
            </w:pPr>
            <w:r w:rsidRPr="00F31FBE">
              <w:rPr>
                <w:i/>
                <w:iCs/>
                <w:sz w:val="18"/>
                <w:szCs w:val="18"/>
              </w:rPr>
              <w:t>1202</w:t>
            </w:r>
          </w:p>
        </w:tc>
        <w:tc>
          <w:tcPr>
            <w:tcW w:w="56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319D8" w:rsidRPr="00F31FBE" w:rsidRDefault="008319D8" w:rsidP="00C2050F">
            <w:pPr>
              <w:suppressAutoHyphens w:val="0"/>
              <w:spacing w:before="80" w:after="80" w:line="200" w:lineRule="exact"/>
              <w:ind w:right="113"/>
              <w:rPr>
                <w:i/>
                <w:iCs/>
                <w:sz w:val="18"/>
                <w:szCs w:val="18"/>
              </w:rPr>
            </w:pPr>
            <w:r w:rsidRPr="00F31FBE">
              <w:rPr>
                <w:i/>
                <w:iCs/>
                <w:sz w:val="18"/>
                <w:szCs w:val="18"/>
              </w:rPr>
              <w:t>ГАЗОЙЛЬ, или ТОПЛИВО ДИЗЕЛЬНОЕ, или ТОПЛИВО ПЕЧНОЕ, ЛЕГКОЕ 1)</w:t>
            </w:r>
          </w:p>
        </w:tc>
      </w:tr>
      <w:tr w:rsidR="008319D8" w:rsidRPr="00F31FBE" w:rsidTr="008319D8">
        <w:trPr>
          <w:trHeight w:val="311"/>
        </w:trPr>
        <w:tc>
          <w:tcPr>
            <w:tcW w:w="89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C2050F">
            <w:pPr>
              <w:suppressAutoHyphens w:val="0"/>
              <w:spacing w:before="40" w:after="120" w:line="220" w:lineRule="exact"/>
              <w:ind w:right="113"/>
            </w:pPr>
            <w:r w:rsidRPr="00F31FBE">
              <w:t> </w:t>
            </w:r>
          </w:p>
        </w:tc>
        <w:tc>
          <w:tcPr>
            <w:tcW w:w="840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C2050F">
            <w:pPr>
              <w:suppressAutoHyphens w:val="0"/>
              <w:spacing w:before="40" w:after="120" w:line="220" w:lineRule="exact"/>
              <w:ind w:right="113"/>
            </w:pPr>
            <w:r w:rsidRPr="00F31FBE">
              <w:t> </w:t>
            </w:r>
          </w:p>
        </w:tc>
        <w:tc>
          <w:tcPr>
            <w:tcW w:w="5634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C2050F">
            <w:pPr>
              <w:suppressAutoHyphens w:val="0"/>
              <w:spacing w:before="40" w:after="120" w:line="220" w:lineRule="exact"/>
              <w:ind w:right="113"/>
            </w:pPr>
            <w:r w:rsidRPr="00F31FBE">
              <w:t>Биокомпоненты, соответствующие приложению III ДВИЭ</w:t>
            </w:r>
          </w:p>
        </w:tc>
      </w:tr>
      <w:tr w:rsidR="008319D8" w:rsidRPr="00F31FBE" w:rsidTr="008319D8">
        <w:trPr>
          <w:trHeight w:val="311"/>
        </w:trPr>
        <w:tc>
          <w:tcPr>
            <w:tcW w:w="89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C2050F">
            <w:pPr>
              <w:suppressAutoHyphens w:val="0"/>
              <w:spacing w:before="40" w:after="120" w:line="220" w:lineRule="exact"/>
              <w:ind w:right="113"/>
            </w:pPr>
            <w:r w:rsidRPr="00F31FBE">
              <w:t> </w:t>
            </w:r>
          </w:p>
        </w:tc>
        <w:tc>
          <w:tcPr>
            <w:tcW w:w="840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319D8" w:rsidRPr="00F31FBE" w:rsidRDefault="008319D8" w:rsidP="00C2050F">
            <w:pPr>
              <w:suppressAutoHyphens w:val="0"/>
              <w:spacing w:before="40" w:after="120" w:line="220" w:lineRule="exact"/>
              <w:ind w:right="113"/>
            </w:pPr>
            <w:r w:rsidRPr="00F31FBE">
              <w:t> </w:t>
            </w:r>
          </w:p>
        </w:tc>
        <w:tc>
          <w:tcPr>
            <w:tcW w:w="563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319D8" w:rsidRPr="00F31FBE" w:rsidRDefault="008319D8" w:rsidP="00C2050F">
            <w:pPr>
              <w:suppressAutoHyphens w:val="0"/>
              <w:spacing w:before="40" w:after="120" w:line="220" w:lineRule="exact"/>
              <w:ind w:right="113"/>
            </w:pPr>
            <w:r w:rsidRPr="00F31FBE">
              <w:t>Биокомпоненты, неопасные, соответствующие приложению III ДВИЭ</w:t>
            </w:r>
          </w:p>
        </w:tc>
      </w:tr>
    </w:tbl>
    <w:p w:rsidR="008319D8" w:rsidRPr="008319D8" w:rsidRDefault="008319D8" w:rsidP="008319D8">
      <w:pPr>
        <w:pStyle w:val="H23GR"/>
        <w:rPr>
          <w:rFonts w:eastAsia="Calibri"/>
        </w:rPr>
      </w:pPr>
      <w:r w:rsidRPr="008319D8">
        <w:rPr>
          <w:b w:val="0"/>
        </w:rPr>
        <w:tab/>
      </w:r>
      <w:r w:rsidRPr="008319D8">
        <w:rPr>
          <w:b w:val="0"/>
        </w:rPr>
        <w:tab/>
        <w:t xml:space="preserve">Taблица 3 </w:t>
      </w:r>
      <w:r w:rsidRPr="008319D8">
        <w:rPr>
          <w:b w:val="0"/>
        </w:rPr>
        <w:br/>
      </w:r>
      <w:r w:rsidRPr="008319D8">
        <w:t>Группа совместимости III</w:t>
      </w:r>
    </w:p>
    <w:tbl>
      <w:tblPr>
        <w:tblW w:w="7363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700"/>
        <w:gridCol w:w="5613"/>
      </w:tblGrid>
      <w:tr w:rsidR="008319D8" w:rsidRPr="00F31FBE" w:rsidTr="008319D8">
        <w:trPr>
          <w:trHeight w:val="385"/>
          <w:tblHeader/>
        </w:trPr>
        <w:tc>
          <w:tcPr>
            <w:tcW w:w="10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t>Тяжелое печное топливо</w:t>
            </w:r>
          </w:p>
        </w:tc>
        <w:tc>
          <w:tcPr>
            <w:tcW w:w="70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t>3082</w:t>
            </w:r>
          </w:p>
        </w:tc>
        <w:tc>
          <w:tcPr>
            <w:tcW w:w="561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t>ВЕЩЕСТВО, ОПАСНОЕ ДЛЯ ОКРУЖАЮЩЕЙ СРЕДЫ, ЖИДКОЕ, Н.У.К. (ТЯЖЕЛОЕ ПЕЧНОЕ ТОПЛИВО) 3)</w:t>
            </w:r>
          </w:p>
        </w:tc>
      </w:tr>
      <w:tr w:rsidR="008319D8" w:rsidRPr="00F31FBE" w:rsidTr="008319D8">
        <w:trPr>
          <w:trHeight w:val="311"/>
        </w:trPr>
        <w:tc>
          <w:tcPr>
            <w:tcW w:w="1050" w:type="dxa"/>
            <w:tcBorders>
              <w:top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rPr>
                <w:rFonts w:eastAsia="Calibri"/>
              </w:rPr>
              <w:t> </w:t>
            </w:r>
          </w:p>
        </w:tc>
        <w:tc>
          <w:tcPr>
            <w:tcW w:w="700" w:type="dxa"/>
            <w:tcBorders>
              <w:top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t>1202</w:t>
            </w:r>
          </w:p>
        </w:tc>
        <w:tc>
          <w:tcPr>
            <w:tcW w:w="5613" w:type="dxa"/>
            <w:tcBorders>
              <w:top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t>ГАЗОЙЛЬ, или ТОПЛИВО ДИЗЕЛЬНОЕ, или ТОПЛИВО ПЕЧНОЕ, ЛЕГКОЕ 1)</w:t>
            </w:r>
          </w:p>
        </w:tc>
      </w:tr>
      <w:tr w:rsidR="008319D8" w:rsidRPr="00F31FBE" w:rsidTr="008319D8">
        <w:trPr>
          <w:trHeight w:val="311"/>
        </w:trPr>
        <w:tc>
          <w:tcPr>
            <w:tcW w:w="10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</w:p>
        </w:tc>
        <w:tc>
          <w:tcPr>
            <w:tcW w:w="7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t>3256</w:t>
            </w:r>
          </w:p>
        </w:tc>
        <w:tc>
          <w:tcPr>
            <w:tcW w:w="5613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t>ЖИДКОСТЬ ПРИ ВЫСОКОЙ ТЕМПЕРАТУРЕ ЛЕГКОВОСПЛАМЕНЯЮЩАЯСЯ, Н.У.К. (с температурой вспышки более 60 °C, при температуре не ниже ее температуры вспышки 4), 5)</w:t>
            </w:r>
          </w:p>
        </w:tc>
      </w:tr>
      <w:tr w:rsidR="008319D8" w:rsidRPr="00F31FBE" w:rsidTr="008319D8">
        <w:trPr>
          <w:trHeight w:val="311"/>
        </w:trPr>
        <w:tc>
          <w:tcPr>
            <w:tcW w:w="10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rPr>
                <w:rFonts w:eastAsia="Calibri"/>
              </w:rPr>
              <w:t> </w:t>
            </w:r>
          </w:p>
        </w:tc>
        <w:tc>
          <w:tcPr>
            <w:tcW w:w="7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rPr>
                <w:rFonts w:eastAsia="Calibri"/>
              </w:rPr>
              <w:t> </w:t>
            </w:r>
          </w:p>
        </w:tc>
        <w:tc>
          <w:tcPr>
            <w:tcW w:w="5613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t>Биокомпоненты, соответствующие приложению III ДВИЭ</w:t>
            </w:r>
          </w:p>
        </w:tc>
      </w:tr>
      <w:tr w:rsidR="008319D8" w:rsidRPr="00F31FBE" w:rsidTr="008319D8">
        <w:trPr>
          <w:trHeight w:val="311"/>
        </w:trPr>
        <w:tc>
          <w:tcPr>
            <w:tcW w:w="10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rPr>
                <w:rFonts w:eastAsia="Calibri"/>
              </w:rPr>
              <w:t> </w:t>
            </w:r>
          </w:p>
        </w:tc>
        <w:tc>
          <w:tcPr>
            <w:tcW w:w="70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rPr>
                <w:rFonts w:eastAsia="Calibri"/>
              </w:rPr>
              <w:t> </w:t>
            </w:r>
          </w:p>
        </w:tc>
        <w:tc>
          <w:tcPr>
            <w:tcW w:w="5613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319D8" w:rsidRPr="00F31FBE" w:rsidRDefault="008319D8" w:rsidP="008319D8">
            <w:pPr>
              <w:spacing w:before="40" w:after="120" w:line="220" w:lineRule="exact"/>
              <w:ind w:right="113"/>
              <w:rPr>
                <w:rFonts w:eastAsia="Calibri"/>
              </w:rPr>
            </w:pPr>
            <w:r w:rsidRPr="00F31FBE">
              <w:t>Биокомпоненты, неопасные, соответствующие приложению III ДВИЭ</w:t>
            </w:r>
          </w:p>
        </w:tc>
      </w:tr>
    </w:tbl>
    <w:p w:rsidR="008319D8" w:rsidRPr="009632DF" w:rsidRDefault="008319D8" w:rsidP="009632DF">
      <w:pPr>
        <w:pStyle w:val="SingleTxtG"/>
        <w:spacing w:before="120" w:after="0" w:line="220" w:lineRule="atLeast"/>
        <w:jc w:val="left"/>
        <w:rPr>
          <w:rFonts w:eastAsia="Calibri"/>
          <w:sz w:val="18"/>
          <w:szCs w:val="18"/>
          <w:lang w:val="ru-RU"/>
        </w:rPr>
      </w:pPr>
      <w:r w:rsidRPr="009632DF">
        <w:rPr>
          <w:sz w:val="18"/>
          <w:szCs w:val="18"/>
          <w:lang w:val="ru-RU"/>
        </w:rPr>
        <w:t>1) Таблица С: все позиции под этим номером ООН.</w:t>
      </w:r>
    </w:p>
    <w:p w:rsidR="008319D8" w:rsidRPr="009632DF" w:rsidRDefault="008319D8" w:rsidP="009632DF">
      <w:pPr>
        <w:pStyle w:val="SingleTxtG"/>
        <w:spacing w:after="0" w:line="220" w:lineRule="atLeast"/>
        <w:jc w:val="left"/>
        <w:rPr>
          <w:rFonts w:eastAsia="Calibri"/>
          <w:sz w:val="18"/>
          <w:szCs w:val="18"/>
          <w:lang w:val="ru-RU"/>
        </w:rPr>
      </w:pPr>
      <w:r w:rsidRPr="009632DF">
        <w:rPr>
          <w:sz w:val="18"/>
          <w:szCs w:val="18"/>
          <w:lang w:val="ru-RU"/>
        </w:rPr>
        <w:t>2) Таблица C: все позиции под этим номером ООН, за исключением тех из них, для которых в</w:t>
      </w:r>
      <w:r w:rsidR="009632DF">
        <w:rPr>
          <w:sz w:val="18"/>
          <w:szCs w:val="18"/>
          <w:lang w:val="en-US"/>
        </w:rPr>
        <w:t> </w:t>
      </w:r>
      <w:r w:rsidRPr="009632DF">
        <w:rPr>
          <w:sz w:val="18"/>
          <w:szCs w:val="18"/>
          <w:lang w:val="ru-RU"/>
        </w:rPr>
        <w:t>колонках 6, 7 и 8 указано соответственно С-1-1 или которым присваивается С-1-1 в</w:t>
      </w:r>
      <w:r w:rsidR="009632DF">
        <w:rPr>
          <w:sz w:val="18"/>
          <w:szCs w:val="18"/>
          <w:lang w:val="en-US"/>
        </w:rPr>
        <w:t> </w:t>
      </w:r>
      <w:r w:rsidRPr="009632DF">
        <w:rPr>
          <w:sz w:val="18"/>
          <w:szCs w:val="18"/>
          <w:lang w:val="ru-RU"/>
        </w:rPr>
        <w:t>результате применения схемы, приведенной в пункте 3.2.3.3.</w:t>
      </w:r>
    </w:p>
    <w:p w:rsidR="008319D8" w:rsidRPr="009632DF" w:rsidRDefault="008319D8" w:rsidP="009632DF">
      <w:pPr>
        <w:pStyle w:val="SingleTxtG"/>
        <w:spacing w:after="0" w:line="220" w:lineRule="atLeast"/>
        <w:jc w:val="left"/>
        <w:rPr>
          <w:rFonts w:eastAsia="Calibri"/>
          <w:sz w:val="18"/>
          <w:szCs w:val="18"/>
          <w:lang w:val="ru-RU"/>
        </w:rPr>
      </w:pPr>
      <w:r w:rsidRPr="009632DF">
        <w:rPr>
          <w:sz w:val="18"/>
          <w:szCs w:val="18"/>
          <w:lang w:val="ru-RU"/>
        </w:rPr>
        <w:t>3) Таблица С: позиции 1 и 2 под этим номером ООН.</w:t>
      </w:r>
    </w:p>
    <w:p w:rsidR="008319D8" w:rsidRPr="009632DF" w:rsidRDefault="008319D8" w:rsidP="009632DF">
      <w:pPr>
        <w:pStyle w:val="SingleTxtG"/>
        <w:spacing w:after="0" w:line="220" w:lineRule="atLeast"/>
        <w:jc w:val="left"/>
        <w:rPr>
          <w:rFonts w:eastAsia="Calibri"/>
          <w:sz w:val="18"/>
          <w:szCs w:val="18"/>
          <w:lang w:val="ru-RU"/>
        </w:rPr>
      </w:pPr>
      <w:r w:rsidRPr="009632DF">
        <w:rPr>
          <w:sz w:val="18"/>
          <w:szCs w:val="18"/>
          <w:lang w:val="ru-RU"/>
        </w:rPr>
        <w:t>4) Таблица С, № ООН 3256, позиция 1.</w:t>
      </w:r>
    </w:p>
    <w:p w:rsidR="008319D8" w:rsidRPr="009632DF" w:rsidRDefault="008319D8" w:rsidP="009632DF">
      <w:pPr>
        <w:pStyle w:val="SingleTxtG"/>
        <w:spacing w:line="220" w:lineRule="atLeast"/>
        <w:jc w:val="left"/>
        <w:rPr>
          <w:rFonts w:eastAsia="Calibri"/>
          <w:sz w:val="18"/>
          <w:szCs w:val="18"/>
          <w:lang w:val="ru-RU"/>
        </w:rPr>
      </w:pPr>
      <w:r w:rsidRPr="009632DF">
        <w:rPr>
          <w:sz w:val="18"/>
          <w:szCs w:val="18"/>
          <w:lang w:val="ru-RU"/>
        </w:rPr>
        <w:t>5) Речь идет непосредственно о ТЯЖЕЛОМ ПЕЧНОМ ТОПЛИВЕ (№ ООН 3082 ВЕЩЕСТВО, ОПАСНОЕ ДЛЯ ОКРУЖАЮЩЕЙ СРЕДЫ, ЖИДКОЕ, Н</w:t>
      </w:r>
      <w:r w:rsidR="009632DF" w:rsidRPr="00AE2E52">
        <w:rPr>
          <w:sz w:val="18"/>
          <w:szCs w:val="18"/>
          <w:lang w:val="ru-RU"/>
        </w:rPr>
        <w:t>.</w:t>
      </w:r>
      <w:r w:rsidRPr="009632DF">
        <w:rPr>
          <w:sz w:val="18"/>
          <w:szCs w:val="18"/>
          <w:lang w:val="ru-RU"/>
        </w:rPr>
        <w:t>У</w:t>
      </w:r>
      <w:r w:rsidR="009632DF" w:rsidRPr="00AE2E52">
        <w:rPr>
          <w:sz w:val="18"/>
          <w:szCs w:val="18"/>
          <w:lang w:val="ru-RU"/>
        </w:rPr>
        <w:t>.</w:t>
      </w:r>
      <w:r w:rsidRPr="009632DF">
        <w:rPr>
          <w:sz w:val="18"/>
          <w:szCs w:val="18"/>
          <w:lang w:val="ru-RU"/>
        </w:rPr>
        <w:t>К (ТЯЖЕЛОЕ ПЕЧНОЕ ТОПЛИВО)), 9+CMR (N1, N2, F или S), III, которое в связи с погрузкой при температуре, равной или превышающей его температуру вспышки, должно быть классифицировано как</w:t>
      </w:r>
      <w:r w:rsidR="009632DF">
        <w:rPr>
          <w:sz w:val="18"/>
          <w:szCs w:val="18"/>
          <w:lang w:val="en-US"/>
        </w:rPr>
        <w:t> </w:t>
      </w:r>
      <w:r w:rsidRPr="009632DF">
        <w:rPr>
          <w:sz w:val="18"/>
          <w:szCs w:val="18"/>
          <w:lang w:val="ru-RU"/>
        </w:rPr>
        <w:t>№</w:t>
      </w:r>
      <w:r w:rsidR="009632DF">
        <w:rPr>
          <w:sz w:val="18"/>
          <w:szCs w:val="18"/>
          <w:lang w:val="en-US"/>
        </w:rPr>
        <w:t> </w:t>
      </w:r>
      <w:r w:rsidRPr="009632DF">
        <w:rPr>
          <w:sz w:val="18"/>
          <w:szCs w:val="18"/>
          <w:lang w:val="ru-RU"/>
        </w:rPr>
        <w:t>ООН 3256.</w:t>
      </w:r>
    </w:p>
    <w:p w:rsidR="008319D8" w:rsidRPr="00F31FBE" w:rsidRDefault="008319D8" w:rsidP="008319D8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3.</w:t>
      </w:r>
      <w:r w:rsidRPr="00F31FBE">
        <w:rPr>
          <w:lang w:val="ru-RU"/>
        </w:rPr>
        <w:tab/>
        <w:t xml:space="preserve">Кроме того, неофициальная рабочая группа предлагает Комитету по вопросам безопасности рассмотреть вопрос о том, чтобы разрешить погрузку поверх в </w:t>
      </w:r>
      <w:r>
        <w:rPr>
          <w:lang w:val="ru-RU"/>
        </w:rPr>
        <w:t>танкерах</w:t>
      </w:r>
      <w:r w:rsidRPr="00F31FBE">
        <w:rPr>
          <w:lang w:val="ru-RU"/>
        </w:rPr>
        <w:t xml:space="preserve"> внутреннего плавания веществ, перечисленных в таблице 4, которая приведена в приложении III к директиве по возобновляемым источникам энергии</w:t>
      </w:r>
      <w:r w:rsidRPr="003C0CBE">
        <w:rPr>
          <w:rFonts w:eastAsia="Calibri"/>
          <w:sz w:val="18"/>
          <w:vertAlign w:val="superscript"/>
          <w:lang w:val="ru-RU"/>
        </w:rPr>
        <w:footnoteReference w:id="15"/>
      </w:r>
      <w:r w:rsidRPr="00F31FBE">
        <w:rPr>
          <w:lang w:val="ru-RU"/>
        </w:rPr>
        <w:t>, в соответствии с третьим абзацем пункта 7.2.4.13.1 ВОПОГ и определениями терминов «исключительные перевозки» и «совместимые транспортные операции», содержащимися в статье 5.01 КОВВП, и при строгом условии включения рассматриваемых веществ и образовавшейся смеси в предусмотренный в пункте</w:t>
      </w:r>
      <w:r w:rsidR="007C4311">
        <w:rPr>
          <w:lang w:val="ru-RU"/>
        </w:rPr>
        <w:t> </w:t>
      </w:r>
      <w:r w:rsidRPr="00F31FBE">
        <w:rPr>
          <w:lang w:val="ru-RU"/>
        </w:rPr>
        <w:t>1.16.1.2.5</w:t>
      </w:r>
      <w:r>
        <w:rPr>
          <w:lang w:val="ru-RU"/>
        </w:rPr>
        <w:t xml:space="preserve"> </w:t>
      </w:r>
      <w:r w:rsidRPr="00F31FBE">
        <w:rPr>
          <w:lang w:val="ru-RU"/>
        </w:rPr>
        <w:t>перечень веществ, допущенных к перевозке судном.</w:t>
      </w:r>
    </w:p>
    <w:p w:rsidR="00F37F76" w:rsidRDefault="00F37F76">
      <w:pPr>
        <w:suppressAutoHyphens w:val="0"/>
        <w:spacing w:line="240" w:lineRule="auto"/>
        <w:rPr>
          <w:rFonts w:eastAsia="Times New Roman" w:cs="Times New Roman"/>
          <w:szCs w:val="20"/>
          <w:lang w:eastAsia="ru-RU"/>
        </w:rPr>
      </w:pPr>
      <w:r>
        <w:rPr>
          <w:b/>
        </w:rPr>
        <w:br w:type="page"/>
      </w:r>
    </w:p>
    <w:p w:rsidR="008319D8" w:rsidRPr="008319D8" w:rsidRDefault="008319D8" w:rsidP="008319D8">
      <w:pPr>
        <w:pStyle w:val="H23GR"/>
        <w:rPr>
          <w:rFonts w:eastAsia="Calibri"/>
        </w:rPr>
      </w:pPr>
      <w:r w:rsidRPr="008319D8">
        <w:rPr>
          <w:b w:val="0"/>
        </w:rPr>
        <w:lastRenderedPageBreak/>
        <w:tab/>
      </w:r>
      <w:r w:rsidRPr="008319D8">
        <w:rPr>
          <w:b w:val="0"/>
        </w:rPr>
        <w:tab/>
        <w:t xml:space="preserve">Taблица 4 </w:t>
      </w:r>
      <w:r w:rsidRPr="008319D8">
        <w:rPr>
          <w:b w:val="0"/>
        </w:rPr>
        <w:br/>
      </w:r>
      <w:r w:rsidRPr="008319D8">
        <w:t>Группа веществ, указанных в ДВИЭ</w:t>
      </w:r>
    </w:p>
    <w:tbl>
      <w:tblPr>
        <w:tblStyle w:val="TabTxt"/>
        <w:tblW w:w="7391" w:type="dxa"/>
        <w:tblInd w:w="1134" w:type="dxa"/>
        <w:tblLayout w:type="fixed"/>
        <w:tblLook w:val="04E0" w:firstRow="1" w:lastRow="1" w:firstColumn="1" w:lastColumn="0" w:noHBand="0" w:noVBand="1"/>
      </w:tblPr>
      <w:tblGrid>
        <w:gridCol w:w="7391"/>
      </w:tblGrid>
      <w:tr w:rsidR="008319D8" w:rsidRPr="008319D8" w:rsidTr="005B3423">
        <w:trPr>
          <w:trHeight w:val="103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Биоэтанол (этанол, получаемый из биомассы)</w:t>
            </w:r>
          </w:p>
        </w:tc>
      </w:tr>
      <w:tr w:rsidR="008319D8" w:rsidRPr="008319D8" w:rsidTr="005B3423">
        <w:trPr>
          <w:trHeight w:val="199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Био-ЭТБЭ (этил-трет-бутиловый эфир, произведенный на основе биоэтанола)</w:t>
            </w:r>
          </w:p>
        </w:tc>
      </w:tr>
      <w:tr w:rsidR="008319D8" w:rsidRPr="008319D8" w:rsidTr="005B3423">
        <w:trPr>
          <w:trHeight w:val="199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Биометанол (метанол, получаемый из биомассы, для использования в качестве биотоплива)</w:t>
            </w:r>
          </w:p>
        </w:tc>
      </w:tr>
      <w:tr w:rsidR="008319D8" w:rsidRPr="008319D8" w:rsidTr="005B3423">
        <w:trPr>
          <w:trHeight w:val="63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Био-МТБЭ (метил-трет-бутиловый эфир, произведенный на основе биометанола)</w:t>
            </w:r>
          </w:p>
        </w:tc>
      </w:tr>
      <w:tr w:rsidR="008319D8" w:rsidRPr="008319D8" w:rsidTr="005B3423">
        <w:trPr>
          <w:trHeight w:val="199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Био-ДМЭ (диметилэфир, получаемый из биомассы для использования в качестве биотоплива)</w:t>
            </w:r>
          </w:p>
        </w:tc>
      </w:tr>
      <w:tr w:rsidR="008319D8" w:rsidRPr="008319D8" w:rsidTr="005B3423">
        <w:trPr>
          <w:trHeight w:val="199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Био-ЭТБЭ (трет-амил-этиловый эфир, произведенный на основе биоэтанола)</w:t>
            </w:r>
          </w:p>
        </w:tc>
      </w:tr>
      <w:tr w:rsidR="008319D8" w:rsidRPr="008319D8" w:rsidTr="005B3423">
        <w:trPr>
          <w:trHeight w:val="199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Биобутанол (бутанол, получаемый из биомассы, для использования в качестве биотоплива)</w:t>
            </w:r>
          </w:p>
        </w:tc>
      </w:tr>
      <w:tr w:rsidR="008319D8" w:rsidRPr="008319D8" w:rsidTr="005B3423">
        <w:trPr>
          <w:trHeight w:val="199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Биодизельное топливо (метиловый эфир, получаемый из растительных или животных жиров, по качеству соответствующий дизельному топливу, для использования в качестве биотоплива)</w:t>
            </w:r>
          </w:p>
        </w:tc>
      </w:tr>
      <w:tr w:rsidR="008319D8" w:rsidRPr="008319D8" w:rsidTr="005B3423">
        <w:trPr>
          <w:trHeight w:val="199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Дизельное топливо, получаемое методом Фишера-Тропша (синтетический углеводород или смесь синтетических углеводородов, получаемых из биомассы)</w:t>
            </w:r>
          </w:p>
        </w:tc>
      </w:tr>
      <w:tr w:rsidR="008319D8" w:rsidRPr="008319D8" w:rsidTr="005B3423">
        <w:trPr>
          <w:trHeight w:val="199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Гидроочищенное растительное масло (растительное масло, подвергшееся термохимической обработке водородом)</w:t>
            </w:r>
          </w:p>
        </w:tc>
      </w:tr>
      <w:tr w:rsidR="008319D8" w:rsidRPr="008319D8" w:rsidTr="005B3423">
        <w:trPr>
          <w:trHeight w:val="390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Чистое растительное масло (масло, получаемое из масличных растений путем отжима, экстракции или сопоставимых процедур, сырое или рафинированное, но</w:t>
            </w:r>
            <w:r w:rsidR="005B3423">
              <w:t> </w:t>
            </w:r>
            <w:r w:rsidRPr="00AE2E52">
              <w:rPr>
                <w:lang w:val="ru-RU"/>
              </w:rPr>
              <w:t>не подвергавшееся химическим преобразованиям, в случае совместимости с</w:t>
            </w:r>
            <w:r w:rsidR="005B3423">
              <w:t> </w:t>
            </w:r>
            <w:r w:rsidRPr="00AE2E52">
              <w:rPr>
                <w:lang w:val="ru-RU"/>
              </w:rPr>
              <w:t>двигателями соответствующих типов и соблюдения применимых требований в</w:t>
            </w:r>
            <w:r w:rsidR="005B3423">
              <w:t> </w:t>
            </w:r>
            <w:r w:rsidRPr="00AE2E52">
              <w:rPr>
                <w:lang w:val="ru-RU"/>
              </w:rPr>
              <w:t>отношении уровня выбросов)</w:t>
            </w:r>
          </w:p>
        </w:tc>
      </w:tr>
      <w:tr w:rsidR="008319D8" w:rsidRPr="008319D8" w:rsidTr="005B3423">
        <w:trPr>
          <w:trHeight w:val="294"/>
        </w:trPr>
        <w:tc>
          <w:tcPr>
            <w:tcW w:w="7391" w:type="dxa"/>
          </w:tcPr>
          <w:p w:rsidR="008319D8" w:rsidRPr="00AE2E52" w:rsidRDefault="008319D8" w:rsidP="005B3423">
            <w:pPr>
              <w:pStyle w:val="Bullet1G"/>
              <w:ind w:left="170" w:right="0"/>
              <w:jc w:val="left"/>
              <w:rPr>
                <w:lang w:val="ru-RU"/>
              </w:rPr>
            </w:pPr>
            <w:r w:rsidRPr="00AE2E52">
              <w:rPr>
                <w:lang w:val="ru-RU"/>
              </w:rPr>
              <w:t>Биогаз (газовое топливо, получаемое из биомассы и/или биоразлагаемой части отходов, которое может быть очищено до качества природного газа, для</w:t>
            </w:r>
            <w:r w:rsidR="005B3423">
              <w:t> </w:t>
            </w:r>
            <w:r w:rsidRPr="00AE2E52">
              <w:rPr>
                <w:lang w:val="ru-RU"/>
              </w:rPr>
              <w:t>использования в качестве биотоплива или смешанного газа)</w:t>
            </w:r>
          </w:p>
        </w:tc>
      </w:tr>
      <w:tr w:rsidR="008319D8" w:rsidRPr="008319D8" w:rsidTr="005B3423">
        <w:trPr>
          <w:trHeight w:val="103"/>
        </w:trPr>
        <w:tc>
          <w:tcPr>
            <w:tcW w:w="7391" w:type="dxa"/>
          </w:tcPr>
          <w:p w:rsidR="008319D8" w:rsidRPr="008319D8" w:rsidRDefault="008319D8" w:rsidP="005B3423">
            <w:pPr>
              <w:pStyle w:val="Bullet1G"/>
              <w:ind w:left="170" w:right="0"/>
              <w:jc w:val="left"/>
            </w:pPr>
            <w:r w:rsidRPr="008319D8">
              <w:t>Автомобильный бензин</w:t>
            </w:r>
          </w:p>
        </w:tc>
      </w:tr>
      <w:tr w:rsidR="008319D8" w:rsidRPr="008319D8" w:rsidTr="005B3423">
        <w:trPr>
          <w:trHeight w:val="103"/>
        </w:trPr>
        <w:tc>
          <w:tcPr>
            <w:tcW w:w="7391" w:type="dxa"/>
          </w:tcPr>
          <w:p w:rsidR="008319D8" w:rsidRPr="008319D8" w:rsidRDefault="008319D8" w:rsidP="005B3423">
            <w:pPr>
              <w:pStyle w:val="Bullet1G"/>
              <w:ind w:left="170" w:right="0"/>
              <w:jc w:val="left"/>
            </w:pPr>
            <w:r w:rsidRPr="008319D8">
              <w:t>Дизельное топливо</w:t>
            </w:r>
          </w:p>
        </w:tc>
      </w:tr>
    </w:tbl>
    <w:p w:rsidR="008319D8" w:rsidRPr="00F41F09" w:rsidRDefault="008319D8" w:rsidP="003C0CBE">
      <w:pPr>
        <w:pStyle w:val="SingleTxtG"/>
        <w:spacing w:line="220" w:lineRule="atLeast"/>
        <w:ind w:firstLine="170"/>
        <w:jc w:val="left"/>
        <w:rPr>
          <w:rFonts w:eastAsia="Calibri"/>
          <w:sz w:val="18"/>
          <w:szCs w:val="18"/>
          <w:lang w:val="ru-RU"/>
        </w:rPr>
      </w:pPr>
      <w:r w:rsidRPr="00F41F09">
        <w:rPr>
          <w:i/>
          <w:iCs/>
          <w:sz w:val="18"/>
          <w:szCs w:val="18"/>
          <w:lang w:val="ru-RU"/>
        </w:rPr>
        <w:t>Примечание</w:t>
      </w:r>
      <w:r w:rsidRPr="00F41F09">
        <w:rPr>
          <w:sz w:val="18"/>
          <w:szCs w:val="18"/>
          <w:lang w:val="ru-RU"/>
        </w:rPr>
        <w:t xml:space="preserve">: </w:t>
      </w:r>
      <w:r w:rsidR="00F41F09">
        <w:rPr>
          <w:sz w:val="18"/>
          <w:szCs w:val="18"/>
          <w:lang w:val="ru-RU"/>
        </w:rPr>
        <w:t>К</w:t>
      </w:r>
      <w:r w:rsidRPr="00F41F09">
        <w:rPr>
          <w:sz w:val="18"/>
          <w:szCs w:val="18"/>
          <w:lang w:val="ru-RU"/>
        </w:rPr>
        <w:t>лассификация образовавшейся смеси описывается в приложении IV.</w:t>
      </w:r>
    </w:p>
    <w:p w:rsidR="008319D8" w:rsidRPr="00F31FBE" w:rsidRDefault="008319D8" w:rsidP="008319D8">
      <w:pPr>
        <w:pStyle w:val="H1G"/>
        <w:rPr>
          <w:rFonts w:eastAsia="Calibri"/>
          <w:lang w:val="ru-RU"/>
        </w:rPr>
      </w:pPr>
      <w:r w:rsidRPr="00F31FBE">
        <w:rPr>
          <w:lang w:val="ru-RU"/>
        </w:rPr>
        <w:tab/>
        <w:t>II.</w:t>
      </w:r>
      <w:r w:rsidRPr="00F31FBE">
        <w:rPr>
          <w:lang w:val="ru-RU"/>
        </w:rPr>
        <w:tab/>
        <w:t>Примеры погрузки поверх в танкерах внутреннего плавания</w:t>
      </w:r>
    </w:p>
    <w:p w:rsidR="008319D8" w:rsidRPr="00F31FBE" w:rsidRDefault="008319D8" w:rsidP="008319D8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1.</w:t>
      </w:r>
      <w:r w:rsidRPr="00F31FBE">
        <w:rPr>
          <w:lang w:val="ru-RU"/>
        </w:rPr>
        <w:tab/>
        <w:t>Неофициальная рабочая группа по погрузке поверх на баржах предлагает Комитету по вопросам безопасности рассмотреть следующие примеры погрузки поверх в танкерах внутреннего плавания. Следует отметить, что погрузка веществ 1 и</w:t>
      </w:r>
      <w:r w:rsidR="00F41F09">
        <w:rPr>
          <w:lang w:val="ru-RU"/>
        </w:rPr>
        <w:t> </w:t>
      </w:r>
      <w:r w:rsidRPr="00F31FBE">
        <w:rPr>
          <w:lang w:val="ru-RU"/>
        </w:rPr>
        <w:t>2 может производиться в разных местах и/или из разных береговых цистерн в одном и том же месте погрузки, с учетом примечаний 1), 2) и 3) к вышеприведенным таблицам 1, 2, 3, таблицы 4, а также подраздела 7.2.4.7 (места погрузки и разгрузки) и пункта 7.2.4.9 (операции по перегрузке груза) ВОПОГ.</w:t>
      </w:r>
    </w:p>
    <w:p w:rsidR="008319D8" w:rsidRPr="00F31FBE" w:rsidRDefault="008319D8" w:rsidP="008319D8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2.</w:t>
      </w:r>
      <w:r w:rsidRPr="00F31FBE">
        <w:rPr>
          <w:lang w:val="ru-RU"/>
        </w:rPr>
        <w:tab/>
        <w:t>Вещества, имеющие один и тот же номер ООН и относящиеся к одной и той же группе совместимости;</w:t>
      </w:r>
    </w:p>
    <w:p w:rsidR="008319D8" w:rsidRPr="00F31FBE" w:rsidRDefault="008319D8" w:rsidP="008319D8">
      <w:pPr>
        <w:pStyle w:val="SingleTxtG"/>
        <w:ind w:firstLine="567"/>
        <w:rPr>
          <w:rFonts w:eastAsia="Calibri"/>
          <w:lang w:val="ru-RU"/>
        </w:rPr>
      </w:pPr>
      <w:r w:rsidRPr="00F31FBE">
        <w:rPr>
          <w:lang w:val="ru-RU"/>
        </w:rPr>
        <w:t xml:space="preserve">например, № ООН 3295 + № ООН 3295. </w:t>
      </w:r>
    </w:p>
    <w:p w:rsidR="008319D8" w:rsidRPr="00F31FBE" w:rsidRDefault="008319D8" w:rsidP="008319D8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3.</w:t>
      </w:r>
      <w:r w:rsidRPr="00F31FBE">
        <w:rPr>
          <w:lang w:val="ru-RU"/>
        </w:rPr>
        <w:tab/>
        <w:t>Вещества в группе совместимости I вместе с веществами в группе совместимости I;</w:t>
      </w:r>
    </w:p>
    <w:p w:rsidR="008319D8" w:rsidRPr="00F31FBE" w:rsidRDefault="008319D8" w:rsidP="008319D8">
      <w:pPr>
        <w:pStyle w:val="SingleTxtG"/>
        <w:ind w:firstLine="567"/>
        <w:rPr>
          <w:rFonts w:eastAsia="Calibri"/>
          <w:lang w:val="ru-RU"/>
        </w:rPr>
      </w:pPr>
      <w:r w:rsidRPr="00F31FBE">
        <w:rPr>
          <w:lang w:val="ru-RU"/>
        </w:rPr>
        <w:t>например, № ООН 1203 + № ООН 1170; № ООН 1268 + № ООН 3295.</w:t>
      </w:r>
    </w:p>
    <w:p w:rsidR="008319D8" w:rsidRPr="00F31FBE" w:rsidRDefault="008319D8" w:rsidP="008319D8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4.</w:t>
      </w:r>
      <w:r w:rsidRPr="00F31FBE">
        <w:rPr>
          <w:lang w:val="ru-RU"/>
        </w:rPr>
        <w:tab/>
        <w:t>Вещества в группе совместимости II вместе с веществами в группе совместимости II;</w:t>
      </w:r>
    </w:p>
    <w:p w:rsidR="008319D8" w:rsidRPr="00F31FBE" w:rsidRDefault="008319D8" w:rsidP="008761DC">
      <w:pPr>
        <w:pStyle w:val="SingleTxtG"/>
        <w:ind w:left="1701"/>
        <w:rPr>
          <w:rFonts w:eastAsia="Calibri"/>
          <w:lang w:val="ru-RU"/>
        </w:rPr>
      </w:pPr>
      <w:r w:rsidRPr="00F31FBE">
        <w:rPr>
          <w:lang w:val="ru-RU"/>
        </w:rPr>
        <w:t>например, № ООН 1202 + биокомпоненты, например вещества, перечисленные в приложении III ДВИЭ (таблица 4).</w:t>
      </w:r>
    </w:p>
    <w:p w:rsidR="008319D8" w:rsidRPr="00F31FBE" w:rsidRDefault="008319D8" w:rsidP="008319D8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5.</w:t>
      </w:r>
      <w:r w:rsidRPr="00F31FBE">
        <w:rPr>
          <w:lang w:val="ru-RU"/>
        </w:rPr>
        <w:tab/>
        <w:t>Вещества в группе совместимости III вместе с веществами в группе совместимости III;</w:t>
      </w:r>
    </w:p>
    <w:p w:rsidR="008319D8" w:rsidRPr="00F31FBE" w:rsidRDefault="008319D8" w:rsidP="008319D8">
      <w:pPr>
        <w:pStyle w:val="SingleTxtG"/>
        <w:ind w:firstLine="567"/>
        <w:rPr>
          <w:rFonts w:eastAsia="Calibri"/>
          <w:lang w:val="ru-RU"/>
        </w:rPr>
      </w:pPr>
      <w:r w:rsidRPr="00F31FBE">
        <w:rPr>
          <w:lang w:val="ru-RU"/>
        </w:rPr>
        <w:t>например, № ООН 3082 + № ООН 1202.</w:t>
      </w:r>
    </w:p>
    <w:p w:rsidR="008319D8" w:rsidRPr="00F31FBE" w:rsidRDefault="008319D8" w:rsidP="008319D8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6.</w:t>
      </w:r>
      <w:r w:rsidRPr="00F31FBE">
        <w:rPr>
          <w:lang w:val="ru-RU"/>
        </w:rPr>
        <w:tab/>
        <w:t>Вещества, включенные в группу ДВИЭ, вме</w:t>
      </w:r>
      <w:r w:rsidR="002348D6">
        <w:rPr>
          <w:lang w:val="ru-RU"/>
        </w:rPr>
        <w:t>сте с веществами этой же группы;</w:t>
      </w:r>
    </w:p>
    <w:p w:rsidR="000B7B32" w:rsidRPr="00AE2E52" w:rsidRDefault="008319D8" w:rsidP="008761DC">
      <w:pPr>
        <w:pStyle w:val="SingleTxtG"/>
        <w:ind w:firstLine="567"/>
        <w:rPr>
          <w:lang w:val="ru-RU"/>
        </w:rPr>
      </w:pPr>
      <w:r w:rsidRPr="00AE2E52">
        <w:rPr>
          <w:lang w:val="ru-RU"/>
        </w:rPr>
        <w:t>например, гидроочищенное растительное масло + дизельное топливо.</w:t>
      </w:r>
    </w:p>
    <w:p w:rsidR="000B7B32" w:rsidRDefault="000B7B32" w:rsidP="00B129DB">
      <w:pPr>
        <w:pStyle w:val="SingleTxtGR"/>
      </w:pPr>
    </w:p>
    <w:p w:rsidR="0079276E" w:rsidRDefault="0079276E" w:rsidP="00B129DB">
      <w:pPr>
        <w:pStyle w:val="SingleTxtGR"/>
        <w:sectPr w:rsidR="0079276E" w:rsidSect="000B7B3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:rsidR="00E43E18" w:rsidRPr="00F31FBE" w:rsidRDefault="00E43E18" w:rsidP="00E43E18">
      <w:pPr>
        <w:pStyle w:val="HChG"/>
        <w:rPr>
          <w:rFonts w:eastAsia="Calibri"/>
          <w:lang w:val="ru-RU"/>
        </w:rPr>
      </w:pPr>
      <w:r w:rsidRPr="00F31FBE">
        <w:rPr>
          <w:lang w:val="ru-RU"/>
        </w:rPr>
        <w:t xml:space="preserve">Приложение II </w:t>
      </w:r>
    </w:p>
    <w:p w:rsidR="00E43E18" w:rsidRPr="00F31FBE" w:rsidRDefault="00E43E18" w:rsidP="00E43E18">
      <w:pPr>
        <w:pStyle w:val="HChG"/>
        <w:rPr>
          <w:rFonts w:eastAsia="Calibri"/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  <w:t>Блок-схема операции по погрузке поверх</w:t>
      </w:r>
    </w:p>
    <w:p w:rsidR="00E43E18" w:rsidRPr="00F31FBE" w:rsidRDefault="00E43E18" w:rsidP="00E43E18">
      <w:pPr>
        <w:rPr>
          <w:rFonts w:eastAsia="Calibri"/>
        </w:rPr>
      </w:pPr>
      <w:r>
        <w:rPr>
          <w:rFonts w:cs="Calibri"/>
          <w:noProof/>
          <w:lang w:eastAsia="ru-RU"/>
        </w:rPr>
        <w:drawing>
          <wp:inline distT="0" distB="0" distL="0" distR="0" wp14:anchorId="3A67B97A" wp14:editId="384350CB">
            <wp:extent cx="8870950" cy="34353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5F" w:rsidRDefault="00E12C5F" w:rsidP="00E43E18">
      <w:pPr>
        <w:suppressAutoHyphens w:val="0"/>
        <w:spacing w:line="240" w:lineRule="auto"/>
        <w:rPr>
          <w:rFonts w:eastAsia="Times New Roman" w:cs="Times New Roman"/>
          <w:szCs w:val="20"/>
        </w:rPr>
      </w:pPr>
    </w:p>
    <w:p w:rsidR="008B189A" w:rsidRDefault="008B189A" w:rsidP="00E43E18">
      <w:pPr>
        <w:suppressAutoHyphens w:val="0"/>
        <w:spacing w:line="240" w:lineRule="auto"/>
        <w:rPr>
          <w:rFonts w:eastAsia="Times New Roman" w:cs="Times New Roman"/>
          <w:szCs w:val="20"/>
        </w:rPr>
      </w:pPr>
    </w:p>
    <w:p w:rsidR="008B189A" w:rsidRDefault="008B189A" w:rsidP="00E43E18">
      <w:pPr>
        <w:suppressAutoHyphens w:val="0"/>
        <w:spacing w:line="240" w:lineRule="auto"/>
        <w:rPr>
          <w:rFonts w:eastAsia="Times New Roman" w:cs="Times New Roman"/>
          <w:szCs w:val="20"/>
        </w:rPr>
        <w:sectPr w:rsidR="008B189A" w:rsidSect="00E43E18">
          <w:headerReference w:type="even" r:id="rId16"/>
          <w:headerReference w:type="default" r:id="rId17"/>
          <w:footerReference w:type="even" r:id="rId18"/>
          <w:footerReference w:type="default" r:id="rId19"/>
          <w:endnotePr>
            <w:numFmt w:val="decimal"/>
          </w:endnotePr>
          <w:pgSz w:w="16838" w:h="11906" w:orient="landscape" w:code="9"/>
          <w:pgMar w:top="1134" w:right="1417" w:bottom="1134" w:left="1134" w:header="567" w:footer="567" w:gutter="0"/>
          <w:cols w:space="708"/>
          <w:docGrid w:linePitch="360"/>
        </w:sectPr>
      </w:pPr>
    </w:p>
    <w:p w:rsidR="004D7D86" w:rsidRPr="00F31FBE" w:rsidRDefault="004D7D86" w:rsidP="004D7D86">
      <w:pPr>
        <w:pStyle w:val="HChG"/>
        <w:rPr>
          <w:rFonts w:eastAsia="Calibri"/>
          <w:lang w:val="ru-RU"/>
        </w:rPr>
      </w:pPr>
      <w:r w:rsidRPr="00F31FBE">
        <w:rPr>
          <w:lang w:val="ru-RU"/>
        </w:rPr>
        <w:t>Приложение III</w:t>
      </w:r>
    </w:p>
    <w:p w:rsidR="004D7D86" w:rsidRPr="00F31FBE" w:rsidRDefault="004D7D86" w:rsidP="004D7D86">
      <w:pPr>
        <w:pStyle w:val="HChG"/>
        <w:rPr>
          <w:rFonts w:eastAsia="Calibri"/>
          <w:lang w:val="ru-RU"/>
        </w:rPr>
      </w:pPr>
      <w:bookmarkStart w:id="2" w:name="_Hlk511729445"/>
      <w:r w:rsidRPr="00F31FBE">
        <w:rPr>
          <w:lang w:val="ru-RU"/>
        </w:rPr>
        <w:tab/>
      </w:r>
      <w:r w:rsidRPr="00F31FBE">
        <w:rPr>
          <w:lang w:val="ru-RU"/>
        </w:rPr>
        <w:tab/>
      </w:r>
      <w:r w:rsidRPr="00F31FBE">
        <w:rPr>
          <w:bCs/>
          <w:lang w:val="ru-RU"/>
        </w:rPr>
        <w:t>Функции и обязанности участников операции по</w:t>
      </w:r>
      <w:r w:rsidR="00396DAC">
        <w:rPr>
          <w:bCs/>
          <w:lang w:val="ru-RU"/>
        </w:rPr>
        <w:t> </w:t>
      </w:r>
      <w:r w:rsidRPr="00F31FBE">
        <w:rPr>
          <w:bCs/>
          <w:lang w:val="ru-RU"/>
        </w:rPr>
        <w:t>погрузке поверх</w:t>
      </w:r>
    </w:p>
    <w:bookmarkEnd w:id="2"/>
    <w:p w:rsidR="004D7D86" w:rsidRPr="00F31FBE" w:rsidRDefault="004D7D86" w:rsidP="004D7D86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1.</w:t>
      </w:r>
      <w:r w:rsidRPr="00F31FBE">
        <w:rPr>
          <w:lang w:val="ru-RU"/>
        </w:rPr>
        <w:tab/>
        <w:t>Ключевые участники операции по погрузке поверх на баржах – это грузоотправитель, ответственный за наполнение и перевозчик. Их соответствующие обязанности описаны в разделе 1.4.1.</w:t>
      </w:r>
    </w:p>
    <w:p w:rsidR="004D7D86" w:rsidRPr="00F31FBE" w:rsidRDefault="004D7D86" w:rsidP="004D7D86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2.</w:t>
      </w:r>
      <w:r w:rsidRPr="00F31FBE">
        <w:rPr>
          <w:lang w:val="ru-RU"/>
        </w:rPr>
        <w:tab/>
        <w:t xml:space="preserve">В случае операции по погрузке поверх </w:t>
      </w:r>
      <w:r>
        <w:rPr>
          <w:lang w:val="ru-RU"/>
        </w:rPr>
        <w:t>эти обязанности</w:t>
      </w:r>
      <w:r w:rsidRPr="00F31FBE">
        <w:rPr>
          <w:lang w:val="ru-RU"/>
        </w:rPr>
        <w:t xml:space="preserve"> существенным образом не изменяются.</w:t>
      </w:r>
    </w:p>
    <w:p w:rsidR="004D7D86" w:rsidRDefault="004D7D86" w:rsidP="004D7D86">
      <w:pPr>
        <w:pStyle w:val="SingleTxtG"/>
        <w:rPr>
          <w:lang w:val="ru-RU"/>
        </w:rPr>
      </w:pPr>
      <w:r w:rsidRPr="00F31FBE">
        <w:rPr>
          <w:lang w:val="ru-RU"/>
        </w:rPr>
        <w:t>3.</w:t>
      </w:r>
      <w:r w:rsidRPr="00F31FBE">
        <w:rPr>
          <w:lang w:val="ru-RU"/>
        </w:rPr>
        <w:tab/>
        <w:t xml:space="preserve">Несмотря на вышесказанное, грузоотправитель, перевозчик и ответственный за наполнение должны выполнять иные возложенные на них соответствующие обязанности в соответствии с ВОПОГ. </w:t>
      </w:r>
    </w:p>
    <w:p w:rsidR="00396DAC" w:rsidRPr="00DF0C06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4.</w:t>
      </w:r>
      <w:r w:rsidRPr="00F31FBE">
        <w:rPr>
          <w:lang w:val="ru-RU"/>
        </w:rPr>
        <w:tab/>
        <w:t>Грузоотправитель</w:t>
      </w:r>
      <w:r w:rsidR="00DF0C06">
        <w:rPr>
          <w:lang w:val="ru-RU"/>
        </w:rPr>
        <w:t>:</w:t>
      </w:r>
    </w:p>
    <w:tbl>
      <w:tblPr>
        <w:tblStyle w:val="TabTxt"/>
        <w:tblW w:w="7370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2268"/>
        <w:gridCol w:w="3793"/>
        <w:gridCol w:w="1309"/>
      </w:tblGrid>
      <w:tr w:rsidR="00396DAC" w:rsidRPr="00396DAC" w:rsidTr="00396DAC">
        <w:trPr>
          <w:tblHeader/>
        </w:trPr>
        <w:tc>
          <w:tcPr>
            <w:tcW w:w="226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396DAC" w:rsidRPr="00396DAC" w:rsidRDefault="00396DAC" w:rsidP="00396DAC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396DAC">
              <w:rPr>
                <w:i/>
                <w:sz w:val="16"/>
              </w:rPr>
              <w:t>Грузоотправитель обязан:</w:t>
            </w:r>
          </w:p>
        </w:tc>
        <w:tc>
          <w:tcPr>
            <w:tcW w:w="379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396DAC" w:rsidRPr="00396DAC" w:rsidRDefault="00396DAC" w:rsidP="00396DAC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396DAC">
              <w:rPr>
                <w:i/>
                <w:sz w:val="16"/>
              </w:rPr>
              <w:t>Действие: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09" w:type="dxa"/>
            <w:tcBorders>
              <w:bottom w:val="single" w:sz="12" w:space="0" w:color="auto"/>
            </w:tcBorders>
            <w:shd w:val="clear" w:color="auto" w:fill="auto"/>
          </w:tcPr>
          <w:p w:rsidR="00396DAC" w:rsidRPr="00396DAC" w:rsidRDefault="00396DAC" w:rsidP="00396DAC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396DAC">
              <w:rPr>
                <w:i/>
                <w:sz w:val="16"/>
              </w:rPr>
              <w:t>ВОПОГ</w:t>
            </w:r>
          </w:p>
        </w:tc>
      </w:tr>
      <w:tr w:rsidR="00396DAC" w:rsidRPr="00396DAC" w:rsidTr="00396DAC">
        <w:tc>
          <w:tcPr>
            <w:tcW w:w="2268" w:type="dxa"/>
            <w:tcBorders>
              <w:top w:val="single" w:sz="12" w:space="0" w:color="auto"/>
            </w:tcBorders>
          </w:tcPr>
          <w:p w:rsidR="00396DAC" w:rsidRPr="00396DAC" w:rsidRDefault="00396DAC" w:rsidP="00396DAC">
            <w:pPr>
              <w:rPr>
                <w:szCs w:val="20"/>
              </w:rPr>
            </w:pPr>
            <w:r w:rsidRPr="00396DAC">
              <w:rPr>
                <w:szCs w:val="20"/>
              </w:rPr>
              <w:t>Убедиться в том, что</w:t>
            </w:r>
            <w:r>
              <w:rPr>
                <w:szCs w:val="20"/>
              </w:rPr>
              <w:t> </w:t>
            </w:r>
            <w:r w:rsidRPr="00396DAC">
              <w:rPr>
                <w:szCs w:val="20"/>
              </w:rPr>
              <w:t xml:space="preserve">опасные грузы классифицированы и допущены к перевозке в соответствии с ВОПОГ </w:t>
            </w:r>
          </w:p>
        </w:tc>
        <w:tc>
          <w:tcPr>
            <w:tcW w:w="3793" w:type="dxa"/>
            <w:tcBorders>
              <w:top w:val="single" w:sz="12" w:space="0" w:color="auto"/>
            </w:tcBorders>
          </w:tcPr>
          <w:p w:rsidR="00396DAC" w:rsidRPr="00396DAC" w:rsidRDefault="00396DAC" w:rsidP="00396DAC">
            <w:pPr>
              <w:rPr>
                <w:szCs w:val="20"/>
              </w:rPr>
            </w:pPr>
            <w:r w:rsidRPr="00396DAC">
              <w:rPr>
                <w:szCs w:val="20"/>
              </w:rPr>
              <w:t>Определить совместимые вещества и</w:t>
            </w:r>
            <w:r>
              <w:rPr>
                <w:szCs w:val="20"/>
              </w:rPr>
              <w:t> </w:t>
            </w:r>
            <w:r w:rsidRPr="00396DAC">
              <w:rPr>
                <w:szCs w:val="20"/>
              </w:rPr>
              <w:t>их</w:t>
            </w:r>
            <w:r>
              <w:rPr>
                <w:szCs w:val="20"/>
              </w:rPr>
              <w:t> </w:t>
            </w:r>
            <w:r w:rsidRPr="00396DAC">
              <w:rPr>
                <w:szCs w:val="20"/>
              </w:rPr>
              <w:t>местонахождение; рассчитать и классифицировать образовавшуюся смесь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09" w:type="dxa"/>
            <w:tcBorders>
              <w:top w:val="single" w:sz="12" w:space="0" w:color="auto"/>
            </w:tcBorders>
          </w:tcPr>
          <w:p w:rsidR="00396DAC" w:rsidRPr="00396DAC" w:rsidRDefault="00396DAC" w:rsidP="003C0CBE">
            <w:pPr>
              <w:rPr>
                <w:szCs w:val="20"/>
              </w:rPr>
            </w:pPr>
            <w:r w:rsidRPr="00396DAC">
              <w:rPr>
                <w:szCs w:val="20"/>
              </w:rPr>
              <w:t>2.1.2; 2.1.3.5.1; 2.1.3.5.2; 2.1.3.5.3; 1.4.2.1.1 а) и</w:t>
            </w:r>
            <w:r w:rsidR="003C0CBE">
              <w:rPr>
                <w:szCs w:val="20"/>
              </w:rPr>
              <w:t> </w:t>
            </w:r>
            <w:r w:rsidRPr="00396DAC">
              <w:rPr>
                <w:szCs w:val="20"/>
              </w:rPr>
              <w:t>7.2.4.13.1, третий абзац</w:t>
            </w:r>
          </w:p>
        </w:tc>
      </w:tr>
      <w:tr w:rsidR="00396DAC" w:rsidRPr="00396DAC" w:rsidTr="00396DAC">
        <w:tc>
          <w:tcPr>
            <w:tcW w:w="2268" w:type="dxa"/>
          </w:tcPr>
          <w:p w:rsidR="00396DAC" w:rsidRPr="00396DAC" w:rsidRDefault="00396DAC" w:rsidP="00396DAC">
            <w:pPr>
              <w:rPr>
                <w:szCs w:val="20"/>
              </w:rPr>
            </w:pPr>
            <w:r w:rsidRPr="00396DAC">
              <w:rPr>
                <w:szCs w:val="20"/>
              </w:rPr>
              <w:t>Передать перевозчику информацию и данные...</w:t>
            </w:r>
          </w:p>
        </w:tc>
        <w:tc>
          <w:tcPr>
            <w:tcW w:w="3793" w:type="dxa"/>
          </w:tcPr>
          <w:p w:rsidR="00396DAC" w:rsidRPr="00396DAC" w:rsidRDefault="00396DAC" w:rsidP="008761DC">
            <w:pPr>
              <w:rPr>
                <w:szCs w:val="20"/>
              </w:rPr>
            </w:pPr>
            <w:r w:rsidRPr="00396DAC">
              <w:rPr>
                <w:szCs w:val="20"/>
              </w:rPr>
              <w:t>Направить перевозчику запрос на баржу, которая пригодна для перевозки всех загружаемых на нее веществ, а также образовавшейся смеси, передать транспортный документ (или требуемую информацию в отслеживаемом виде) в</w:t>
            </w:r>
            <w:r w:rsidR="008761DC">
              <w:rPr>
                <w:szCs w:val="20"/>
                <w:lang w:val="en-US"/>
              </w:rPr>
              <w:t> </w:t>
            </w:r>
            <w:r w:rsidRPr="00396DAC">
              <w:rPr>
                <w:szCs w:val="20"/>
              </w:rPr>
              <w:t>соответствии с требованиями главы 5.4 и</w:t>
            </w:r>
            <w:r>
              <w:rPr>
                <w:szCs w:val="20"/>
              </w:rPr>
              <w:t> </w:t>
            </w:r>
            <w:r w:rsidRPr="00396DAC">
              <w:rPr>
                <w:szCs w:val="20"/>
              </w:rPr>
              <w:t>таблицы 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09" w:type="dxa"/>
          </w:tcPr>
          <w:p w:rsidR="00396DAC" w:rsidRPr="00396DAC" w:rsidRDefault="00396DAC" w:rsidP="00396DAC">
            <w:pPr>
              <w:rPr>
                <w:szCs w:val="20"/>
              </w:rPr>
            </w:pPr>
            <w:r w:rsidRPr="00396DAC">
              <w:rPr>
                <w:szCs w:val="20"/>
              </w:rPr>
              <w:t>1.4.2.1.1 b) 5.4.1</w:t>
            </w:r>
          </w:p>
        </w:tc>
      </w:tr>
      <w:tr w:rsidR="00396DAC" w:rsidRPr="00396DAC" w:rsidTr="00396DAC">
        <w:trPr>
          <w:trHeight w:val="692"/>
        </w:trPr>
        <w:tc>
          <w:tcPr>
            <w:tcW w:w="2268" w:type="dxa"/>
          </w:tcPr>
          <w:p w:rsidR="00396DAC" w:rsidRPr="00396DAC" w:rsidRDefault="00396DAC" w:rsidP="00396DAC">
            <w:pPr>
              <w:rPr>
                <w:szCs w:val="20"/>
              </w:rPr>
            </w:pPr>
            <w:r w:rsidRPr="00396DAC">
              <w:rPr>
                <w:szCs w:val="20"/>
              </w:rPr>
              <w:t>Использовать только те</w:t>
            </w:r>
            <w:r>
              <w:rPr>
                <w:szCs w:val="20"/>
              </w:rPr>
              <w:t> </w:t>
            </w:r>
            <w:r w:rsidRPr="00396DAC">
              <w:rPr>
                <w:szCs w:val="20"/>
              </w:rPr>
              <w:t xml:space="preserve">танкеры, которые допущены и пригодны для перевозки соответствующих грузов </w:t>
            </w:r>
          </w:p>
        </w:tc>
        <w:tc>
          <w:tcPr>
            <w:tcW w:w="3793" w:type="dxa"/>
          </w:tcPr>
          <w:p w:rsidR="00396DAC" w:rsidRPr="00396DAC" w:rsidRDefault="00396DAC" w:rsidP="00396DAC">
            <w:pPr>
              <w:rPr>
                <w:szCs w:val="20"/>
              </w:rPr>
            </w:pPr>
            <w:r w:rsidRPr="00396DAC">
              <w:rPr>
                <w:szCs w:val="20"/>
              </w:rPr>
              <w:t>Проверить пригодность баржи перевозчика для перевозки каждого отдельного вещества и образовавшейся смеси при помощи системы освидетельствования (т.</w:t>
            </w:r>
            <w:r w:rsidR="003C0CBE">
              <w:rPr>
                <w:szCs w:val="20"/>
              </w:rPr>
              <w:t> </w:t>
            </w:r>
            <w:r w:rsidRPr="00396DAC">
              <w:rPr>
                <w:szCs w:val="20"/>
              </w:rPr>
              <w:t xml:space="preserve">е. EBIS) или международных правил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09" w:type="dxa"/>
          </w:tcPr>
          <w:p w:rsidR="00396DAC" w:rsidRPr="00396DAC" w:rsidRDefault="00396DAC" w:rsidP="00396DAC">
            <w:pPr>
              <w:rPr>
                <w:szCs w:val="20"/>
              </w:rPr>
            </w:pPr>
            <w:r w:rsidRPr="00396DAC">
              <w:rPr>
                <w:szCs w:val="20"/>
              </w:rPr>
              <w:t>1.4.2.1.1 с)</w:t>
            </w:r>
          </w:p>
        </w:tc>
      </w:tr>
      <w:tr w:rsidR="00396DAC" w:rsidRPr="00396DAC" w:rsidTr="00396DAC">
        <w:trPr>
          <w:trHeight w:val="692"/>
        </w:trPr>
        <w:tc>
          <w:tcPr>
            <w:tcW w:w="2268" w:type="dxa"/>
          </w:tcPr>
          <w:p w:rsidR="00396DAC" w:rsidRPr="00396DAC" w:rsidRDefault="00396DAC" w:rsidP="00396DAC">
            <w:pPr>
              <w:rPr>
                <w:szCs w:val="20"/>
              </w:rPr>
            </w:pPr>
            <w:r w:rsidRPr="00396DAC">
              <w:rPr>
                <w:szCs w:val="20"/>
              </w:rPr>
              <w:t>Передать перевозчику информацию и данные...</w:t>
            </w:r>
          </w:p>
        </w:tc>
        <w:tc>
          <w:tcPr>
            <w:tcW w:w="3793" w:type="dxa"/>
          </w:tcPr>
          <w:p w:rsidR="00396DAC" w:rsidRPr="00396DAC" w:rsidRDefault="00396DAC" w:rsidP="008761DC">
            <w:pPr>
              <w:rPr>
                <w:szCs w:val="20"/>
              </w:rPr>
            </w:pPr>
            <w:r w:rsidRPr="00396DAC">
              <w:rPr>
                <w:szCs w:val="20"/>
              </w:rPr>
              <w:t>Передать перевозчику грузовой план, содержащий информацию и указанные в</w:t>
            </w:r>
            <w:r w:rsidR="008761DC">
              <w:rPr>
                <w:szCs w:val="20"/>
                <w:lang w:val="en-US"/>
              </w:rPr>
              <w:t> </w:t>
            </w:r>
            <w:r w:rsidRPr="00396DAC">
              <w:rPr>
                <w:szCs w:val="20"/>
              </w:rPr>
              <w:t xml:space="preserve">ВОПОГ надлежащие отгрузочные наименования и количества каждого загружаемого вещества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09" w:type="dxa"/>
          </w:tcPr>
          <w:p w:rsidR="00396DAC" w:rsidRPr="00396DAC" w:rsidRDefault="00396DAC" w:rsidP="00396DAC">
            <w:pPr>
              <w:rPr>
                <w:szCs w:val="20"/>
              </w:rPr>
            </w:pPr>
            <w:r w:rsidRPr="00396DAC">
              <w:rPr>
                <w:szCs w:val="20"/>
              </w:rPr>
              <w:t>1.4.2.1.1 b)</w:t>
            </w:r>
          </w:p>
        </w:tc>
      </w:tr>
    </w:tbl>
    <w:p w:rsidR="00396DAC" w:rsidRPr="00F31FBE" w:rsidRDefault="00396DAC" w:rsidP="00396DAC">
      <w:pPr>
        <w:pStyle w:val="SingleTxtG"/>
        <w:spacing w:before="120"/>
        <w:rPr>
          <w:rFonts w:eastAsia="Calibri"/>
          <w:lang w:val="ru-RU"/>
        </w:rPr>
      </w:pPr>
      <w:r w:rsidRPr="00F31FBE">
        <w:rPr>
          <w:lang w:val="ru-RU"/>
        </w:rPr>
        <w:t>5.</w:t>
      </w:r>
      <w:r w:rsidRPr="00F31FBE">
        <w:rPr>
          <w:lang w:val="ru-RU"/>
        </w:rPr>
        <w:tab/>
        <w:t>Перевозчик:</w:t>
      </w:r>
    </w:p>
    <w:tbl>
      <w:tblPr>
        <w:tblStyle w:val="TabTxt"/>
        <w:tblW w:w="7370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2282"/>
        <w:gridCol w:w="3751"/>
        <w:gridCol w:w="1337"/>
      </w:tblGrid>
      <w:tr w:rsidR="00396DAC" w:rsidRPr="00396DAC" w:rsidTr="00396DAC">
        <w:trPr>
          <w:tblHeader/>
        </w:trPr>
        <w:tc>
          <w:tcPr>
            <w:tcW w:w="228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396DAC" w:rsidRPr="00396DAC" w:rsidRDefault="00396DAC" w:rsidP="00396DAC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396DAC">
              <w:rPr>
                <w:i/>
                <w:sz w:val="16"/>
              </w:rPr>
              <w:t>Перевозчик обязан:</w:t>
            </w:r>
          </w:p>
        </w:tc>
        <w:tc>
          <w:tcPr>
            <w:tcW w:w="375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396DAC" w:rsidRPr="00396DAC" w:rsidRDefault="00396DAC" w:rsidP="00396DAC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396DAC">
              <w:rPr>
                <w:i/>
                <w:sz w:val="16"/>
              </w:rPr>
              <w:t>Действие: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7" w:type="dxa"/>
            <w:tcBorders>
              <w:bottom w:val="single" w:sz="12" w:space="0" w:color="auto"/>
            </w:tcBorders>
            <w:shd w:val="clear" w:color="auto" w:fill="auto"/>
          </w:tcPr>
          <w:p w:rsidR="00396DAC" w:rsidRPr="00396DAC" w:rsidRDefault="00396DAC" w:rsidP="00396DAC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396DAC">
              <w:rPr>
                <w:i/>
                <w:sz w:val="16"/>
              </w:rPr>
              <w:t>ВОПОГ</w:t>
            </w:r>
          </w:p>
        </w:tc>
      </w:tr>
      <w:tr w:rsidR="00396DAC" w:rsidRPr="00396DAC" w:rsidTr="00396DAC">
        <w:tc>
          <w:tcPr>
            <w:tcW w:w="2282" w:type="dxa"/>
            <w:tcBorders>
              <w:top w:val="single" w:sz="12" w:space="0" w:color="auto"/>
              <w:bottom w:val="nil"/>
            </w:tcBorders>
          </w:tcPr>
          <w:p w:rsidR="00396DAC" w:rsidRPr="00396DAC" w:rsidRDefault="00396DAC" w:rsidP="00396DAC">
            <w:r w:rsidRPr="00396DAC">
              <w:t>Удостовериться в том, что соответствующие опасные грузы допущены к перевозке</w:t>
            </w:r>
          </w:p>
        </w:tc>
        <w:tc>
          <w:tcPr>
            <w:tcW w:w="3751" w:type="dxa"/>
            <w:tcBorders>
              <w:top w:val="single" w:sz="12" w:space="0" w:color="auto"/>
              <w:bottom w:val="nil"/>
            </w:tcBorders>
          </w:tcPr>
          <w:p w:rsidR="00396DAC" w:rsidRPr="00396DAC" w:rsidRDefault="00396DAC" w:rsidP="00396DAC">
            <w:r w:rsidRPr="00396DAC">
              <w:t>Назначить соответствующую баржу согласно запросу грузоотправителя, сопоставив указанные в ВОПОГ надлежащие отгрузочные наименования веществ, которые подлежат погрузке, с</w:t>
            </w:r>
            <w:r>
              <w:t> </w:t>
            </w:r>
            <w:r w:rsidRPr="00396DAC">
              <w:t>перечнем веществ, допущенных к перевозке этой баржей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7" w:type="dxa"/>
            <w:tcBorders>
              <w:top w:val="single" w:sz="12" w:space="0" w:color="auto"/>
            </w:tcBorders>
          </w:tcPr>
          <w:p w:rsidR="00396DAC" w:rsidRPr="00396DAC" w:rsidRDefault="00396DAC" w:rsidP="00396DAC">
            <w:r w:rsidRPr="00396DAC">
              <w:t>1.4.2.2.1 а) 1.16.1.2.5</w:t>
            </w:r>
          </w:p>
        </w:tc>
      </w:tr>
      <w:tr w:rsidR="00396DAC" w:rsidRPr="00396DAC" w:rsidTr="00396DAC">
        <w:tc>
          <w:tcPr>
            <w:tcW w:w="2282" w:type="dxa"/>
            <w:tcBorders>
              <w:top w:val="nil"/>
              <w:bottom w:val="nil"/>
            </w:tcBorders>
          </w:tcPr>
          <w:p w:rsidR="00396DAC" w:rsidRPr="00396DAC" w:rsidRDefault="00396DAC" w:rsidP="00396DAC">
            <w:r w:rsidRPr="00396DAC">
              <w:t>Удостовериться в том, что вся информация, предписанная в ВОПОГ, касающаяся подлежащих перевозке опасных грузов, была предоставлена грузоотправителем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:rsidR="00396DAC" w:rsidRPr="00396DAC" w:rsidRDefault="00396DAC" w:rsidP="00396DAC">
            <w:r w:rsidRPr="00396DAC">
              <w:t>Убедиться в том, что все транспортные документы (или требуемая информация в</w:t>
            </w:r>
            <w:r>
              <w:t> </w:t>
            </w:r>
            <w:r w:rsidRPr="00396DAC">
              <w:t>отслеживаемом формате), грузовой план</w:t>
            </w:r>
            <w:r>
              <w:t> </w:t>
            </w:r>
            <w:r w:rsidRPr="00396DAC">
              <w:t>и</w:t>
            </w:r>
            <w:r>
              <w:t> </w:t>
            </w:r>
            <w:r w:rsidRPr="00396DAC">
              <w:t xml:space="preserve">документ с указанием последовательности погрузки были получены у грузоотправителя; получить, рассмотреть и направить соответствующие транспортные документы (или требуемую информацию в отслеживаемом формате), грузовой план и документ с указанием последовательности погрузки судоводителю назначенной баржи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7" w:type="dxa"/>
          </w:tcPr>
          <w:p w:rsidR="00396DAC" w:rsidRPr="00396DAC" w:rsidRDefault="00396DAC" w:rsidP="00396DAC">
            <w:r w:rsidRPr="00396DAC">
              <w:t>1.4.2.2.1 b)</w:t>
            </w:r>
          </w:p>
        </w:tc>
      </w:tr>
      <w:tr w:rsidR="00396DAC" w:rsidRPr="00396DAC" w:rsidTr="00396DAC">
        <w:trPr>
          <w:trHeight w:val="692"/>
        </w:trPr>
        <w:tc>
          <w:tcPr>
            <w:tcW w:w="2282" w:type="dxa"/>
            <w:tcBorders>
              <w:top w:val="nil"/>
              <w:bottom w:val="nil"/>
            </w:tcBorders>
          </w:tcPr>
          <w:p w:rsidR="00396DAC" w:rsidRPr="00396DAC" w:rsidRDefault="00396DAC" w:rsidP="00396DAC">
            <w:r w:rsidRPr="00396DAC">
              <w:t>Удостовериться в том, что предусмотренный в</w:t>
            </w:r>
            <w:r>
              <w:t> </w:t>
            </w:r>
            <w:r w:rsidRPr="00396DAC">
              <w:t xml:space="preserve">пункте 1.16.1.2.5 перечень веществ, допущенных к перевозке судном, соответствует таблице С главы 3.2, включая внесенные </w:t>
            </w:r>
            <w:r>
              <w:br/>
            </w:r>
            <w:r w:rsidRPr="00396DAC">
              <w:t>в нее изменения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:rsidR="00396DAC" w:rsidRPr="00396DAC" w:rsidRDefault="00396DAC" w:rsidP="00AF48D4">
            <w:r w:rsidRPr="00396DAC">
              <w:t>Убедиться путем визуальной проверки, что отдельные компоненты и образовавшаяся смесь, указанные в</w:t>
            </w:r>
            <w:r>
              <w:t> </w:t>
            </w:r>
            <w:r w:rsidRPr="00396DAC">
              <w:t>транспортном документе, (или в требуемой информации в отслеживаемом формате) и сопроводительных документах, указаны в предусмотренном в</w:t>
            </w:r>
            <w:r>
              <w:t> </w:t>
            </w:r>
            <w:r w:rsidRPr="00396DAC">
              <w:t>пункте 1.16.1.2.5 перечне веществ, допущенных к перевозке судном, и что этот перечень соответствует таблице С главы 3.2, включая внесенные в нее изменения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7" w:type="dxa"/>
          </w:tcPr>
          <w:p w:rsidR="00396DAC" w:rsidRPr="00396DAC" w:rsidRDefault="00396DAC" w:rsidP="00396DAC">
            <w:r w:rsidRPr="00396DAC">
              <w:t>1.4.2.2.1 j)</w:t>
            </w:r>
          </w:p>
        </w:tc>
      </w:tr>
      <w:tr w:rsidR="00396DAC" w:rsidRPr="00396DAC" w:rsidTr="00396DAC">
        <w:trPr>
          <w:trHeight w:val="692"/>
        </w:trPr>
        <w:tc>
          <w:tcPr>
            <w:tcW w:w="2282" w:type="dxa"/>
            <w:tcBorders>
              <w:top w:val="nil"/>
              <w:bottom w:val="single" w:sz="12" w:space="0" w:color="auto"/>
            </w:tcBorders>
          </w:tcPr>
          <w:p w:rsidR="00396DAC" w:rsidRPr="00396DAC" w:rsidRDefault="00396DAC" w:rsidP="00396DAC">
            <w:r w:rsidRPr="00396DAC">
              <w:t>Удостовериться в том, что во время погрузки, перевозки, выгрузки и любых других операций с опасными грузами в трюмах или в грузовых танках соблюдены особые предписания</w:t>
            </w:r>
          </w:p>
        </w:tc>
        <w:tc>
          <w:tcPr>
            <w:tcW w:w="3751" w:type="dxa"/>
            <w:tcBorders>
              <w:top w:val="nil"/>
              <w:bottom w:val="single" w:sz="12" w:space="0" w:color="auto"/>
            </w:tcBorders>
          </w:tcPr>
          <w:p w:rsidR="00396DAC" w:rsidRPr="00396DAC" w:rsidRDefault="00396DAC" w:rsidP="00396DAC">
            <w:r w:rsidRPr="00396DAC">
              <w:t>Убедиться в соблюдении особых предписаний в отношении каждого вещества и образовавшейся смеси и вместе с ответственным за наполнение исполнять свои обязанности в соответствии с подразделом 1.4.2.2 и</w:t>
            </w:r>
            <w:r>
              <w:t> </w:t>
            </w:r>
            <w:r w:rsidRPr="00396DAC">
              <w:t>разделом 8.6.3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7" w:type="dxa"/>
          </w:tcPr>
          <w:p w:rsidR="00396DAC" w:rsidRPr="00396DAC" w:rsidRDefault="00396DAC" w:rsidP="00396DAC">
            <w:r w:rsidRPr="00396DAC">
              <w:t>1.4.2.2.1 i)</w:t>
            </w:r>
          </w:p>
        </w:tc>
      </w:tr>
    </w:tbl>
    <w:p w:rsidR="00396DAC" w:rsidRPr="00F31FBE" w:rsidRDefault="00396DAC" w:rsidP="00396DAC">
      <w:pPr>
        <w:pStyle w:val="SingleTxtG"/>
        <w:spacing w:before="120"/>
        <w:rPr>
          <w:rFonts w:eastAsia="Calibri"/>
          <w:lang w:val="ru-RU"/>
        </w:rPr>
      </w:pPr>
      <w:r w:rsidRPr="00F31FBE">
        <w:rPr>
          <w:lang w:val="ru-RU"/>
        </w:rPr>
        <w:t>6.</w:t>
      </w:r>
      <w:r w:rsidRPr="00F31FBE">
        <w:rPr>
          <w:lang w:val="ru-RU"/>
        </w:rPr>
        <w:tab/>
        <w:t>Ответственный за наполнение</w:t>
      </w:r>
      <w:r w:rsidR="00DF0C06">
        <w:rPr>
          <w:lang w:val="ru-RU"/>
        </w:rPr>
        <w:t>:</w:t>
      </w:r>
    </w:p>
    <w:tbl>
      <w:tblPr>
        <w:tblStyle w:val="TabTxt"/>
        <w:tblW w:w="7370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2282"/>
        <w:gridCol w:w="3751"/>
        <w:gridCol w:w="1337"/>
      </w:tblGrid>
      <w:tr w:rsidR="00396DAC" w:rsidRPr="00396DAC" w:rsidTr="00781F5D">
        <w:trPr>
          <w:tblHeader/>
        </w:trPr>
        <w:tc>
          <w:tcPr>
            <w:tcW w:w="228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396DAC" w:rsidRPr="00396DAC" w:rsidRDefault="00396DAC" w:rsidP="00396DAC">
            <w:pPr>
              <w:spacing w:before="80" w:after="80" w:line="200" w:lineRule="exact"/>
              <w:rPr>
                <w:i/>
                <w:sz w:val="16"/>
              </w:rPr>
            </w:pPr>
            <w:r w:rsidRPr="00396DAC">
              <w:rPr>
                <w:i/>
                <w:sz w:val="16"/>
              </w:rPr>
              <w:t>Ответственный за наполнение</w:t>
            </w:r>
            <w:r>
              <w:rPr>
                <w:i/>
                <w:sz w:val="16"/>
              </w:rPr>
              <w:t> </w:t>
            </w:r>
            <w:r w:rsidRPr="00396DAC">
              <w:rPr>
                <w:i/>
                <w:sz w:val="16"/>
              </w:rPr>
              <w:t>обязан:</w:t>
            </w:r>
          </w:p>
        </w:tc>
        <w:tc>
          <w:tcPr>
            <w:tcW w:w="375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396DAC" w:rsidRPr="00396DAC" w:rsidRDefault="00396DAC" w:rsidP="00396DAC">
            <w:pPr>
              <w:spacing w:before="80" w:after="80" w:line="200" w:lineRule="exact"/>
              <w:rPr>
                <w:i/>
                <w:sz w:val="16"/>
              </w:rPr>
            </w:pPr>
            <w:r w:rsidRPr="00396DAC">
              <w:rPr>
                <w:i/>
                <w:sz w:val="16"/>
              </w:rPr>
              <w:t>Действие: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396DAC" w:rsidRPr="00396DAC" w:rsidRDefault="00396DAC" w:rsidP="00396DAC">
            <w:pPr>
              <w:spacing w:before="80" w:after="80" w:line="200" w:lineRule="exact"/>
              <w:rPr>
                <w:i/>
                <w:sz w:val="16"/>
              </w:rPr>
            </w:pPr>
            <w:r w:rsidRPr="00396DAC">
              <w:rPr>
                <w:i/>
                <w:sz w:val="16"/>
              </w:rPr>
              <w:t>ВОПОГ</w:t>
            </w:r>
          </w:p>
        </w:tc>
      </w:tr>
      <w:tr w:rsidR="00396DAC" w:rsidRPr="00396DAC" w:rsidTr="00781F5D">
        <w:tc>
          <w:tcPr>
            <w:tcW w:w="2282" w:type="dxa"/>
            <w:tcBorders>
              <w:top w:val="single" w:sz="12" w:space="0" w:color="auto"/>
              <w:bottom w:val="nil"/>
            </w:tcBorders>
          </w:tcPr>
          <w:p w:rsidR="00396DAC" w:rsidRPr="00396DAC" w:rsidRDefault="00396DAC" w:rsidP="00396DAC">
            <w:r w:rsidRPr="00396DAC">
              <w:t>Перед наполнением грузовых танков выполнить свою часть перечня обязательных проверок, предусмотренного в пункте 7.2.4.10</w:t>
            </w:r>
          </w:p>
        </w:tc>
        <w:tc>
          <w:tcPr>
            <w:tcW w:w="3751" w:type="dxa"/>
            <w:tcBorders>
              <w:top w:val="single" w:sz="12" w:space="0" w:color="auto"/>
              <w:bottom w:val="nil"/>
            </w:tcBorders>
          </w:tcPr>
          <w:p w:rsidR="00396DAC" w:rsidRPr="00396DAC" w:rsidRDefault="00396DAC" w:rsidP="00396DAC">
            <w:r w:rsidRPr="00396DAC">
              <w:t>Уведомить перевозчика о соглашении о</w:t>
            </w:r>
            <w:r>
              <w:t> </w:t>
            </w:r>
            <w:r w:rsidRPr="00396DAC">
              <w:t>погрузке, совместно с перевозчиком выполнять свои обязательства согласно подразделу 1.4.3.3, пункту 7.2.4.10 и разделу 8.6.3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7" w:type="dxa"/>
            <w:tcBorders>
              <w:top w:val="single" w:sz="12" w:space="0" w:color="auto"/>
            </w:tcBorders>
          </w:tcPr>
          <w:p w:rsidR="00396DAC" w:rsidRPr="00396DAC" w:rsidRDefault="00396DAC" w:rsidP="00396DAC">
            <w:r w:rsidRPr="00396DAC">
              <w:t xml:space="preserve">1.4.3.3 m) </w:t>
            </w:r>
          </w:p>
        </w:tc>
      </w:tr>
      <w:tr w:rsidR="00396DAC" w:rsidRPr="00396DAC" w:rsidTr="00781F5D">
        <w:tc>
          <w:tcPr>
            <w:tcW w:w="2282" w:type="dxa"/>
            <w:tcBorders>
              <w:top w:val="nil"/>
              <w:bottom w:val="nil"/>
            </w:tcBorders>
          </w:tcPr>
          <w:p w:rsidR="00396DAC" w:rsidRPr="00396DAC" w:rsidRDefault="00396DAC" w:rsidP="00396DAC">
            <w:r w:rsidRPr="00396DAC">
              <w:t xml:space="preserve">Наполнять грузовые танки лишь опасными грузами, допущенными к перевозке в этих танках </w:t>
            </w:r>
          </w:p>
        </w:tc>
        <w:tc>
          <w:tcPr>
            <w:tcW w:w="3751" w:type="dxa"/>
            <w:tcBorders>
              <w:top w:val="nil"/>
              <w:bottom w:val="nil"/>
            </w:tcBorders>
          </w:tcPr>
          <w:p w:rsidR="00396DAC" w:rsidRPr="00396DAC" w:rsidRDefault="00396DAC" w:rsidP="00AF48D4">
            <w:r w:rsidRPr="00396DAC">
              <w:t>Совместно с перевозчиком выполнять свои обязанности согласно подразделу</w:t>
            </w:r>
            <w:r w:rsidR="00AF48D4">
              <w:rPr>
                <w:lang w:val="en-US"/>
              </w:rPr>
              <w:t> </w:t>
            </w:r>
            <w:r w:rsidRPr="00396DAC">
              <w:t>1.4.3.3, пункту 7.2.4.10 и</w:t>
            </w:r>
            <w:r w:rsidR="00AF48D4">
              <w:rPr>
                <w:lang w:val="en-US"/>
              </w:rPr>
              <w:t> </w:t>
            </w:r>
            <w:r w:rsidRPr="00396DAC">
              <w:t>разделу 8.6.3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7" w:type="dxa"/>
          </w:tcPr>
          <w:p w:rsidR="00396DAC" w:rsidRPr="00396DAC" w:rsidRDefault="00396DAC" w:rsidP="00396DAC">
            <w:r w:rsidRPr="00396DAC">
              <w:t>1.4.3.3 n)</w:t>
            </w:r>
          </w:p>
        </w:tc>
      </w:tr>
      <w:tr w:rsidR="00396DAC" w:rsidRPr="00396DAC" w:rsidTr="00781F5D">
        <w:tc>
          <w:tcPr>
            <w:tcW w:w="2282" w:type="dxa"/>
            <w:tcBorders>
              <w:top w:val="nil"/>
              <w:bottom w:val="single" w:sz="12" w:space="0" w:color="auto"/>
            </w:tcBorders>
          </w:tcPr>
          <w:p w:rsidR="00396DAC" w:rsidRPr="00396DAC" w:rsidRDefault="00396DAC" w:rsidP="00514414">
            <w:pPr>
              <w:keepNext/>
              <w:keepLines/>
            </w:pPr>
            <w:r w:rsidRPr="00396DAC">
              <w:t>Удостовериться в том, что в газовозвратном трубопроводе, если таковой предписан в</w:t>
            </w:r>
            <w:r w:rsidR="00781F5D">
              <w:t> </w:t>
            </w:r>
            <w:r w:rsidRPr="00396DAC">
              <w:t>пункте 7.2.4.25.5, установлен пламегаситель, защищающий судно от</w:t>
            </w:r>
            <w:r w:rsidR="00514414">
              <w:rPr>
                <w:lang w:val="en-US"/>
              </w:rPr>
              <w:t> </w:t>
            </w:r>
            <w:r w:rsidRPr="00396DAC">
              <w:t xml:space="preserve">детонаций и проникновения пламени с берега </w:t>
            </w:r>
          </w:p>
        </w:tc>
        <w:tc>
          <w:tcPr>
            <w:tcW w:w="3751" w:type="dxa"/>
            <w:tcBorders>
              <w:top w:val="nil"/>
              <w:bottom w:val="single" w:sz="12" w:space="0" w:color="auto"/>
            </w:tcBorders>
          </w:tcPr>
          <w:p w:rsidR="00396DAC" w:rsidRPr="00396DAC" w:rsidRDefault="00396DAC" w:rsidP="00514414">
            <w:pPr>
              <w:keepNext/>
              <w:keepLines/>
            </w:pPr>
            <w:r w:rsidRPr="00396DAC">
              <w:t>Совместно с перевозчиком выполнять свои обязанности согласно подразделу</w:t>
            </w:r>
            <w:r w:rsidR="00514414">
              <w:rPr>
                <w:lang w:val="en-US"/>
              </w:rPr>
              <w:t> </w:t>
            </w:r>
            <w:r w:rsidRPr="00396DAC">
              <w:t>1.4.3.3, пункту 7.2.4.10 и</w:t>
            </w:r>
            <w:r w:rsidR="00514414">
              <w:rPr>
                <w:lang w:val="en-US"/>
              </w:rPr>
              <w:t> </w:t>
            </w:r>
            <w:r w:rsidRPr="00396DAC">
              <w:t>разделу 8.6.3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7" w:type="dxa"/>
          </w:tcPr>
          <w:p w:rsidR="00396DAC" w:rsidRPr="00396DAC" w:rsidRDefault="00396DAC" w:rsidP="00781F5D">
            <w:pPr>
              <w:keepNext/>
              <w:keepLines/>
            </w:pPr>
            <w:r w:rsidRPr="00396DAC">
              <w:t>1.4.3.3 r)</w:t>
            </w:r>
          </w:p>
        </w:tc>
      </w:tr>
    </w:tbl>
    <w:p w:rsidR="00396DAC" w:rsidRPr="00F31FBE" w:rsidRDefault="00396DAC" w:rsidP="00396DAC">
      <w:pPr>
        <w:pStyle w:val="HChG"/>
        <w:rPr>
          <w:rFonts w:eastAsia="Calibri"/>
          <w:lang w:val="ru-RU"/>
        </w:rPr>
      </w:pPr>
      <w:r w:rsidRPr="00F31FBE">
        <w:rPr>
          <w:lang w:val="ru-RU"/>
        </w:rPr>
        <w:br w:type="page"/>
        <w:t>Приложение IV</w:t>
      </w:r>
    </w:p>
    <w:p w:rsidR="00396DAC" w:rsidRPr="00F31FBE" w:rsidRDefault="00396DAC" w:rsidP="00396DAC">
      <w:pPr>
        <w:pStyle w:val="HChG"/>
        <w:rPr>
          <w:rFonts w:eastAsia="Calibri"/>
          <w:lang w:val="ru-RU"/>
        </w:rPr>
      </w:pPr>
      <w:bookmarkStart w:id="3" w:name="_Hlk511729701"/>
      <w:r w:rsidRPr="00F31FBE">
        <w:rPr>
          <w:lang w:val="ru-RU"/>
        </w:rPr>
        <w:tab/>
      </w:r>
      <w:r w:rsidRPr="00F31FBE">
        <w:rPr>
          <w:lang w:val="ru-RU"/>
        </w:rPr>
        <w:tab/>
        <w:t xml:space="preserve">Принципы классификации </w:t>
      </w:r>
    </w:p>
    <w:bookmarkEnd w:id="3"/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1.</w:t>
      </w:r>
      <w:r w:rsidRPr="00F31FBE">
        <w:rPr>
          <w:lang w:val="ru-RU"/>
        </w:rPr>
        <w:tab/>
        <w:t xml:space="preserve">Принципы классификации образовавшейся смеси соответствуют разделам 2.1.2 и 2.1.3. 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2.</w:t>
      </w:r>
      <w:r w:rsidRPr="00F31FBE">
        <w:rPr>
          <w:lang w:val="ru-RU"/>
        </w:rPr>
        <w:tab/>
        <w:t>Грузоотправитель согласно пункту 1.4.2.2.1 a) отвечает за правильную классификацию образовавшейся смеси в соответствии с пунктами 2.1.3.5.1, 2.1.3.5.2 и</w:t>
      </w:r>
      <w:r w:rsidR="00E958C1">
        <w:rPr>
          <w:lang w:val="ru-RU"/>
        </w:rPr>
        <w:t> </w:t>
      </w:r>
      <w:r w:rsidRPr="00F31FBE">
        <w:rPr>
          <w:lang w:val="ru-RU"/>
        </w:rPr>
        <w:t>2.1.3.5.4.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3.</w:t>
      </w:r>
      <w:r w:rsidRPr="00F31FBE">
        <w:rPr>
          <w:lang w:val="ru-RU"/>
        </w:rPr>
        <w:tab/>
        <w:t>Грузоотправитель должен удостовериться</w:t>
      </w:r>
      <w:r>
        <w:rPr>
          <w:lang w:val="ru-RU"/>
        </w:rPr>
        <w:t xml:space="preserve"> в том</w:t>
      </w:r>
      <w:r w:rsidRPr="00F31FBE">
        <w:rPr>
          <w:lang w:val="ru-RU"/>
        </w:rPr>
        <w:t>, что смешиваемые продукты являются совместимыми и не вступают в реакцию друг с другом.</w:t>
      </w:r>
    </w:p>
    <w:p w:rsidR="00396DAC" w:rsidRPr="00F31FBE" w:rsidRDefault="00396DAC" w:rsidP="00396DAC">
      <w:pPr>
        <w:pStyle w:val="HChG"/>
        <w:rPr>
          <w:rFonts w:eastAsia="Calibri"/>
          <w:lang w:val="ru-RU"/>
        </w:rPr>
      </w:pPr>
      <w:r w:rsidRPr="00F31FBE">
        <w:rPr>
          <w:lang w:val="ru-RU"/>
        </w:rPr>
        <w:br w:type="page"/>
        <w:t>Приложение V</w:t>
      </w:r>
    </w:p>
    <w:p w:rsidR="00396DAC" w:rsidRPr="00F31FBE" w:rsidRDefault="00396DAC" w:rsidP="00396DAC">
      <w:pPr>
        <w:pStyle w:val="HChG"/>
        <w:rPr>
          <w:rFonts w:eastAsia="Calibri"/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</w:r>
      <w:r w:rsidRPr="00F31FBE">
        <w:rPr>
          <w:bCs/>
          <w:lang w:val="ru-RU"/>
        </w:rPr>
        <w:t>Погрузка поверх согласно предписаниям ИМО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1.</w:t>
      </w:r>
      <w:r w:rsidRPr="00F31FBE">
        <w:rPr>
          <w:lang w:val="ru-RU"/>
        </w:rPr>
        <w:tab/>
        <w:t>Погрузка поверх на морских судах в порту регламентирована ИМО</w:t>
      </w:r>
      <w:r w:rsidRPr="00F31FBE">
        <w:rPr>
          <w:rFonts w:eastAsia="Calibri"/>
          <w:sz w:val="18"/>
          <w:szCs w:val="18"/>
          <w:vertAlign w:val="superscript"/>
          <w:lang w:val="ru-RU"/>
        </w:rPr>
        <w:footnoteReference w:id="16"/>
      </w:r>
      <w:r w:rsidRPr="00F31FBE">
        <w:rPr>
          <w:lang w:val="ru-RU"/>
        </w:rPr>
        <w:t xml:space="preserve"> и</w:t>
      </w:r>
      <w:r w:rsidR="00E958C1">
        <w:rPr>
          <w:lang w:val="ru-RU"/>
        </w:rPr>
        <w:t> </w:t>
      </w:r>
      <w:r w:rsidRPr="00F31FBE">
        <w:rPr>
          <w:lang w:val="ru-RU"/>
        </w:rPr>
        <w:t>обсуждается в Подкомитете ИМО по перевозке жидкостей и газов наливом.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2.</w:t>
      </w:r>
      <w:r w:rsidRPr="00F31FBE">
        <w:rPr>
          <w:lang w:val="ru-RU"/>
        </w:rPr>
        <w:tab/>
        <w:t xml:space="preserve">В документе MEPC.1/Circ. 761 содержатся руководящие указания в отношении перевозки смесей нефтепродуктов и биотоплив. </w:t>
      </w:r>
    </w:p>
    <w:p w:rsidR="00396DAC" w:rsidRPr="00F31FBE" w:rsidRDefault="00396DAC" w:rsidP="00396DAC">
      <w:pPr>
        <w:pStyle w:val="SingleTxtG"/>
        <w:rPr>
          <w:rFonts w:eastAsia="Calibri"/>
          <w:sz w:val="18"/>
          <w:szCs w:val="18"/>
          <w:vertAlign w:val="superscript"/>
          <w:lang w:val="ru-RU"/>
        </w:rPr>
      </w:pPr>
      <w:r w:rsidRPr="00F31FBE">
        <w:rPr>
          <w:lang w:val="ru-RU"/>
        </w:rPr>
        <w:t>3.</w:t>
      </w:r>
      <w:r w:rsidRPr="00F31FBE">
        <w:rPr>
          <w:lang w:val="ru-RU"/>
        </w:rPr>
        <w:tab/>
        <w:t>В апреле 2016 года Институт энергетики (Соединенное Королевство Великобритании и Северной Ирландии) опубликовал «Руководство по смешиванию жидких углеводородов на борту танкеров» (Guidelines for the blending of liquid hydrocarbon cargoes on board tank vessels). Эта публикация охватывает как суда, так и баржи</w:t>
      </w:r>
      <w:r w:rsidRPr="00F31FBE">
        <w:rPr>
          <w:rFonts w:eastAsia="Calibri"/>
          <w:sz w:val="18"/>
          <w:szCs w:val="18"/>
          <w:vertAlign w:val="superscript"/>
          <w:lang w:val="ru-RU"/>
        </w:rPr>
        <w:footnoteReference w:id="17"/>
      </w:r>
      <w:r w:rsidRPr="00F31FBE">
        <w:rPr>
          <w:lang w:val="ru-RU"/>
        </w:rPr>
        <w:t>.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4.</w:t>
      </w:r>
      <w:r w:rsidRPr="00F31FBE">
        <w:rPr>
          <w:lang w:val="ru-RU"/>
        </w:rPr>
        <w:tab/>
        <w:t>В соответствии с документом MSC325(90) допускаются операции по смешиванию в порту. Смешивание отличается от производства; в Международной конвенции по охране человеческой жизни на море (СОЛАС) физическое смешивание определяется как «процесс, при котором судовые грузовые насосы и трубопроводы используются для внутренней циркуляции двух или нескольких различных грузов с целью получения груза, имеющего новое наименование продукта».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5.</w:t>
      </w:r>
      <w:r w:rsidRPr="00F31FBE">
        <w:rPr>
          <w:lang w:val="ru-RU"/>
        </w:rPr>
        <w:tab/>
        <w:t>Производственные процессы в СОЛАС определены как «любая целенаправленная операция, при которой происходит химическая реакция между грузом судна и любым другим веществом или грузом».</w:t>
      </w:r>
    </w:p>
    <w:p w:rsidR="00396DAC" w:rsidRPr="00F31FBE" w:rsidRDefault="00396DAC" w:rsidP="00E958C1">
      <w:pPr>
        <w:pStyle w:val="HChGR"/>
        <w:rPr>
          <w:rFonts w:eastAsia="Calibri"/>
        </w:rPr>
      </w:pPr>
      <w:r w:rsidRPr="00F31FBE">
        <w:br w:type="page"/>
        <w:t>Приложение VI</w:t>
      </w:r>
    </w:p>
    <w:p w:rsidR="00396DAC" w:rsidRPr="00F31FBE" w:rsidRDefault="00396DAC" w:rsidP="00396DAC">
      <w:pPr>
        <w:pStyle w:val="HChG"/>
        <w:rPr>
          <w:rFonts w:eastAsia="Calibri"/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  <w:t xml:space="preserve">Преимущества в плане безопасности и общественная польза </w:t>
      </w:r>
    </w:p>
    <w:p w:rsidR="00396DAC" w:rsidRPr="00F31FBE" w:rsidRDefault="00396DAC" w:rsidP="00396DAC">
      <w:pPr>
        <w:pStyle w:val="H23G"/>
        <w:rPr>
          <w:rFonts w:eastAsia="Calibri"/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  <w:t>Общественная польза</w:t>
      </w:r>
      <w:r>
        <w:rPr>
          <w:lang w:val="ru-RU"/>
        </w:rPr>
        <w:t xml:space="preserve"> –</w:t>
      </w:r>
      <w:r w:rsidRPr="00F31FBE">
        <w:rPr>
          <w:lang w:val="ru-RU"/>
        </w:rPr>
        <w:t xml:space="preserve"> повышение уровня безопасности на внутренних водных путях и вблизи наливных установок: погрузка поверх позволяет использовать меньше барж, что означает меньшее число маневров, что в свою очередь </w:t>
      </w:r>
      <w:r>
        <w:rPr>
          <w:lang w:val="ru-RU"/>
        </w:rPr>
        <w:t>улучшает состояние безопасности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1.</w:t>
      </w:r>
      <w:r w:rsidRPr="00F31FBE">
        <w:rPr>
          <w:lang w:val="ru-RU"/>
        </w:rPr>
        <w:tab/>
        <w:t>По данным ФЕТСА в настоящее время средняя занятость причалов для барж в районе Амстердам</w:t>
      </w:r>
      <w:r w:rsidR="00D149C8" w:rsidRPr="00AE2E52">
        <w:rPr>
          <w:lang w:val="ru-RU"/>
        </w:rPr>
        <w:t>–</w:t>
      </w:r>
      <w:r w:rsidRPr="00F31FBE">
        <w:rPr>
          <w:lang w:val="ru-RU"/>
        </w:rPr>
        <w:t>Роттердам</w:t>
      </w:r>
      <w:r w:rsidR="00D149C8" w:rsidRPr="00AE2E52">
        <w:rPr>
          <w:lang w:val="ru-RU"/>
        </w:rPr>
        <w:t>–</w:t>
      </w:r>
      <w:r w:rsidRPr="00F31FBE">
        <w:rPr>
          <w:lang w:val="ru-RU"/>
        </w:rPr>
        <w:t>Антверпен составляет примерно 55–75%; показатель, превышающий 65%, свидетельствует о перегруженности наливной установки.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2.</w:t>
      </w:r>
      <w:r w:rsidRPr="00F31FBE">
        <w:rPr>
          <w:lang w:val="ru-RU"/>
        </w:rPr>
        <w:tab/>
        <w:t>Занятость причалов зависит от рыночных колебаний. При высокой волатильности рынка наблюдается рост торговой деятельности и, соответственно, увеличение интенсивности движения барж и загруженности погрузочно-разгрузочных объектов.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3.</w:t>
      </w:r>
      <w:r w:rsidRPr="00F31FBE">
        <w:rPr>
          <w:lang w:val="ru-RU"/>
        </w:rPr>
        <w:tab/>
        <w:t>Баржи выстраиваются в очереди в ожидании погрузки; в период ожидания им необходимы запасные причалы, которые в густонаселенных районах в Северо-Западной Европе (или вблизи них) могут находиться в нескольких часах хода от наливной установки; движение барж, связанно</w:t>
      </w:r>
      <w:r>
        <w:rPr>
          <w:lang w:val="ru-RU"/>
        </w:rPr>
        <w:t>е</w:t>
      </w:r>
      <w:r w:rsidRPr="00F31FBE">
        <w:rPr>
          <w:lang w:val="ru-RU"/>
        </w:rPr>
        <w:t xml:space="preserve"> с постановкой на запасные причалы, является источником дополнительных выбросов </w:t>
      </w:r>
      <w:r>
        <w:rPr>
          <w:lang w:val="en-US"/>
        </w:rPr>
        <w:t>CO</w:t>
      </w:r>
      <w:r w:rsidRPr="00AE2E52">
        <w:rPr>
          <w:vertAlign w:val="subscript"/>
          <w:lang w:val="ru-RU"/>
        </w:rPr>
        <w:t>2</w:t>
      </w:r>
      <w:r w:rsidRPr="00F31FBE">
        <w:rPr>
          <w:lang w:val="ru-RU"/>
        </w:rPr>
        <w:t>.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4.</w:t>
      </w:r>
      <w:r w:rsidRPr="00F31FBE">
        <w:rPr>
          <w:lang w:val="ru-RU"/>
        </w:rPr>
        <w:tab/>
        <w:t>Постановка барж</w:t>
      </w:r>
      <w:r>
        <w:rPr>
          <w:lang w:val="ru-RU"/>
        </w:rPr>
        <w:t>и</w:t>
      </w:r>
      <w:r w:rsidRPr="00F31FBE">
        <w:rPr>
          <w:lang w:val="ru-RU"/>
        </w:rPr>
        <w:t xml:space="preserve"> на </w:t>
      </w:r>
      <w:r>
        <w:rPr>
          <w:lang w:val="ru-RU"/>
        </w:rPr>
        <w:t>запасной</w:t>
      </w:r>
      <w:r w:rsidRPr="00F31FBE">
        <w:rPr>
          <w:lang w:val="ru-RU"/>
        </w:rPr>
        <w:t xml:space="preserve"> причал и снятие с него сопряжен</w:t>
      </w:r>
      <w:r>
        <w:rPr>
          <w:lang w:val="ru-RU"/>
        </w:rPr>
        <w:t>ы</w:t>
      </w:r>
      <w:r w:rsidRPr="00F31FBE">
        <w:rPr>
          <w:lang w:val="ru-RU"/>
        </w:rPr>
        <w:t xml:space="preserve"> с дополнительными маневрами по (от)швартовке и усугубля</w:t>
      </w:r>
      <w:r>
        <w:rPr>
          <w:lang w:val="ru-RU"/>
        </w:rPr>
        <w:t>ю</w:t>
      </w:r>
      <w:r w:rsidRPr="00F31FBE">
        <w:rPr>
          <w:lang w:val="ru-RU"/>
        </w:rPr>
        <w:t>т проблему перегруженности внутренних водных путей в наших странах. Хотя швартовка и отшвартовка должны всегда осуществляться с соблюдением соответствующих положений ВОПОГ (в частности, подразделов 7.2.5.3, 7.2.5.4 и 1.1.4.6), следует признать, что снижение интенсивности движения (барж) позволяет снизить эксплуатационные риски.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5.</w:t>
      </w:r>
      <w:r w:rsidRPr="00F31FBE">
        <w:rPr>
          <w:lang w:val="ru-RU"/>
        </w:rPr>
        <w:tab/>
        <w:t>Погрузка поверх на баржах позволяет существенно снизить интенсивность движения барж в наших и без того перегруженных портах и на внутренних водных путях, уменьшить очереди у наливных установок и количество последующих операций по швартовке/отшвартовке и, таким образом, повысить уровень безопасности.</w:t>
      </w:r>
    </w:p>
    <w:p w:rsidR="00396DAC" w:rsidRPr="00F31FBE" w:rsidRDefault="00396DAC" w:rsidP="00396DAC">
      <w:pPr>
        <w:pStyle w:val="H23G"/>
        <w:rPr>
          <w:rFonts w:eastAsia="Calibri"/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  <w:t>Общественная польза</w:t>
      </w:r>
      <w:r>
        <w:rPr>
          <w:lang w:val="ru-RU"/>
        </w:rPr>
        <w:t xml:space="preserve"> –</w:t>
      </w:r>
      <w:r w:rsidRPr="00F31FBE">
        <w:rPr>
          <w:lang w:val="ru-RU"/>
        </w:rPr>
        <w:t xml:space="preserve"> преодоление глобальных последствий, в частности предотвращение усугубления парникового эффекта, глобального потепления и</w:t>
      </w:r>
      <w:r w:rsidR="00E958C1">
        <w:rPr>
          <w:lang w:val="ru-RU"/>
        </w:rPr>
        <w:t> </w:t>
      </w:r>
      <w:r w:rsidRPr="00F31FBE">
        <w:rPr>
          <w:lang w:val="ru-RU"/>
        </w:rPr>
        <w:t>изменения климата, которые являются непосредственным результатом глобального повышения температур</w:t>
      </w:r>
      <w:r>
        <w:rPr>
          <w:lang w:val="ru-RU"/>
        </w:rPr>
        <w:t>;</w:t>
      </w:r>
      <w:r w:rsidRPr="00F31FBE">
        <w:rPr>
          <w:lang w:val="ru-RU"/>
        </w:rPr>
        <w:t xml:space="preserve"> значительное сокращение выбросов парниковых газов (ПГ)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6.</w:t>
      </w:r>
      <w:r w:rsidRPr="00F31FBE">
        <w:rPr>
          <w:lang w:val="ru-RU"/>
        </w:rPr>
        <w:tab/>
        <w:t>«CO</w:t>
      </w:r>
      <w:r w:rsidRPr="00F31FBE">
        <w:rPr>
          <w:vertAlign w:val="subscript"/>
          <w:lang w:val="ru-RU"/>
        </w:rPr>
        <w:t>2</w:t>
      </w:r>
      <w:r w:rsidRPr="00F31FBE">
        <w:rPr>
          <w:lang w:val="ru-RU"/>
        </w:rPr>
        <w:t>/CH</w:t>
      </w:r>
      <w:r w:rsidRPr="00F31FBE">
        <w:rPr>
          <w:vertAlign w:val="subscript"/>
          <w:lang w:val="ru-RU"/>
        </w:rPr>
        <w:t>4</w:t>
      </w:r>
      <w:r w:rsidRPr="00F31FBE">
        <w:rPr>
          <w:lang w:val="ru-RU"/>
        </w:rPr>
        <w:t>: CO</w:t>
      </w:r>
      <w:r w:rsidRPr="00F31FBE">
        <w:rPr>
          <w:vertAlign w:val="subscript"/>
          <w:lang w:val="ru-RU"/>
        </w:rPr>
        <w:t>2</w:t>
      </w:r>
      <w:r w:rsidRPr="00F31FBE">
        <w:rPr>
          <w:lang w:val="ru-RU"/>
        </w:rPr>
        <w:t xml:space="preserve"> – увеличение антропогенных выбросов CO</w:t>
      </w:r>
      <w:r w:rsidRPr="00F31FBE">
        <w:rPr>
          <w:vertAlign w:val="subscript"/>
          <w:lang w:val="ru-RU"/>
        </w:rPr>
        <w:t>2</w:t>
      </w:r>
      <w:r w:rsidRPr="00F31FBE">
        <w:rPr>
          <w:lang w:val="ru-RU"/>
        </w:rPr>
        <w:t xml:space="preserve"> в атмосферу парниковых газов приводит к усугублению парникового эффекта и глобальному потеплению. Изменение климата является одним из прямых последствий повышения глобальных температур. Выбросы CH</w:t>
      </w:r>
      <w:r w:rsidRPr="00F31FBE">
        <w:rPr>
          <w:vertAlign w:val="subscript"/>
          <w:lang w:val="ru-RU"/>
        </w:rPr>
        <w:t>4</w:t>
      </w:r>
      <w:r w:rsidRPr="00F31FBE">
        <w:rPr>
          <w:lang w:val="ru-RU"/>
        </w:rPr>
        <w:t xml:space="preserve"> имеют те же последствия, что и выбросы CO</w:t>
      </w:r>
      <w:r w:rsidRPr="00F31FBE">
        <w:rPr>
          <w:vertAlign w:val="subscript"/>
          <w:lang w:val="ru-RU"/>
        </w:rPr>
        <w:t>2</w:t>
      </w:r>
      <w:r w:rsidRPr="00F31FBE">
        <w:rPr>
          <w:lang w:val="ru-RU"/>
        </w:rPr>
        <w:t>, но его потенциал парникового эффекта в течение периода продолжительностью 100</w:t>
      </w:r>
      <w:r w:rsidR="00E958C1">
        <w:rPr>
          <w:lang w:val="ru-RU"/>
        </w:rPr>
        <w:t> </w:t>
      </w:r>
      <w:r w:rsidRPr="00F31FBE">
        <w:rPr>
          <w:lang w:val="ru-RU"/>
        </w:rPr>
        <w:t>лет в 25 раз выше по сравнению с CO</w:t>
      </w:r>
      <w:r w:rsidRPr="00F31FBE">
        <w:rPr>
          <w:vertAlign w:val="subscript"/>
          <w:lang w:val="ru-RU"/>
        </w:rPr>
        <w:t>2</w:t>
      </w:r>
      <w:r w:rsidRPr="00F31FBE">
        <w:rPr>
          <w:lang w:val="ru-RU"/>
        </w:rPr>
        <w:t>»</w:t>
      </w:r>
      <w:r w:rsidRPr="00F31FBE">
        <w:rPr>
          <w:rFonts w:eastAsia="Calibri"/>
          <w:sz w:val="18"/>
          <w:szCs w:val="18"/>
          <w:vertAlign w:val="superscript"/>
          <w:lang w:val="ru-RU"/>
        </w:rPr>
        <w:footnoteReference w:id="18"/>
      </w:r>
      <w:r w:rsidRPr="00F31FBE">
        <w:rPr>
          <w:lang w:val="ru-RU"/>
        </w:rPr>
        <w:t>.</w:t>
      </w:r>
    </w:p>
    <w:p w:rsidR="00396DAC" w:rsidRPr="00F31FBE" w:rsidRDefault="00396DAC" w:rsidP="00396DAC">
      <w:pPr>
        <w:pStyle w:val="H23G"/>
        <w:rPr>
          <w:rFonts w:eastAsia="Calibri"/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  <w:t xml:space="preserve">Общественная польза – последствия на местном/региональном уровне: значительное сокращение атмосферного загрязнения 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7.</w:t>
      </w:r>
      <w:r w:rsidRPr="00F31FBE">
        <w:rPr>
          <w:lang w:val="ru-RU"/>
        </w:rPr>
        <w:tab/>
        <w:t>«SO</w:t>
      </w:r>
      <w:r w:rsidRPr="00F31FBE">
        <w:rPr>
          <w:vertAlign w:val="subscript"/>
          <w:lang w:val="ru-RU"/>
        </w:rPr>
        <w:t>x</w:t>
      </w:r>
      <w:r w:rsidRPr="00F31FBE">
        <w:rPr>
          <w:lang w:val="ru-RU"/>
        </w:rPr>
        <w:t>: последствия на местном/региональном уровне</w:t>
      </w:r>
      <w:r>
        <w:rPr>
          <w:lang w:val="ru-RU"/>
        </w:rPr>
        <w:t>.</w:t>
      </w:r>
      <w:r w:rsidRPr="00F31FBE">
        <w:rPr>
          <w:lang w:val="ru-RU"/>
        </w:rPr>
        <w:t xml:space="preserve"> SO</w:t>
      </w:r>
      <w:r w:rsidRPr="00F31FBE">
        <w:rPr>
          <w:vertAlign w:val="subscript"/>
          <w:lang w:val="ru-RU"/>
        </w:rPr>
        <w:t>2</w:t>
      </w:r>
      <w:r w:rsidRPr="00F31FBE">
        <w:rPr>
          <w:lang w:val="ru-RU"/>
        </w:rPr>
        <w:t xml:space="preserve"> способствует выпадению кислотных осадков, негативно влияющих на состояние почв и вод. SO</w:t>
      </w:r>
      <w:r w:rsidRPr="00F31FBE">
        <w:rPr>
          <w:vertAlign w:val="subscript"/>
          <w:lang w:val="ru-RU"/>
        </w:rPr>
        <w:t>x</w:t>
      </w:r>
      <w:r w:rsidRPr="00F31FBE">
        <w:rPr>
          <w:lang w:val="ru-RU"/>
        </w:rPr>
        <w:t xml:space="preserve"> известны как прекурсоры твердых частиц. NO</w:t>
      </w:r>
      <w:r w:rsidRPr="00F31FBE">
        <w:rPr>
          <w:vertAlign w:val="subscript"/>
          <w:lang w:val="ru-RU"/>
        </w:rPr>
        <w:t>x</w:t>
      </w:r>
      <w:r w:rsidRPr="00F31FBE">
        <w:rPr>
          <w:lang w:val="ru-RU"/>
        </w:rPr>
        <w:t xml:space="preserve"> вступает в реакции с аммиаком, образуя азотнокислые пары и твердые частицы, которые могут глубоко проникать в уязвимые ткани легких и поражать их, вызывая в самых тяжелых случаях преждевременную смерть. </w:t>
      </w:r>
      <w:r>
        <w:rPr>
          <w:lang w:val="ru-RU"/>
        </w:rPr>
        <w:t>Одним из продуктов</w:t>
      </w:r>
      <w:r w:rsidRPr="00F31FBE">
        <w:rPr>
          <w:lang w:val="ru-RU"/>
        </w:rPr>
        <w:t xml:space="preserve"> химических реакций с участием летучих органических соединений (ЛОС) в присутствии солнечного света </w:t>
      </w:r>
      <w:r>
        <w:rPr>
          <w:lang w:val="ru-RU"/>
        </w:rPr>
        <w:t>является</w:t>
      </w:r>
      <w:r w:rsidRPr="00F31FBE">
        <w:rPr>
          <w:lang w:val="ru-RU"/>
        </w:rPr>
        <w:t xml:space="preserve"> озон, который может иметь такие неблагоприятные последствия, как повреждение легочной ткани и </w:t>
      </w:r>
      <w:r>
        <w:rPr>
          <w:lang w:val="ru-RU"/>
        </w:rPr>
        <w:t>ослабление</w:t>
      </w:r>
      <w:r w:rsidRPr="00F31FBE">
        <w:rPr>
          <w:lang w:val="ru-RU"/>
        </w:rPr>
        <w:t xml:space="preserve"> легочной функции, прежде всего у уязвимых категорий населения (дети, пожилые люди и </w:t>
      </w:r>
      <w:r>
        <w:rPr>
          <w:lang w:val="ru-RU"/>
        </w:rPr>
        <w:t>лица</w:t>
      </w:r>
      <w:r w:rsidRPr="00F31FBE">
        <w:rPr>
          <w:lang w:val="ru-RU"/>
        </w:rPr>
        <w:t xml:space="preserve">, страдающие астмой). Озон переносится ветром и может неблагоприятно воздействовать на состояние здоровья </w:t>
      </w:r>
      <w:r>
        <w:rPr>
          <w:lang w:val="ru-RU"/>
        </w:rPr>
        <w:t>людей</w:t>
      </w:r>
      <w:r w:rsidRPr="00F31FBE">
        <w:rPr>
          <w:lang w:val="ru-RU"/>
        </w:rPr>
        <w:t>, проживающих далеко от первоначального источника загрязнения»</w:t>
      </w:r>
      <w:r w:rsidRPr="00F31FBE">
        <w:rPr>
          <w:rFonts w:eastAsia="Calibri"/>
          <w:sz w:val="18"/>
          <w:szCs w:val="18"/>
          <w:vertAlign w:val="superscript"/>
          <w:lang w:val="ru-RU"/>
        </w:rPr>
        <w:footnoteReference w:id="19"/>
      </w:r>
      <w:r w:rsidRPr="00F31FBE">
        <w:rPr>
          <w:lang w:val="ru-RU"/>
        </w:rPr>
        <w:t>.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8.</w:t>
      </w:r>
      <w:r w:rsidRPr="00F31FBE">
        <w:rPr>
          <w:lang w:val="ru-RU"/>
        </w:rPr>
        <w:tab/>
        <w:t>Вместе с тем, как указала Организация по прикладным научным исследованиям (ТНО) (Нидерланды) 7 августа 2017 года</w:t>
      </w:r>
      <w:r w:rsidRPr="00F31FBE">
        <w:rPr>
          <w:rFonts w:eastAsia="Calibri"/>
          <w:sz w:val="18"/>
          <w:szCs w:val="18"/>
          <w:vertAlign w:val="superscript"/>
          <w:lang w:val="ru-RU"/>
        </w:rPr>
        <w:footnoteReference w:id="20"/>
      </w:r>
      <w:r>
        <w:rPr>
          <w:lang w:val="ru-RU"/>
        </w:rPr>
        <w:t>,</w:t>
      </w:r>
      <w:r w:rsidRPr="00F31FBE">
        <w:rPr>
          <w:lang w:val="ru-RU"/>
        </w:rPr>
        <w:t xml:space="preserve"> расчет выбросов связан с неопределенностью. </w:t>
      </w:r>
    </w:p>
    <w:p w:rsidR="00396DAC" w:rsidRPr="00F31FBE" w:rsidRDefault="00396DAC" w:rsidP="00396DAC">
      <w:pPr>
        <w:pStyle w:val="H23G"/>
        <w:rPr>
          <w:rFonts w:eastAsia="Calibri"/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  <w:t>Уже обеспечено существенное сокращение выбросов NO</w:t>
      </w:r>
      <w:r w:rsidRPr="00F31FBE">
        <w:rPr>
          <w:vertAlign w:val="subscript"/>
          <w:lang w:val="ru-RU"/>
        </w:rPr>
        <w:t>x</w:t>
      </w:r>
      <w:r w:rsidRPr="00F31FBE">
        <w:rPr>
          <w:lang w:val="ru-RU"/>
        </w:rPr>
        <w:t>, SO</w:t>
      </w:r>
      <w:r w:rsidRPr="00F31FBE">
        <w:rPr>
          <w:vertAlign w:val="subscript"/>
          <w:lang w:val="ru-RU"/>
        </w:rPr>
        <w:t>x</w:t>
      </w:r>
      <w:r w:rsidRPr="00F31FBE">
        <w:rPr>
          <w:lang w:val="ru-RU"/>
        </w:rPr>
        <w:t>, твердых частиц</w:t>
      </w:r>
      <w:r w:rsidR="00AB59A4">
        <w:rPr>
          <w:lang w:val="ru-RU"/>
        </w:rPr>
        <w:t> </w:t>
      </w:r>
      <w:r w:rsidRPr="00F31FBE">
        <w:rPr>
          <w:lang w:val="ru-RU"/>
        </w:rPr>
        <w:t>(ТЧ): экологизация сектора перевозок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9.</w:t>
      </w:r>
      <w:r w:rsidRPr="00F31FBE">
        <w:rPr>
          <w:lang w:val="ru-RU"/>
        </w:rPr>
        <w:tab/>
        <w:t>Ответственно подходя к работе нашей отрасли и практикуя погрузку поверх, мы</w:t>
      </w:r>
      <w:r w:rsidR="00F13171">
        <w:rPr>
          <w:lang w:val="en-US"/>
        </w:rPr>
        <w:t> </w:t>
      </w:r>
      <w:r w:rsidRPr="00F31FBE">
        <w:rPr>
          <w:lang w:val="ru-RU"/>
        </w:rPr>
        <w:t xml:space="preserve">помогаем добиться существенного сокращения атмосферных выбросов. 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10.</w:t>
      </w:r>
      <w:r w:rsidRPr="00F31FBE">
        <w:rPr>
          <w:lang w:val="ru-RU"/>
        </w:rPr>
        <w:tab/>
        <w:t xml:space="preserve">Оптимизация работы береговых объектов и преимущества в плане безопасности: </w:t>
      </w:r>
    </w:p>
    <w:p w:rsidR="00396DAC" w:rsidRPr="00F31FBE" w:rsidRDefault="00396DAC" w:rsidP="00396DAC">
      <w:pPr>
        <w:pStyle w:val="SingleTxtG"/>
        <w:ind w:firstLine="567"/>
        <w:rPr>
          <w:rFonts w:eastAsia="Calibri"/>
          <w:lang w:val="ru-RU"/>
        </w:rPr>
      </w:pPr>
      <w:r w:rsidRPr="00F31FBE">
        <w:rPr>
          <w:lang w:val="ru-RU"/>
        </w:rPr>
        <w:t>a)</w:t>
      </w:r>
      <w:r w:rsidRPr="00F31FBE">
        <w:rPr>
          <w:lang w:val="ru-RU"/>
        </w:rPr>
        <w:tab/>
        <w:t xml:space="preserve">в разных терминалах осуществляются операции с различными продуктами; не все продукты удобно размещаются на одном участке; </w:t>
      </w:r>
    </w:p>
    <w:p w:rsidR="00396DAC" w:rsidRPr="00F31FBE" w:rsidRDefault="00396DAC" w:rsidP="00396DAC">
      <w:pPr>
        <w:pStyle w:val="SingleTxtG"/>
        <w:ind w:firstLine="567"/>
        <w:rPr>
          <w:rFonts w:eastAsia="Calibri"/>
          <w:lang w:val="ru-RU"/>
        </w:rPr>
      </w:pPr>
      <w:r w:rsidRPr="00F31FBE">
        <w:rPr>
          <w:lang w:val="ru-RU"/>
        </w:rPr>
        <w:t>b)</w:t>
      </w:r>
      <w:r w:rsidRPr="00F31FBE">
        <w:rPr>
          <w:lang w:val="ru-RU"/>
        </w:rPr>
        <w:tab/>
        <w:t xml:space="preserve">различные нефтеперерабатывающие </w:t>
      </w:r>
      <w:r>
        <w:rPr>
          <w:lang w:val="ru-RU"/>
        </w:rPr>
        <w:t>предприятия</w:t>
      </w:r>
      <w:r w:rsidRPr="00F31FBE">
        <w:rPr>
          <w:lang w:val="ru-RU"/>
        </w:rPr>
        <w:t xml:space="preserve"> производят разную продукцию в зависимости от поступающего сырья и </w:t>
      </w:r>
      <w:r>
        <w:rPr>
          <w:lang w:val="ru-RU"/>
        </w:rPr>
        <w:t>технологических процессов</w:t>
      </w:r>
      <w:r w:rsidRPr="00F31FBE">
        <w:rPr>
          <w:lang w:val="ru-RU"/>
        </w:rPr>
        <w:t>;</w:t>
      </w:r>
    </w:p>
    <w:p w:rsidR="00396DAC" w:rsidRPr="00F31FBE" w:rsidRDefault="00396DAC" w:rsidP="00396DAC">
      <w:pPr>
        <w:pStyle w:val="SingleTxtG"/>
        <w:ind w:firstLine="567"/>
        <w:rPr>
          <w:rFonts w:eastAsia="Calibri"/>
          <w:lang w:val="ru-RU"/>
        </w:rPr>
      </w:pPr>
      <w:r w:rsidRPr="00F31FBE">
        <w:rPr>
          <w:lang w:val="ru-RU"/>
        </w:rPr>
        <w:t>c)</w:t>
      </w:r>
      <w:r w:rsidRPr="00F31FBE">
        <w:rPr>
          <w:lang w:val="ru-RU"/>
        </w:rPr>
        <w:tab/>
        <w:t>большинство барж им</w:t>
      </w:r>
      <w:r>
        <w:rPr>
          <w:lang w:val="ru-RU"/>
        </w:rPr>
        <w:t>ее</w:t>
      </w:r>
      <w:r w:rsidRPr="00F31FBE">
        <w:rPr>
          <w:lang w:val="ru-RU"/>
        </w:rPr>
        <w:t>т меньшую вместимость по сравнению с</w:t>
      </w:r>
      <w:r w:rsidR="00AB59A4">
        <w:rPr>
          <w:lang w:val="ru-RU"/>
        </w:rPr>
        <w:t> </w:t>
      </w:r>
      <w:r w:rsidRPr="00F31FBE">
        <w:rPr>
          <w:lang w:val="ru-RU"/>
        </w:rPr>
        <w:t xml:space="preserve">цистернами, находящимися на берегу. </w:t>
      </w:r>
    </w:p>
    <w:p w:rsidR="00396DAC" w:rsidRPr="00F31FBE" w:rsidRDefault="00396DAC" w:rsidP="003C7359">
      <w:pPr>
        <w:pStyle w:val="HChGR"/>
        <w:rPr>
          <w:rFonts w:eastAsia="Calibri"/>
        </w:rPr>
      </w:pPr>
      <w:r>
        <w:br w:type="page"/>
      </w:r>
      <w:r w:rsidRPr="00F31FBE">
        <w:t>Приложение VII</w:t>
      </w:r>
      <w:bookmarkStart w:id="4" w:name="_Hlk515612603"/>
    </w:p>
    <w:p w:rsidR="00396DAC" w:rsidRPr="00F31FBE" w:rsidRDefault="00396DAC" w:rsidP="00396DAC">
      <w:pPr>
        <w:pStyle w:val="HChG"/>
        <w:rPr>
          <w:rFonts w:eastAsia="Calibri"/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  <w:t>Заключение</w:t>
      </w:r>
      <w:bookmarkEnd w:id="4"/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1.</w:t>
      </w:r>
      <w:r w:rsidRPr="00F31FBE">
        <w:rPr>
          <w:lang w:val="ru-RU"/>
        </w:rPr>
        <w:tab/>
        <w:t>Погрузка поверх на баржах с соблюдением жестких и четких требований может регулироваться ВОПОГ.</w:t>
      </w:r>
    </w:p>
    <w:p w:rsidR="00396DAC" w:rsidRPr="00F31FBE" w:rsidRDefault="00396DAC" w:rsidP="00396DAC">
      <w:pPr>
        <w:pStyle w:val="SingleTxtG"/>
        <w:rPr>
          <w:rFonts w:eastAsia="Calibri"/>
          <w:lang w:val="ru-RU"/>
        </w:rPr>
      </w:pPr>
      <w:r w:rsidRPr="00F31FBE">
        <w:rPr>
          <w:lang w:val="ru-RU"/>
        </w:rPr>
        <w:t>2.</w:t>
      </w:r>
      <w:r w:rsidRPr="00F31FBE">
        <w:rPr>
          <w:lang w:val="ru-RU"/>
        </w:rPr>
        <w:tab/>
        <w:t xml:space="preserve">Погрузку поверх не следует путать со смешиванием, производством, компаундированием или изготовлением, как это указано в приложении V. </w:t>
      </w:r>
    </w:p>
    <w:p w:rsidR="00396DAC" w:rsidRDefault="00396DAC" w:rsidP="00396DAC">
      <w:pPr>
        <w:pStyle w:val="SingleTxtG"/>
        <w:rPr>
          <w:lang w:val="ru-RU"/>
        </w:rPr>
      </w:pPr>
      <w:r w:rsidRPr="00F31FBE">
        <w:rPr>
          <w:lang w:val="ru-RU"/>
        </w:rPr>
        <w:t>3.</w:t>
      </w:r>
      <w:r w:rsidRPr="00F31FBE">
        <w:rPr>
          <w:lang w:val="ru-RU"/>
        </w:rPr>
        <w:tab/>
        <w:t>Операция по погрузке поверх должна быть транспарентной, отслеживаемой и</w:t>
      </w:r>
      <w:r w:rsidR="003C7359">
        <w:rPr>
          <w:lang w:val="ru-RU"/>
        </w:rPr>
        <w:t> </w:t>
      </w:r>
      <w:r w:rsidRPr="00F31FBE">
        <w:rPr>
          <w:lang w:val="ru-RU"/>
        </w:rPr>
        <w:t xml:space="preserve">выполняться с соблюдением обязательных требований. </w:t>
      </w:r>
    </w:p>
    <w:p w:rsidR="003C7359" w:rsidRDefault="003C7359">
      <w:pPr>
        <w:suppressAutoHyphens w:val="0"/>
        <w:spacing w:line="240" w:lineRule="auto"/>
        <w:rPr>
          <w:rFonts w:eastAsia="SimSun" w:cs="Times New Roman"/>
          <w:szCs w:val="20"/>
        </w:rPr>
      </w:pPr>
      <w:r>
        <w:br w:type="page"/>
      </w:r>
    </w:p>
    <w:p w:rsidR="00396DAC" w:rsidRPr="00F31FBE" w:rsidRDefault="00396DAC" w:rsidP="003C7359">
      <w:pPr>
        <w:pStyle w:val="HChGR"/>
        <w:rPr>
          <w:rFonts w:eastAsia="Calibri"/>
        </w:rPr>
      </w:pPr>
      <w:r w:rsidRPr="00F31FBE">
        <w:t>Добавление</w:t>
      </w:r>
      <w:bookmarkStart w:id="5" w:name="_Hlk515613132"/>
    </w:p>
    <w:p w:rsidR="00396DAC" w:rsidRPr="00F31FBE" w:rsidRDefault="00396DAC" w:rsidP="00396DAC">
      <w:pPr>
        <w:pStyle w:val="HChG"/>
        <w:rPr>
          <w:rFonts w:eastAsia="Calibri"/>
          <w:lang w:val="ru-RU"/>
        </w:rPr>
      </w:pPr>
      <w:r w:rsidRPr="00F31FBE">
        <w:rPr>
          <w:lang w:val="ru-RU"/>
        </w:rPr>
        <w:tab/>
      </w:r>
      <w:r w:rsidRPr="00F31FBE">
        <w:rPr>
          <w:lang w:val="ru-RU"/>
        </w:rPr>
        <w:tab/>
        <w:t>Письмо поддержки от Ассоциации морских портов Нидерландов</w:t>
      </w:r>
    </w:p>
    <w:bookmarkEnd w:id="5"/>
    <w:p w:rsidR="00396DAC" w:rsidRDefault="003C7359" w:rsidP="003C7359">
      <w:pPr>
        <w:pStyle w:val="SingleTxtG"/>
        <w:ind w:left="567"/>
        <w:rPr>
          <w:lang w:val="ru-RU"/>
        </w:rPr>
      </w:pPr>
      <w:r>
        <w:rPr>
          <w:rFonts w:cs="Calibri"/>
          <w:noProof/>
          <w:lang w:val="ru-RU" w:eastAsia="ru-RU"/>
        </w:rPr>
        <w:drawing>
          <wp:inline distT="0" distB="0" distL="0" distR="0" wp14:anchorId="1DB7DE32" wp14:editId="31D3F7EF">
            <wp:extent cx="5473700" cy="70421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59" w:rsidRDefault="003C7359" w:rsidP="003C7359">
      <w:pPr>
        <w:pStyle w:val="SingleTxtGR"/>
        <w:ind w:left="567"/>
        <w:rPr>
          <w:rFonts w:eastAsia="Calibri"/>
          <w:u w:val="single"/>
        </w:rPr>
      </w:pPr>
      <w:r>
        <w:rPr>
          <w:rFonts w:cs="Calibri"/>
          <w:noProof/>
          <w:lang w:eastAsia="ru-RU"/>
        </w:rPr>
        <w:drawing>
          <wp:inline distT="0" distB="0" distL="0" distR="0" wp14:anchorId="496F9932" wp14:editId="5954EFA0">
            <wp:extent cx="5556250" cy="32766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59" w:rsidRPr="003C7359" w:rsidRDefault="003C7359" w:rsidP="003C7359">
      <w:pPr>
        <w:pStyle w:val="SingleTxtGR"/>
        <w:spacing w:before="240" w:after="0"/>
        <w:jc w:val="center"/>
        <w:rPr>
          <w:rFonts w:eastAsia="Calibri"/>
          <w:u w:val="single"/>
        </w:rPr>
      </w:pPr>
      <w:r>
        <w:rPr>
          <w:rFonts w:eastAsia="Calibri"/>
          <w:u w:val="single"/>
        </w:rPr>
        <w:tab/>
      </w:r>
      <w:r>
        <w:rPr>
          <w:rFonts w:eastAsia="Calibri"/>
          <w:u w:val="single"/>
        </w:rPr>
        <w:tab/>
      </w:r>
      <w:r>
        <w:rPr>
          <w:rFonts w:eastAsia="Calibri"/>
          <w:u w:val="single"/>
        </w:rPr>
        <w:tab/>
      </w:r>
    </w:p>
    <w:sectPr w:rsidR="003C7359" w:rsidRPr="003C7359" w:rsidSect="004D7D86">
      <w:headerReference w:type="even" r:id="rId22"/>
      <w:headerReference w:type="default" r:id="rId23"/>
      <w:footerReference w:type="even" r:id="rId24"/>
      <w:footerReference w:type="default" r:id="rId25"/>
      <w:endnotePr>
        <w:numFmt w:val="decimal"/>
      </w:endnotePr>
      <w:pgSz w:w="11906" w:h="16838" w:code="9"/>
      <w:pgMar w:top="1417" w:right="1134" w:bottom="1134" w:left="1134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836" w:rsidRPr="00A312BC" w:rsidRDefault="00557836" w:rsidP="00A312BC"/>
  </w:endnote>
  <w:endnote w:type="continuationSeparator" w:id="0">
    <w:p w:rsidR="00557836" w:rsidRPr="00A312BC" w:rsidRDefault="00557836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B32" w:rsidRPr="000B7B32" w:rsidRDefault="000B7B32">
    <w:pPr>
      <w:pStyle w:val="Footer"/>
    </w:pPr>
    <w:r w:rsidRPr="000B7B32">
      <w:rPr>
        <w:b/>
        <w:sz w:val="18"/>
      </w:rPr>
      <w:fldChar w:fldCharType="begin"/>
    </w:r>
    <w:r w:rsidRPr="000B7B32">
      <w:rPr>
        <w:b/>
        <w:sz w:val="18"/>
      </w:rPr>
      <w:instrText xml:space="preserve"> PAGE  \* MERGEFORMAT </w:instrText>
    </w:r>
    <w:r w:rsidRPr="000B7B32">
      <w:rPr>
        <w:b/>
        <w:sz w:val="18"/>
      </w:rPr>
      <w:fldChar w:fldCharType="separate"/>
    </w:r>
    <w:r w:rsidR="005E7312">
      <w:rPr>
        <w:b/>
        <w:noProof/>
        <w:sz w:val="18"/>
      </w:rPr>
      <w:t>2</w:t>
    </w:r>
    <w:r w:rsidRPr="000B7B32">
      <w:rPr>
        <w:b/>
        <w:sz w:val="18"/>
      </w:rPr>
      <w:fldChar w:fldCharType="end"/>
    </w:r>
    <w:r>
      <w:rPr>
        <w:b/>
        <w:sz w:val="18"/>
      </w:rPr>
      <w:tab/>
    </w:r>
    <w:r>
      <w:t>GE.18-09594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B32" w:rsidRPr="000B7B32" w:rsidRDefault="000B7B32" w:rsidP="000B7B32">
    <w:pPr>
      <w:pStyle w:val="Footer"/>
      <w:tabs>
        <w:tab w:val="clear" w:pos="9639"/>
        <w:tab w:val="right" w:pos="9638"/>
      </w:tabs>
      <w:rPr>
        <w:b/>
        <w:sz w:val="18"/>
      </w:rPr>
    </w:pPr>
    <w:r>
      <w:t>GE.18-09594</w:t>
    </w:r>
    <w:r>
      <w:tab/>
    </w:r>
    <w:r w:rsidRPr="000B7B32">
      <w:rPr>
        <w:b/>
        <w:sz w:val="18"/>
      </w:rPr>
      <w:fldChar w:fldCharType="begin"/>
    </w:r>
    <w:r w:rsidRPr="000B7B32">
      <w:rPr>
        <w:b/>
        <w:sz w:val="18"/>
      </w:rPr>
      <w:instrText xml:space="preserve"> PAGE  \* MERGEFORMAT </w:instrText>
    </w:r>
    <w:r w:rsidRPr="000B7B32">
      <w:rPr>
        <w:b/>
        <w:sz w:val="18"/>
      </w:rPr>
      <w:fldChar w:fldCharType="separate"/>
    </w:r>
    <w:r w:rsidR="005E7312">
      <w:rPr>
        <w:b/>
        <w:noProof/>
        <w:sz w:val="18"/>
      </w:rPr>
      <w:t>5</w:t>
    </w:r>
    <w:r w:rsidRPr="000B7B32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72" w:rsidRPr="000B7B32" w:rsidRDefault="000B7B32" w:rsidP="000B7B32">
    <w:pPr>
      <w:spacing w:before="120" w:line="240" w:lineRule="auto"/>
    </w:pPr>
    <w:r>
      <w:t>GE.</w:t>
    </w:r>
    <w:r w:rsidR="00DF71B9"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698A042D" wp14:editId="6ECF259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18-09594  (R)</w:t>
    </w:r>
    <w:r>
      <w:rPr>
        <w:lang w:val="en-US"/>
      </w:rPr>
      <w:t xml:space="preserve">  290618  020718</w:t>
    </w:r>
    <w:r>
      <w:br/>
    </w:r>
    <w:r w:rsidRPr="000B7B32">
      <w:rPr>
        <w:rFonts w:ascii="C39T30Lfz" w:hAnsi="C39T30Lfz"/>
        <w:kern w:val="14"/>
        <w:sz w:val="56"/>
      </w:rPr>
      <w:t></w:t>
    </w:r>
    <w:r w:rsidRPr="000B7B32">
      <w:rPr>
        <w:rFonts w:ascii="C39T30Lfz" w:hAnsi="C39T30Lfz"/>
        <w:kern w:val="14"/>
        <w:sz w:val="56"/>
      </w:rPr>
      <w:t></w:t>
    </w:r>
    <w:r w:rsidRPr="000B7B32">
      <w:rPr>
        <w:rFonts w:ascii="C39T30Lfz" w:hAnsi="C39T30Lfz"/>
        <w:kern w:val="14"/>
        <w:sz w:val="56"/>
      </w:rPr>
      <w:t></w:t>
    </w:r>
    <w:r w:rsidRPr="000B7B32">
      <w:rPr>
        <w:rFonts w:ascii="C39T30Lfz" w:hAnsi="C39T30Lfz"/>
        <w:kern w:val="14"/>
        <w:sz w:val="56"/>
      </w:rPr>
      <w:t></w:t>
    </w:r>
    <w:r w:rsidRPr="000B7B32">
      <w:rPr>
        <w:rFonts w:ascii="C39T30Lfz" w:hAnsi="C39T30Lfz"/>
        <w:kern w:val="14"/>
        <w:sz w:val="56"/>
      </w:rPr>
      <w:t></w:t>
    </w:r>
    <w:r w:rsidRPr="000B7B32">
      <w:rPr>
        <w:rFonts w:ascii="C39T30Lfz" w:hAnsi="C39T30Lfz"/>
        <w:kern w:val="14"/>
        <w:sz w:val="56"/>
      </w:rPr>
      <w:t></w:t>
    </w:r>
    <w:r w:rsidRPr="000B7B32">
      <w:rPr>
        <w:rFonts w:ascii="C39T30Lfz" w:hAnsi="C39T30Lfz"/>
        <w:kern w:val="14"/>
        <w:sz w:val="56"/>
      </w:rPr>
      <w:t></w:t>
    </w:r>
    <w:r w:rsidRPr="000B7B32">
      <w:rPr>
        <w:rFonts w:ascii="C39T30Lfz" w:hAnsi="C39T30Lfz"/>
        <w:kern w:val="14"/>
        <w:sz w:val="56"/>
      </w:rPr>
      <w:t></w:t>
    </w:r>
    <w:r w:rsidRPr="000B7B32">
      <w:rPr>
        <w:rFonts w:ascii="C39T30Lfz" w:hAnsi="C39T30Lfz"/>
        <w:kern w:val="14"/>
        <w:sz w:val="56"/>
      </w:rPr>
      <w:t></w:t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15/AC.2/2018/39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15/AC.2/2018/39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3E18" w:rsidRPr="00E43E18" w:rsidRDefault="00E43E18" w:rsidP="00E43E18">
    <w:pPr>
      <w:pStyle w:val="Footer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15900" cy="6120130"/>
              <wp:effectExtent l="0" t="0" r="0" b="0"/>
              <wp:wrapNone/>
              <wp:docPr id="7" name="Надпись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00" cy="612013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6350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91240B29-F687-4F45-9708-019B960494DF}">
                          <a14:hiddenLine xmlns:a14="http://schemas.microsoft.com/office/drawing/2010/main" w="6350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3E18" w:rsidRPr="000B7B32" w:rsidRDefault="00E43E18" w:rsidP="00E43E18">
                          <w:pPr>
                            <w:pStyle w:val="Footer"/>
                          </w:pPr>
                          <w:r w:rsidRPr="000B7B32"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 w:rsidRPr="000B7B32">
                            <w:rPr>
                              <w:b/>
                              <w:sz w:val="18"/>
                            </w:rPr>
                            <w:instrText xml:space="preserve"> PAGE  \* MERGEFORMAT </w:instrText>
                          </w:r>
                          <w:r w:rsidRPr="000B7B32"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 w:rsidR="004C6EAE">
                            <w:rPr>
                              <w:b/>
                              <w:noProof/>
                              <w:sz w:val="18"/>
                            </w:rPr>
                            <w:t>10</w:t>
                          </w:r>
                          <w:r w:rsidRPr="000B7B32"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ab/>
                          </w:r>
                          <w:r>
                            <w:t>GE.18-09594</w:t>
                          </w:r>
                        </w:p>
                        <w:p w:rsidR="00E43E18" w:rsidRDefault="00E43E18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8" type="#_x0000_t202" style="position:absolute;margin-left:-34pt;margin-top:0;width:17pt;height:481.9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8VkEgMAALkGAAAOAAAAZHJzL2Uyb0RvYy54bWzEVctuEzEU3SPxD5b36cyE9JGok6oPgpCq&#10;tlKLunY8nswIj21sp0lBLNjzC/wDCxbs+IX0jzj2ZFrasigIiY3n2r6+j3PPvbO7t2wkuRLW1Vrl&#10;NNtIKRGK66JWs5y+uZj0dihxnqmCSa1ETq+Fo3vj5892F2Yk+rrSshCWwIhyo4XJaeW9GSWJ45Vo&#10;mNvQRihclto2zGNrZ0lh2QLWG5n003QrWWhbGKu5cA6nR+0lHUf7ZSm4Py1LJzyROUVsPq42rtOw&#10;JuNdNppZZqqar8NgfxFFw2oFp7emjphnZG7rR6aamlvtdOk3uG4SXZY1FzEHZJOlD7I5r5gRMReA&#10;48wtTO7fmeUnV2eW1EVOtylRrEGJVl9WX1ffVj9W328+3Xwm2wGjhXEjqJ4bKPvlgV6i1t25w2FI&#10;fVnaJnyRFME90L6+RVgsPeE47GebwxQ3HFdbGVJ+EUuQ3L021vlXQjckCDm1qGAEll0dO49IoNqp&#10;BGdOy7qY1FLGTWCNOJSWXDHUm3EulM/a59JUrD3uPEaOBe1o9J4hqcgCAb7YDKEy0LKUzENsDIBy&#10;akYJkzPwnXsbrSsdQohcCsEdMVe1vqLVlmRWz1URVSrBipeqIP7aAG6FvqDBXSMKSqSA2SBFTc9q&#10;+RRNgCJVQAA4A6a11BLwwzDrD9KD/rA32drZ7g0mg83ecDvd6aXZ8GC4lQ6Gg6PJx5BGNhhVdVEI&#10;dVwr0TVDNnga2dZt2dI4tsOfQXgP/wDibRmnkvG3AQ9k+UjrP0B9D6YYFVDvvhH9JLRL2xZB8svp&#10;MrZYv2uZqS6u0UlWg+GgmDN8UiPlY+b8GbMYQDjEUPWnWEqpQQ69liiptH3/u/Ogn9Owgk0YaCDq&#10;uzmz4JZ8rTAxYNJ3gu2EaSeoeXOo0TNZjCaKeGC97MTS6uYSs3Y/eMEVUxyR5BTeWvHQt2MVs5qL&#10;/f2ohBlnmD9W54YH04GXobQXy0tmzbrDPdA70d2oY6MHjd7qhpdK78+9Lus4BQKuLYpAPmwwH2MN&#10;1rM8DOBf91Hr7o8z/gkAAP//AwBQSwMEFAAGAAgAAAAhAJJeKrzbAAAACAEAAA8AAABkcnMvZG93&#10;bnJldi54bWxMj81KxEAQhO+C7zC04C07WSMhxnQWFdSTgqveO5kxic4fmclufHvbk16abqqo/qrZ&#10;rdaIg57j5B3CdpOD0K73anIDwtvrfVaBiImcIuOdRvjWEXbt6UlDtfJH96IP+zQIDnGxJoQxpVBL&#10;GftRW4obH7Rj7cPPlhKf8yDVTEcOt0Ze5HkpLU2OP4wU9N2o+6/9YhG6h+mZbh/D06ct3lUwdhni&#10;dkE8P1tvrkEkvaY/M/ziMzq0zNT5xakoDEJWVtwlIfBkOSsueekQrsqiAtk28n+B9gcAAP//AwBQ&#10;SwECLQAUAAYACAAAACEAtoM4kv4AAADhAQAAEwAAAAAAAAAAAAAAAAAAAAAAW0NvbnRlbnRfVHlw&#10;ZXNdLnhtbFBLAQItABQABgAIAAAAIQA4/SH/1gAAAJQBAAALAAAAAAAAAAAAAAAAAC8BAABfcmVs&#10;cy8ucmVsc1BLAQItABQABgAIAAAAIQA4N8VkEgMAALkGAAAOAAAAAAAAAAAAAAAAAC4CAABkcnMv&#10;ZTJvRG9jLnhtbFBLAQItABQABgAIAAAAIQCSXiq82wAAAAgBAAAPAAAAAAAAAAAAAAAAAGwFAABk&#10;cnMvZG93bnJldi54bWxQSwUGAAAAAAQABADzAAAAdAYAAAAA&#10;" fillcolor="#4f81bd [3204]" stroked="f" strokeweight=".5pt">
              <v:fill opacity="0"/>
              <v:stroke joinstyle="round"/>
              <v:textbox style="layout-flow:vertical" inset="0,0,0,0">
                <w:txbxContent>
                  <w:p w:rsidR="00E43E18" w:rsidRPr="000B7B32" w:rsidRDefault="00E43E18" w:rsidP="00E43E18">
                    <w:pPr>
                      <w:pStyle w:val="a8"/>
                    </w:pPr>
                    <w:r w:rsidRPr="000B7B32">
                      <w:rPr>
                        <w:b/>
                        <w:sz w:val="18"/>
                      </w:rPr>
                      <w:fldChar w:fldCharType="begin"/>
                    </w:r>
                    <w:r w:rsidRPr="000B7B32">
                      <w:rPr>
                        <w:b/>
                        <w:sz w:val="18"/>
                      </w:rPr>
                      <w:instrText xml:space="preserve"> PAGE  \* MERGEFORMAT </w:instrText>
                    </w:r>
                    <w:r w:rsidRPr="000B7B32">
                      <w:rPr>
                        <w:b/>
                        <w:sz w:val="18"/>
                      </w:rPr>
                      <w:fldChar w:fldCharType="separate"/>
                    </w:r>
                    <w:r w:rsidR="004C6EAE">
                      <w:rPr>
                        <w:b/>
                        <w:noProof/>
                        <w:sz w:val="18"/>
                      </w:rPr>
                      <w:t>10</w:t>
                    </w:r>
                    <w:r w:rsidRPr="000B7B32"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z w:val="18"/>
                      </w:rPr>
                      <w:tab/>
                    </w:r>
                    <w:r>
                      <w:t>GE.18-09594</w:t>
                    </w:r>
                  </w:p>
                  <w:p w:rsidR="00E43E18" w:rsidRDefault="00E43E18"/>
                </w:txbxContent>
              </v:textbox>
              <w10:wrap anchorx="margin" anchory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3E18" w:rsidRPr="00E43E18" w:rsidRDefault="00E43E18" w:rsidP="00E43E18">
    <w:pPr>
      <w:pStyle w:val="Footer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15900" cy="6120130"/>
              <wp:effectExtent l="0" t="0" r="0" b="0"/>
              <wp:wrapNone/>
              <wp:docPr id="5" name="Надпись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00" cy="612013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6350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91240B29-F687-4F45-9708-019B960494DF}">
                          <a14:hiddenLine xmlns:a14="http://schemas.microsoft.com/office/drawing/2010/main" w="6350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3E18" w:rsidRPr="000B7B32" w:rsidRDefault="00E43E18" w:rsidP="00E43E18">
                          <w:pPr>
                            <w:pStyle w:val="Footer"/>
                            <w:tabs>
                              <w:tab w:val="clear" w:pos="9639"/>
                              <w:tab w:val="right" w:pos="9638"/>
                            </w:tabs>
                            <w:rPr>
                              <w:b/>
                              <w:sz w:val="18"/>
                            </w:rPr>
                          </w:pPr>
                          <w:r>
                            <w:t>GE.18-09594</w:t>
                          </w:r>
                          <w:r>
                            <w:tab/>
                          </w:r>
                          <w:r w:rsidRPr="000B7B32"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 w:rsidRPr="000B7B32">
                            <w:rPr>
                              <w:b/>
                              <w:sz w:val="18"/>
                            </w:rPr>
                            <w:instrText xml:space="preserve"> PAGE  \* MERGEFORMAT </w:instrText>
                          </w:r>
                          <w:r w:rsidRPr="000B7B32"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 w:rsidR="00180F06">
                            <w:rPr>
                              <w:b/>
                              <w:noProof/>
                              <w:sz w:val="18"/>
                            </w:rPr>
                            <w:t>9</w:t>
                          </w:r>
                          <w:r w:rsidRPr="000B7B32">
                            <w:rPr>
                              <w:b/>
                              <w:sz w:val="18"/>
                            </w:rPr>
                            <w:fldChar w:fldCharType="end"/>
                          </w:r>
                        </w:p>
                        <w:p w:rsidR="00E43E18" w:rsidRDefault="00E43E18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9" type="#_x0000_t202" style="position:absolute;margin-left:-34pt;margin-top:0;width:17pt;height:481.9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9REgMAALkGAAAOAAAAZHJzL2Uyb0RvYy54bWzEVc1uEzEQviPxDpbv6e6mSWmibqv+EIRU&#10;tZVa1LPj9WZXeG1jO00K4sCdV+AdOHDgxiukb8Rnb7alLYeCkLh4x/Z4fr75ZnZnb9lIciWsq7XK&#10;abaRUiIU10WtZjl9czHpbVPiPFMFk1qJnF4LR/d2nz/bWZix6OtKy0JYAiPKjRcmp5X3Zpwkjlei&#10;YW5DG6FwWWrbMI+tnSWFZQtYb2TST9OtZKFtYazmwjmcHrWXdDfaL0vB/WlZOuGJzCli83G1cZ2G&#10;NdndYeOZZaaq+ToM9hdRNKxWcHpr6oh5Rua2fmSqqbnVTpd+g+sm0WVZcxFzQDZZ+iCb84oZEXMB&#10;OM7cwuT+nVl+cnVmSV3kdEiJYg1KtPqy+rr6tvqx+n7z6eYzGQaMFsaNoXpuoOyXB3qJWnfnDoch&#10;9WVpm/BFUgT3QPv6FmGx9ITjsJ8NRyluOK62MqS8GUuQ3L021vlXQjckCDm1qGAEll0dO49IoNqp&#10;BGdOy7qY1FLGTWCNOJSWXDHUm3EulM/a59JUrD3uPEaOBe1o9J4hqcgCAW4OQ6gMtCwl8xAbA6Cc&#10;mlHC5Ax8595G60qHECKXQnBHzFWtr2i1JZnVc1VElUqw4qUqiL82gFuhL2hw14iCEilgNkhR07Na&#10;PkUToEgVEADOgGkttQT8MMr6g/SgP+pNtrZf9AaTwbA3epFu99JsdDDaSgejwdHkY0gjG4yruiiE&#10;Oq6V6JohGzyNbOu2bGkc2+HPILyHfwDxtoxTyfjbgAeyfKT1H6C+B1OMCqh334h+EtqlbYsg+eV0&#10;GVtss2uZqS6u0UlWg+GgmDN8UiPlY+b8GbMYQDjEUPWnWEqpQQ69liiptH3/u/Ogn9Owgk0YaCDq&#10;uzmz4JZ8rTAxYNJ3gu2EaSeoeXOo0TNZjCaKeGC97MTS6uYSs3Y/eMEVUxyR5BTeWvHQt2MVs5qL&#10;/f2ohBlnmD9W54YH04GXobQXy0tmzbrDPdA70d2oY+MHjd7qhpdK78+9Lus4BQKuLYpAPmwwH2MN&#10;1rM8DOBf91Hr7o+z+xMAAP//AwBQSwMEFAAGAAgAAAAhAJJeKrzbAAAACAEAAA8AAABkcnMvZG93&#10;bnJldi54bWxMj81KxEAQhO+C7zC04C07WSMhxnQWFdSTgqveO5kxic4fmclufHvbk16abqqo/qrZ&#10;rdaIg57j5B3CdpOD0K73anIDwtvrfVaBiImcIuOdRvjWEXbt6UlDtfJH96IP+zQIDnGxJoQxpVBL&#10;GftRW4obH7Rj7cPPlhKf8yDVTEcOt0Ze5HkpLU2OP4wU9N2o+6/9YhG6h+mZbh/D06ct3lUwdhni&#10;dkE8P1tvrkEkvaY/M/ziMzq0zNT5xakoDEJWVtwlIfBkOSsueekQrsqiAtk28n+B9gcAAP//AwBQ&#10;SwECLQAUAAYACAAAACEAtoM4kv4AAADhAQAAEwAAAAAAAAAAAAAAAAAAAAAAW0NvbnRlbnRfVHlw&#10;ZXNdLnhtbFBLAQItABQABgAIAAAAIQA4/SH/1gAAAJQBAAALAAAAAAAAAAAAAAAAAC8BAABfcmVs&#10;cy8ucmVsc1BLAQItABQABgAIAAAAIQAOkr9REgMAALkGAAAOAAAAAAAAAAAAAAAAAC4CAABkcnMv&#10;ZTJvRG9jLnhtbFBLAQItABQABgAIAAAAIQCSXiq82wAAAAgBAAAPAAAAAAAAAAAAAAAAAGwFAABk&#10;cnMvZG93bnJldi54bWxQSwUGAAAAAAQABADzAAAAdAYAAAAA&#10;" fillcolor="#4f81bd [3204]" stroked="f" strokeweight=".5pt">
              <v:fill opacity="0"/>
              <v:stroke joinstyle="round"/>
              <v:textbox style="layout-flow:vertical" inset="0,0,0,0">
                <w:txbxContent>
                  <w:p w:rsidR="00E43E18" w:rsidRPr="000B7B32" w:rsidRDefault="00E43E18" w:rsidP="00E43E18">
                    <w:pPr>
                      <w:pStyle w:val="a8"/>
                      <w:tabs>
                        <w:tab w:val="clear" w:pos="9639"/>
                        <w:tab w:val="right" w:pos="9638"/>
                      </w:tabs>
                      <w:rPr>
                        <w:b/>
                        <w:sz w:val="18"/>
                      </w:rPr>
                    </w:pPr>
                    <w:r>
                      <w:t>GE.18-09594</w:t>
                    </w:r>
                    <w:r>
                      <w:tab/>
                    </w:r>
                    <w:r w:rsidRPr="000B7B32">
                      <w:rPr>
                        <w:b/>
                        <w:sz w:val="18"/>
                      </w:rPr>
                      <w:fldChar w:fldCharType="begin"/>
                    </w:r>
                    <w:r w:rsidRPr="000B7B32">
                      <w:rPr>
                        <w:b/>
                        <w:sz w:val="18"/>
                      </w:rPr>
                      <w:instrText xml:space="preserve"> PAGE  \* MERGEFORMAT </w:instrText>
                    </w:r>
                    <w:r w:rsidRPr="000B7B32">
                      <w:rPr>
                        <w:b/>
                        <w:sz w:val="18"/>
                      </w:rPr>
                      <w:fldChar w:fldCharType="separate"/>
                    </w:r>
                    <w:r w:rsidR="00180F06">
                      <w:rPr>
                        <w:b/>
                        <w:noProof/>
                        <w:sz w:val="18"/>
                      </w:rPr>
                      <w:t>9</w:t>
                    </w:r>
                    <w:r w:rsidRPr="000B7B32">
                      <w:rPr>
                        <w:b/>
                        <w:sz w:val="18"/>
                      </w:rPr>
                      <w:fldChar w:fldCharType="end"/>
                    </w:r>
                  </w:p>
                  <w:p w:rsidR="00E43E18" w:rsidRDefault="00E43E18"/>
                </w:txbxContent>
              </v:textbox>
              <w10:wrap anchorx="margin" anchory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D86" w:rsidRPr="004D7D86" w:rsidRDefault="004D7D86" w:rsidP="004D7D86">
    <w:pPr>
      <w:pStyle w:val="Footer"/>
      <w:rPr>
        <w:b/>
        <w:sz w:val="18"/>
      </w:rPr>
    </w:pPr>
    <w:r>
      <w:rPr>
        <w:b/>
        <w:sz w:val="18"/>
      </w:rPr>
      <w:fldChar w:fldCharType="begin"/>
    </w:r>
    <w:r>
      <w:rPr>
        <w:b/>
        <w:sz w:val="18"/>
      </w:rPr>
      <w:instrText xml:space="preserve"> PAGE  \* MERGEFORMAT </w:instrText>
    </w:r>
    <w:r>
      <w:rPr>
        <w:b/>
        <w:sz w:val="18"/>
      </w:rPr>
      <w:fldChar w:fldCharType="separate"/>
    </w:r>
    <w:r w:rsidR="00180F06">
      <w:rPr>
        <w:b/>
        <w:noProof/>
        <w:sz w:val="18"/>
      </w:rPr>
      <w:t>18</w:t>
    </w:r>
    <w:r>
      <w:rPr>
        <w:b/>
        <w:sz w:val="18"/>
      </w:rPr>
      <w:fldChar w:fldCharType="end"/>
    </w:r>
    <w:r>
      <w:rPr>
        <w:b/>
        <w:sz w:val="18"/>
      </w:rPr>
      <w:tab/>
    </w:r>
    <w:r>
      <w:t>GE.</w:t>
    </w:r>
    <w:r w:rsidRPr="004D7D86">
      <w:t>18</w:t>
    </w:r>
    <w:r>
      <w:t>-</w:t>
    </w:r>
    <w:r w:rsidRPr="004D7D86">
      <w:t>09594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D86" w:rsidRPr="004D7D86" w:rsidRDefault="004D7D86" w:rsidP="004D7D86">
    <w:pPr>
      <w:pStyle w:val="Footer"/>
      <w:rPr>
        <w:b/>
        <w:sz w:val="18"/>
      </w:rPr>
    </w:pPr>
    <w:r w:rsidRPr="004D7D86">
      <w:t>GE.18-09594</w:t>
    </w:r>
    <w:r>
      <w:rPr>
        <w:b/>
        <w:sz w:val="18"/>
      </w:rPr>
      <w:tab/>
    </w:r>
    <w:r>
      <w:rPr>
        <w:b/>
        <w:sz w:val="18"/>
      </w:rPr>
      <w:fldChar w:fldCharType="begin"/>
    </w:r>
    <w:r>
      <w:rPr>
        <w:b/>
        <w:sz w:val="18"/>
      </w:rPr>
      <w:instrText xml:space="preserve"> PAGE  \* MERGEFORMAT </w:instrText>
    </w:r>
    <w:r>
      <w:rPr>
        <w:b/>
        <w:sz w:val="18"/>
      </w:rPr>
      <w:fldChar w:fldCharType="separate"/>
    </w:r>
    <w:r w:rsidR="00180F06">
      <w:rPr>
        <w:b/>
        <w:noProof/>
        <w:sz w:val="18"/>
      </w:rPr>
      <w:t>19</w:t>
    </w:r>
    <w:r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836" w:rsidRPr="001075E9" w:rsidRDefault="00557836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557836" w:rsidRDefault="00557836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FF04F8" w:rsidRPr="003A7D20" w:rsidRDefault="00FF04F8" w:rsidP="00FF04F8">
      <w:pPr>
        <w:pStyle w:val="FootnoteText"/>
      </w:pPr>
      <w:r>
        <w:tab/>
      </w:r>
      <w:r w:rsidRPr="00B129DB">
        <w:rPr>
          <w:sz w:val="20"/>
        </w:rPr>
        <w:t>*</w:t>
      </w:r>
      <w:r>
        <w:tab/>
        <w:t>Распространено на немецком языке Центральной комиссией судоходства по Рейну под</w:t>
      </w:r>
      <w:r w:rsidR="00EF479F">
        <w:rPr>
          <w:lang w:val="en-US"/>
        </w:rPr>
        <w:t> </w:t>
      </w:r>
      <w:r>
        <w:t>условным обозначением CCNR-ZKR/ADN/WP.15/AC.2/2018/39.</w:t>
      </w:r>
    </w:p>
  </w:footnote>
  <w:footnote w:id="2">
    <w:p w:rsidR="00FF04F8" w:rsidRPr="003A7D20" w:rsidRDefault="00FF04F8" w:rsidP="00FF04F8">
      <w:pPr>
        <w:pStyle w:val="FootnoteText"/>
      </w:pPr>
      <w:r>
        <w:tab/>
      </w:r>
      <w:r w:rsidRPr="00B129DB">
        <w:rPr>
          <w:sz w:val="20"/>
        </w:rPr>
        <w:t>**</w:t>
      </w:r>
      <w:r>
        <w:tab/>
        <w:t>В соответствии с программой работы Комитета по внутреннему транспорту на 2018–2019 годы (ECE/TRANS/2018/21/Add.1, направление деятельности 9.3).</w:t>
      </w:r>
    </w:p>
  </w:footnote>
  <w:footnote w:id="3">
    <w:p w:rsidR="00B129DB" w:rsidRPr="00B129DB" w:rsidRDefault="00B129DB" w:rsidP="00B129DB">
      <w:pPr>
        <w:pStyle w:val="FootnoteText"/>
      </w:pPr>
      <w:r>
        <w:tab/>
      </w:r>
      <w:r>
        <w:rPr>
          <w:rStyle w:val="FootnoteReference"/>
        </w:rPr>
        <w:footnoteRef/>
      </w:r>
      <w:r>
        <w:t xml:space="preserve"> </w:t>
      </w:r>
      <w:r>
        <w:tab/>
        <w:t xml:space="preserve">Белая книга ЕЭК ООН по эффективному и устойчивому внутреннему водному транспорту в Европе, </w:t>
      </w:r>
      <w:hyperlink r:id="rId1" w:history="1">
        <w:r w:rsidR="00226770" w:rsidRPr="00503FEC">
          <w:rPr>
            <w:rStyle w:val="Hyperlink"/>
          </w:rPr>
          <w:t>http://www.unece.org/fileadmin/DAM/trans/main/sc3/publications/WhitePaper_Inland_</w:t>
        </w:r>
        <w:r w:rsidR="00226770" w:rsidRPr="00AE2E52">
          <w:rPr>
            <w:rStyle w:val="Hyperlink"/>
          </w:rPr>
          <w:t xml:space="preserve"> </w:t>
        </w:r>
        <w:r w:rsidR="00226770" w:rsidRPr="00503FEC">
          <w:rPr>
            <w:rStyle w:val="Hyperlink"/>
          </w:rPr>
          <w:t>Water_Transport_2011e.pdf</w:t>
        </w:r>
      </w:hyperlink>
      <w:r>
        <w:t>.</w:t>
      </w:r>
    </w:p>
  </w:footnote>
  <w:footnote w:id="4">
    <w:p w:rsidR="00B129DB" w:rsidRPr="006B144F" w:rsidRDefault="00B129DB" w:rsidP="00B129DB">
      <w:pPr>
        <w:pStyle w:val="FootnoteText"/>
      </w:pPr>
      <w:r>
        <w:tab/>
      </w:r>
      <w:r w:rsidRPr="00C23191">
        <w:rPr>
          <w:rStyle w:val="FootnoteReference"/>
          <w:iCs/>
          <w:szCs w:val="18"/>
        </w:rPr>
        <w:footnoteRef/>
      </w:r>
      <w:r>
        <w:t xml:space="preserve"> </w:t>
      </w:r>
      <w:r>
        <w:tab/>
        <w:t>Стр. 54, пункты 185 и 186 Белой книги.</w:t>
      </w:r>
    </w:p>
  </w:footnote>
  <w:footnote w:id="5">
    <w:p w:rsidR="00B129DB" w:rsidRPr="006B144F" w:rsidRDefault="00B129DB" w:rsidP="00B129DB">
      <w:pPr>
        <w:pStyle w:val="FootnoteText"/>
      </w:pPr>
      <w:r>
        <w:tab/>
      </w:r>
      <w:r w:rsidRPr="006B144F">
        <w:rPr>
          <w:rStyle w:val="FootnoteReference"/>
        </w:rPr>
        <w:footnoteRef/>
      </w:r>
      <w:r>
        <w:t xml:space="preserve"> </w:t>
      </w:r>
      <w:r>
        <w:tab/>
        <w:t>Стр. 55, пункт 192, и стр. 56, пункт 196, Белой книги.</w:t>
      </w:r>
    </w:p>
  </w:footnote>
  <w:footnote w:id="6">
    <w:p w:rsidR="00B129DB" w:rsidRDefault="00B129DB" w:rsidP="00B129DB">
      <w:pPr>
        <w:pStyle w:val="FootnoteText"/>
      </w:pPr>
      <w:r>
        <w:tab/>
      </w:r>
      <w:r>
        <w:rPr>
          <w:rStyle w:val="FootnoteReference"/>
        </w:rPr>
        <w:footnoteRef/>
      </w:r>
      <w:r>
        <w:t xml:space="preserve"> </w:t>
      </w:r>
      <w:r>
        <w:tab/>
        <w:t>Стр. 57, подпункт с) Белой книги.</w:t>
      </w:r>
    </w:p>
  </w:footnote>
  <w:footnote w:id="7">
    <w:p w:rsidR="00B129DB" w:rsidRDefault="00B129DB" w:rsidP="00B129DB">
      <w:pPr>
        <w:pStyle w:val="FootnoteText"/>
      </w:pPr>
      <w:r>
        <w:tab/>
      </w:r>
      <w:r>
        <w:rPr>
          <w:rStyle w:val="FootnoteReference"/>
        </w:rPr>
        <w:footnoteRef/>
      </w:r>
      <w:r>
        <w:t xml:space="preserve"> </w:t>
      </w:r>
      <w:r>
        <w:tab/>
        <w:t>Стр. 57 и 58, пункт 198 d) Белой книги.</w:t>
      </w:r>
    </w:p>
  </w:footnote>
  <w:footnote w:id="8">
    <w:p w:rsidR="00B129DB" w:rsidRPr="00241754" w:rsidRDefault="00B129DB" w:rsidP="00B129DB">
      <w:pPr>
        <w:pStyle w:val="FootnoteText"/>
      </w:pPr>
      <w:r>
        <w:tab/>
      </w:r>
      <w:r>
        <w:rPr>
          <w:rStyle w:val="FootnoteReference"/>
        </w:rPr>
        <w:footnoteRef/>
      </w:r>
      <w:r>
        <w:tab/>
        <w:t xml:space="preserve">ECE/TRANS/SC.3/189, </w:t>
      </w:r>
      <w:r w:rsidRPr="00E35830">
        <w:rPr>
          <w:rFonts w:eastAsia="DengXian"/>
          <w:lang w:eastAsia="zh-CN"/>
        </w:rPr>
        <w:t>упоминаемый в документе</w:t>
      </w:r>
      <w:r>
        <w:t xml:space="preserve"> по адресу </w:t>
      </w:r>
      <w:hyperlink r:id="rId2" w:history="1">
        <w:r w:rsidRPr="00B129DB">
          <w:rPr>
            <w:rStyle w:val="Hyperlink"/>
          </w:rPr>
          <w:t>https://www.unece.org/fileadmin/DAM/trans/doc/2017/sc3wp3/ECE-TRANS-SC3-WP3-2017-inf_09r.pdf</w:t>
        </w:r>
      </w:hyperlink>
      <w:r>
        <w:t>.</w:t>
      </w:r>
    </w:p>
  </w:footnote>
  <w:footnote w:id="9">
    <w:p w:rsidR="00B129DB" w:rsidRPr="006B144F" w:rsidRDefault="00B129DB" w:rsidP="00B129DB">
      <w:pPr>
        <w:pStyle w:val="FootnoteText"/>
      </w:pPr>
      <w:r>
        <w:tab/>
      </w:r>
      <w:r>
        <w:rPr>
          <w:rStyle w:val="FootnoteReference"/>
        </w:rPr>
        <w:footnoteRef/>
      </w:r>
      <w:r>
        <w:t xml:space="preserve"> </w:t>
      </w:r>
      <w:r>
        <w:tab/>
        <w:t>ECE/TRANS/SC.3/189; стр. 4, пункт 10.</w:t>
      </w:r>
    </w:p>
  </w:footnote>
  <w:footnote w:id="10">
    <w:p w:rsidR="00B129DB" w:rsidRPr="00943654" w:rsidRDefault="00B129DB" w:rsidP="00B129DB">
      <w:pPr>
        <w:pStyle w:val="FootnoteText"/>
      </w:pPr>
      <w:r>
        <w:tab/>
      </w:r>
      <w:r>
        <w:rPr>
          <w:rStyle w:val="FootnoteReference"/>
        </w:rPr>
        <w:footnoteRef/>
      </w:r>
      <w:r>
        <w:t xml:space="preserve"> </w:t>
      </w:r>
      <w:r>
        <w:tab/>
        <w:t>Директива 2009/28/EC Европейского парламента и Совета от 23 апреля 2009 года о содействии использованию энергии из возобновляемых источников и изменении и последующей отмене директив 2001/77/EC и 2003/30/EC.</w:t>
      </w:r>
    </w:p>
  </w:footnote>
  <w:footnote w:id="11">
    <w:p w:rsidR="00B129DB" w:rsidRPr="00F744A4" w:rsidRDefault="00B129DB" w:rsidP="00B129DB">
      <w:pPr>
        <w:pStyle w:val="FootnoteText"/>
        <w:widowControl w:val="0"/>
        <w:tabs>
          <w:tab w:val="clear" w:pos="1021"/>
          <w:tab w:val="right" w:pos="1020"/>
        </w:tabs>
      </w:pPr>
      <w:r>
        <w:tab/>
      </w:r>
      <w:r>
        <w:rPr>
          <w:rStyle w:val="FootnoteReference"/>
        </w:rPr>
        <w:footnoteRef/>
      </w:r>
      <w:r>
        <w:tab/>
        <w:t>Директива 2009/30/ЕС Европейского парламента и Совета от 23 апреля 2009 года, изменяющая Директиву 98/70/EC в отношении спецификаций бензина, дизельного топлива и газойля и</w:t>
      </w:r>
      <w:r w:rsidR="00226770">
        <w:rPr>
          <w:lang w:val="en-US"/>
        </w:rPr>
        <w:t> </w:t>
      </w:r>
      <w:r>
        <w:t>внедрения механизма контроля и сокращения выбросов парниковых газов, изменяющая Директиву Совета 1999/32/EC в отношении спецификаций топлива, используемого судами внутреннего плавания, и отменяющая Директиву 93/12/ЕЕС.</w:t>
      </w:r>
    </w:p>
  </w:footnote>
  <w:footnote w:id="12">
    <w:p w:rsidR="008319D8" w:rsidRPr="00962A6F" w:rsidRDefault="008319D8" w:rsidP="008319D8">
      <w:pPr>
        <w:pStyle w:val="FootnoteText"/>
      </w:pPr>
      <w:r>
        <w:tab/>
      </w:r>
      <w:r>
        <w:rPr>
          <w:rStyle w:val="FootnoteReference"/>
        </w:rPr>
        <w:footnoteRef/>
      </w:r>
      <w:r>
        <w:t xml:space="preserve"> </w:t>
      </w:r>
      <w:r>
        <w:tab/>
        <w:t>ECE/TRANS/WP.15/AC.2/2017/44 в том виде, в котором он представлен ФЕТСА при</w:t>
      </w:r>
      <w:r w:rsidR="002348D6">
        <w:t> </w:t>
      </w:r>
      <w:r>
        <w:t xml:space="preserve">поддержке «Фьюэлз-Юроп», ЕСРС и ЕОС, в подразделе С раздела I. </w:t>
      </w:r>
    </w:p>
  </w:footnote>
  <w:footnote w:id="13">
    <w:p w:rsidR="008319D8" w:rsidRPr="00C06DDE" w:rsidRDefault="008319D8" w:rsidP="008319D8">
      <w:pPr>
        <w:pStyle w:val="FootnoteText"/>
      </w:pPr>
      <w:r>
        <w:tab/>
      </w:r>
      <w:r>
        <w:rPr>
          <w:rStyle w:val="FootnoteReference"/>
        </w:rPr>
        <w:footnoteRef/>
      </w:r>
      <w:r>
        <w:t xml:space="preserve"> </w:t>
      </w:r>
      <w:r>
        <w:tab/>
        <w:t>Неофициальный документ WP.15/AC.2/32/INF.9 тридцать второй сессии от 2 января 2018 года, доклад о работе первого совещания неофициальной рабочей группы по вопросу погрузки поверх на баржах, Роттердам, 21 ноября 2017 года.</w:t>
      </w:r>
    </w:p>
  </w:footnote>
  <w:footnote w:id="14">
    <w:p w:rsidR="008319D8" w:rsidRPr="00364307" w:rsidRDefault="008319D8" w:rsidP="008319D8">
      <w:pPr>
        <w:pStyle w:val="FootnoteText"/>
      </w:pPr>
      <w:r>
        <w:tab/>
      </w:r>
      <w:r>
        <w:rPr>
          <w:rStyle w:val="FootnoteReference"/>
        </w:rPr>
        <w:footnoteRef/>
      </w:r>
      <w:r>
        <w:t xml:space="preserve"> </w:t>
      </w:r>
      <w:r>
        <w:tab/>
      </w:r>
      <w:hyperlink r:id="rId3" w:history="1">
        <w:r w:rsidRPr="008319D8">
          <w:rPr>
            <w:rStyle w:val="Hyperlink"/>
          </w:rPr>
          <w:t>http://www.cdni-iwt.org/wp-content/uploads/2017/03/Art_5.01en.pdf</w:t>
        </w:r>
      </w:hyperlink>
      <w:r>
        <w:t>, статья 5.01 с поправками, внесенными резолюцией 2016-I-5.</w:t>
      </w:r>
    </w:p>
  </w:footnote>
  <w:footnote w:id="15">
    <w:p w:rsidR="008319D8" w:rsidRDefault="008319D8" w:rsidP="008319D8">
      <w:pPr>
        <w:pStyle w:val="FootnoteText"/>
      </w:pPr>
      <w:r>
        <w:tab/>
      </w:r>
      <w:r>
        <w:rPr>
          <w:rStyle w:val="FootnoteReference"/>
        </w:rPr>
        <w:footnoteRef/>
      </w:r>
      <w:r>
        <w:t xml:space="preserve"> </w:t>
      </w:r>
      <w:r>
        <w:tab/>
        <w:t>Директива 2009/28/EC Европейского парламента и Совета от 23 апреля 2009 года о содействии использованию энергии из возобновляемых источников и внесении изменений и последующей отмене директив 2001/77/EC и 2003/30/EC.</w:t>
      </w:r>
    </w:p>
  </w:footnote>
  <w:footnote w:id="16">
    <w:p w:rsidR="00396DAC" w:rsidRPr="00AE2E52" w:rsidRDefault="00396DAC" w:rsidP="00396DAC">
      <w:pPr>
        <w:pStyle w:val="FootnoteText"/>
        <w:rPr>
          <w:lang w:val="en-US"/>
        </w:rPr>
      </w:pPr>
      <w:r>
        <w:tab/>
      </w:r>
      <w:r w:rsidRPr="00972C69">
        <w:rPr>
          <w:rStyle w:val="FootnoteReference"/>
          <w:iCs/>
          <w:szCs w:val="18"/>
        </w:rPr>
        <w:footnoteRef/>
      </w:r>
      <w:r w:rsidRPr="00C00A06">
        <w:rPr>
          <w:lang w:val="en-US"/>
        </w:rPr>
        <w:tab/>
      </w:r>
      <w:r>
        <w:t>Публикация</w:t>
      </w:r>
      <w:r w:rsidRPr="00C00A06">
        <w:rPr>
          <w:lang w:val="en-US"/>
        </w:rPr>
        <w:t xml:space="preserve"> BLG15/3 </w:t>
      </w:r>
      <w:r w:rsidR="00E958C1" w:rsidRPr="00AE2E52">
        <w:rPr>
          <w:lang w:val="en-US"/>
        </w:rPr>
        <w:t>–</w:t>
      </w:r>
      <w:r w:rsidRPr="00C00A06">
        <w:rPr>
          <w:lang w:val="en-US"/>
        </w:rPr>
        <w:t xml:space="preserve"> Item 6.2 </w:t>
      </w:r>
      <w:r w:rsidR="00E958C1" w:rsidRPr="00AE2E52">
        <w:rPr>
          <w:lang w:val="en-US"/>
        </w:rPr>
        <w:t>–</w:t>
      </w:r>
      <w:r w:rsidRPr="00C00A06">
        <w:rPr>
          <w:lang w:val="en-US"/>
        </w:rPr>
        <w:t xml:space="preserve"> Blending on Board, IMO, November 2, 2010.</w:t>
      </w:r>
    </w:p>
  </w:footnote>
  <w:footnote w:id="17">
    <w:p w:rsidR="00396DAC" w:rsidRPr="00AE2E52" w:rsidRDefault="00396DAC" w:rsidP="00396DAC">
      <w:pPr>
        <w:pStyle w:val="FootnoteText"/>
        <w:rPr>
          <w:lang w:val="en-US"/>
        </w:rPr>
      </w:pPr>
      <w:r w:rsidRPr="00C00A06">
        <w:rPr>
          <w:rFonts w:cs="Calibri Light"/>
          <w:lang w:val="en-US"/>
        </w:rPr>
        <w:tab/>
      </w:r>
      <w:r w:rsidRPr="00972C69">
        <w:rPr>
          <w:rStyle w:val="FootnoteReference"/>
          <w:rFonts w:ascii="Calibri Light" w:hAnsi="Calibri Light" w:cs="Calibri Light"/>
        </w:rPr>
        <w:footnoteRef/>
      </w:r>
      <w:r w:rsidRPr="000D3168">
        <w:rPr>
          <w:lang w:val="en-US"/>
        </w:rPr>
        <w:tab/>
        <w:t>HM 66. Guidelines for the blending of liquid hydrocarbon cargoes on board tank vessels, Energy</w:t>
      </w:r>
      <w:r w:rsidR="003C7359" w:rsidRPr="00AE2E52">
        <w:rPr>
          <w:lang w:val="en-US"/>
        </w:rPr>
        <w:t> </w:t>
      </w:r>
      <w:r w:rsidRPr="000D3168">
        <w:rPr>
          <w:lang w:val="en-US"/>
        </w:rPr>
        <w:t>Institute, April 2016.</w:t>
      </w:r>
    </w:p>
  </w:footnote>
  <w:footnote w:id="18">
    <w:p w:rsidR="00396DAC" w:rsidRPr="00212E7A" w:rsidRDefault="00396DAC" w:rsidP="00396DAC">
      <w:pPr>
        <w:pStyle w:val="FootnoteText"/>
      </w:pPr>
      <w:r w:rsidRPr="000D3168">
        <w:rPr>
          <w:lang w:val="en-US"/>
        </w:rPr>
        <w:tab/>
      </w:r>
      <w:r>
        <w:rPr>
          <w:rStyle w:val="FootnoteReference"/>
        </w:rPr>
        <w:footnoteRef/>
      </w:r>
      <w:r>
        <w:t xml:space="preserve"> </w:t>
      </w:r>
      <w:r>
        <w:tab/>
        <w:t xml:space="preserve">Публикация Европейского агентства по безопасности на море (ЕАБМ) </w:t>
      </w:r>
      <w:hyperlink r:id="rId4" w:history="1">
        <w:r w:rsidR="00AB59A4" w:rsidRPr="00503FEC">
          <w:rPr>
            <w:rStyle w:val="Hyperlink"/>
          </w:rPr>
          <w:t>http://www.emsa.europa.eu/main/air-pollution/download/4499/1709/23.html</w:t>
        </w:r>
      </w:hyperlink>
      <w:r w:rsidR="00E958C1">
        <w:t>.</w:t>
      </w:r>
    </w:p>
  </w:footnote>
  <w:footnote w:id="19">
    <w:p w:rsidR="00396DAC" w:rsidRDefault="00396DAC" w:rsidP="00396DAC">
      <w:pPr>
        <w:pStyle w:val="FootnoteText"/>
      </w:pPr>
      <w:r>
        <w:tab/>
      </w:r>
      <w:r>
        <w:rPr>
          <w:rStyle w:val="FootnoteReference"/>
        </w:rPr>
        <w:footnoteRef/>
      </w:r>
      <w:r>
        <w:t xml:space="preserve"> </w:t>
      </w:r>
      <w:r>
        <w:tab/>
        <w:t xml:space="preserve">Публикация Европейского агентства по безопасности на море (ЕАБМ) </w:t>
      </w:r>
      <w:hyperlink r:id="rId5" w:history="1">
        <w:r w:rsidR="00AB59A4" w:rsidRPr="00503FEC">
          <w:rPr>
            <w:rStyle w:val="Hyperlink"/>
          </w:rPr>
          <w:t>http://www.emsa.europa.eu/main/air-pollution/download/4499/1709/23.html</w:t>
        </w:r>
      </w:hyperlink>
      <w:r w:rsidR="00AB59A4">
        <w:t>.</w:t>
      </w:r>
    </w:p>
  </w:footnote>
  <w:footnote w:id="20">
    <w:p w:rsidR="00396DAC" w:rsidRPr="00AE2E52" w:rsidRDefault="00396DAC" w:rsidP="00396DAC">
      <w:pPr>
        <w:pStyle w:val="FootnoteText"/>
        <w:rPr>
          <w:lang w:val="en-US"/>
        </w:rPr>
      </w:pPr>
      <w:r>
        <w:tab/>
      </w:r>
      <w:r>
        <w:rPr>
          <w:rStyle w:val="FootnoteReference"/>
        </w:rPr>
        <w:footnoteRef/>
      </w:r>
      <w:r w:rsidRPr="00C00A06">
        <w:rPr>
          <w:lang w:val="en-US"/>
        </w:rPr>
        <w:t xml:space="preserve"> </w:t>
      </w:r>
      <w:r w:rsidRPr="00C00A06">
        <w:rPr>
          <w:lang w:val="en-US"/>
        </w:rPr>
        <w:tab/>
        <w:t>TNO Report 2017 R10854 – uncertainty of the NOx, Sox, NH3, PM10, PM2.5, EC2.5 and NMVOC emissions from transport, August 7, 2017 sponsored by RIVM.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B32" w:rsidRPr="000B7B32" w:rsidRDefault="005E7312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180F06">
      <w:t>ECE/TRANS/WP.15/AC.2/2018/39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B32" w:rsidRPr="000B7B32" w:rsidRDefault="005E7312" w:rsidP="000B7B32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180F06">
      <w:t>ECE/TRANS/WP.15/AC.2/2018/39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B32" w:rsidRDefault="000B7B32" w:rsidP="000B7B32">
    <w:pPr>
      <w:pStyle w:val="Header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3E18" w:rsidRPr="00E43E18" w:rsidRDefault="00E43E18" w:rsidP="00E43E18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9935845</wp:posOffset>
              </wp:positionH>
              <wp:positionV relativeFrom="margin">
                <wp:posOffset>0</wp:posOffset>
              </wp:positionV>
              <wp:extent cx="215900" cy="6120130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612013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43E18" w:rsidRPr="000B7B32" w:rsidRDefault="005E7312" w:rsidP="00E43E18">
                          <w:pPr>
                            <w:pStyle w:val="Header"/>
                          </w:pPr>
                          <w:r>
                            <w:fldChar w:fldCharType="begin"/>
                          </w:r>
                          <w:r>
                            <w:instrText xml:space="preserve"> TITLE  \* MERGEFORMAT </w:instrText>
                          </w:r>
                          <w:r>
                            <w:fldChar w:fldCharType="separate"/>
                          </w:r>
                          <w:r w:rsidR="00180F06">
                            <w:t>ECE/TRANS/WP.15/AC.2/2018/39</w:t>
                          </w:r>
                          <w:r>
                            <w:fldChar w:fldCharType="end"/>
                          </w:r>
                        </w:p>
                        <w:p w:rsidR="00E43E18" w:rsidRDefault="00E43E18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6" type="#_x0000_t202" style="position:absolute;margin-left:782.35pt;margin-top:0;width:17pt;height:481.9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RBzwIAAJsFAAAOAAAAZHJzL2Uyb0RvYy54bWysVL1u2zAQ3gv0HQjujiTHcSIhcuAkcFHA&#10;SAIkRWaaoiIiFMmStKW06NC9r9B36NChW1/BeaMeKcuJ0w5F0YU8ksf7+b67Oz5pa4FWzFiuZI6T&#10;vRgjJqkquLzL8bub2eAII+uILIhQkuX4gVl8Mnn96rjRGRuqSomCGQRGpM0anePKOZ1FkaUVq4nd&#10;U5pJeCyVqYmDo7mLCkMasF6LaBjH46hRptBGUWYt3J53j3gS7Jclo+6yLC1zSOQYYnNhNWFd+DWa&#10;HJPszhBdcboJg/xDFDXhEpxuTZ0TR9DS8N9M1ZwaZVXp9qiqI1WWnLKQA2STxC+yua6IZiEXAMfq&#10;LUz2/5mlF6srg3iR4zFGktRA0frr+tv6+/rn+sfj58cvaOwxarTNQPVag7JrT1ULXId8rZ4rem9B&#10;JXqm032woO0xaUtT+x2yRfARaHjYQs9ahyhcDpODNIYXCk/jBLDYD9xET7+1se4NUzXyQo4NUBsi&#10;IKu5dd4/yXoV78wqwYsZFyIcfDmxM2HQikAhEEqZdF0CROiKdNe9x1B8XjsY3TEkJGogwP2DOPiW&#10;ynvonAvpPUE+EM5G6irgY5oMR/HpMB3MxkeHg9FsdDBID+OjQZykp+k4HqWj89knby8ZZRUvCibn&#10;XLK+GpPR37G96YuujkI97oS6k4YHaovGQhB670kGBJ9pRbvhhGfIrt9DloHzjmbPvmsXLdjx4kIV&#10;D1ArRgFVQKvVdMbB6ZxYd0UMtBhcwthwl7CUQgGoaiNhVCnz4U/3Xj/HfsWogZbNsX2/JIZhJN5K&#10;6Akw6XrB9MKiF+SyPlNAfhKiCSJ8ME70YmlUfQvTZOq9wBORFCLJMXjrxDPXDQ6YRpRNp0EJulgT&#10;N5fXmvYt4cG9aW+J0ZtSdQDbheqbmWQvKrbT9SUj1XTpVMlDOT+hCJD7A0yAAP5mWvkR8/wctJ5m&#10;6uQXAAAA//8DAFBLAwQUAAYACAAAACEAJOPe6t8AAAAKAQAADwAAAGRycy9kb3ducmV2LnhtbEyP&#10;S0+DQBSF9yb+h8k1cWcH+0BAhsaa2sSNSVHT7RSuDJG5Q5hpwX/v7UqXX87JeeTryXbijINvHSm4&#10;n0UgkCpXt9Qo+Hh/uUtA+KCp1p0jVPCDHtbF9VWus9qNtMdzGRrBIeQzrcCE0GdS+sqg1X7meiTW&#10;vtxgdWAcGlkPeuRw28l5FMXS6pa4wegenw1W3+XJKvhcHFKMzWa3XW7Hcjd/278e5Eap25vp6RFE&#10;wCn8meEyn6dDwZuO7kS1Fx3zKl4+sFcBX7roqzRhPipI40UCssjl/wvFLwAAAP//AwBQSwECLQAU&#10;AAYACAAAACEAtoM4kv4AAADhAQAAEwAAAAAAAAAAAAAAAAAAAAAAW0NvbnRlbnRfVHlwZXNdLnht&#10;bFBLAQItABQABgAIAAAAIQA4/SH/1gAAAJQBAAALAAAAAAAAAAAAAAAAAC8BAABfcmVscy8ucmVs&#10;c1BLAQItABQABgAIAAAAIQApXoRBzwIAAJsFAAAOAAAAAAAAAAAAAAAAAC4CAABkcnMvZTJvRG9j&#10;LnhtbFBLAQItABQABgAIAAAAIQAk497q3wAAAAoBAAAPAAAAAAAAAAAAAAAAACkFAABkcnMvZG93&#10;bnJldi54bWxQSwUGAAAAAAQABADzAAAANQYAAAAA&#10;" fillcolor="#4f81bd [3204]" stroked="f" strokeweight=".5pt">
              <v:fill opacity="0"/>
              <v:path arrowok="t"/>
              <v:textbox style="layout-flow:vertical" inset="0,0,0,0">
                <w:txbxContent>
                  <w:p w:rsidR="00E43E18" w:rsidRPr="000B7B32" w:rsidRDefault="00FD3423" w:rsidP="00E43E18">
                    <w:pPr>
                      <w:pStyle w:val="a5"/>
                    </w:pPr>
                    <w:fldSimple w:instr=" TITLE  \* MERGEFORMAT ">
                      <w:r w:rsidR="00180F06">
                        <w:t>ECE/TRANS/WP.15/AC.2/2018/39</w:t>
                      </w:r>
                    </w:fldSimple>
                  </w:p>
                  <w:p w:rsidR="00E43E18" w:rsidRDefault="00E43E18"/>
                </w:txbxContent>
              </v:textbox>
              <w10:wrap anchorx="page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3E18" w:rsidRPr="00E43E18" w:rsidRDefault="00E43E18" w:rsidP="00E43E18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9935845</wp:posOffset>
              </wp:positionH>
              <wp:positionV relativeFrom="margin">
                <wp:posOffset>0</wp:posOffset>
              </wp:positionV>
              <wp:extent cx="215900" cy="612013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00" cy="612013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6350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91240B29-F687-4F45-9708-019B960494DF}">
                          <a14:hiddenLine xmlns:a14="http://schemas.microsoft.com/office/drawing/2010/main" w="6350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3E18" w:rsidRPr="000B7B32" w:rsidRDefault="005E7312" w:rsidP="00E43E18">
                          <w:pPr>
                            <w:pStyle w:val="Header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TITLE  \* MERGEFORMAT </w:instrText>
                          </w:r>
                          <w:r>
                            <w:fldChar w:fldCharType="separate"/>
                          </w:r>
                          <w:r w:rsidR="00180F06">
                            <w:t>ECE/TRANS/WP.15/AC.2/2018/39</w:t>
                          </w:r>
                          <w:r>
                            <w:fldChar w:fldCharType="end"/>
                          </w:r>
                        </w:p>
                        <w:p w:rsidR="00E43E18" w:rsidRDefault="00E43E18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782.35pt;margin-top:0;width:17pt;height:481.9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2H+EAMAALkGAAAOAAAAZHJzL2Uyb0RvYy54bWzEVc1u1DAQviPxDpbv2yRLWrqrpqjtsgip&#10;AqSCevY6zibCsY3t/SmIA3degXfgwIEbr7B9Iz47my0tHAAhcXHG9nh+vvlmcvRo3UqyFNY1WhU0&#10;20spEYrrslHzgr56OR0cUuI8UyWTWomCXglHHx3fv3e0MmMx1LWWpbAERpQbr0xBa+/NOEkcr0XL&#10;3J42QuGy0rZlHls7T0rLVrDeymSYpgfJStvSWM2FcziddJf0ONqvKsH986pywhNZUMTm42rjOgtr&#10;cnzExnPLTN3wbRjsL6JoWaPgdGdqwjwjC9v8ZKptuNVOV36P6zbRVdVwEXNANll6J5uLmhkRcwE4&#10;zuxgcv/OLH+2fGFJUxY0p0SxFiXafNp83nzZfNt8vf5w/ZHkAaOVcWOoXhgo+/WpXqPW/bnDYUh9&#10;Xdk2fJEUwT3QvtohLNaecBwOs/1RihuOq4MMKT+IJUhuXhvr/BOhWxKEglpUMALLlufOIxKo9irB&#10;mdOyKaeNlHETWCPOpCVLhnozzoXyWfdcmpp1x73HyLGgHY3eMiQVWSHAB/shVAZaVpJ5iK0BUE7N&#10;KWFyDr5zb6N1pUMIkUshuAlzdecrWu1IZvVClVGlFqx8rErirwzgVugLGty1oqRECpgNUtT0rJG/&#10;owlQpAoIAGfAtJU6Ar4bZcM8PR2OBtODw4eDfJrvD0YP08NBmo1ORwdpPson0/chjSwf101ZCnXe&#10;KNE3Q5b/Htm2bdnROLbDn0F4C/8A4q6MM8n464AHsvxJ6z9AfQumGBVQ778R/SS0S9cWQfLr2Tq2&#10;2K5lZrq8QidZDYaDYs7waYOUz5nzL5jFAMIhhqp/jqWSGuTQW4mSWtu3vzoP+gUNK9iEgQaivlkw&#10;C27JpwoTAyZ9L9hemPWCWrRnGj2TxWiiiAfWy16srG4vMWtPghdcMcURSUHhrRPPfDdWMau5ODmJ&#10;SphxhvlzdWF4MB14GUr7cn3JrNl2uAd6z3Q/6tj4TqN3uuGl0icLr6smToGAa4cikA8bzMdYg+0s&#10;DwP4x33UuvnjHH8HAAD//wMAUEsDBBQABgAIAAAAIQBhWTJi3AAAAAoBAAAPAAAAZHJzL2Rvd25y&#10;ZXYueG1sTI/NTsMwEITvSLyDtUjcqFNKQxriVIAEnECiwN2JlyRgr63YacPbsz3B8dOM5qfazs6K&#10;PY5x8KRguchAILXeDNQpeH97uChAxKTJaOsJFfxghG19elLp0vgDveJ+lzrBIRRLraBPKZRSxrZH&#10;p+PCByTWPv3odGIcO2lGfeBwZ+VlluXS6YG4odcB73tsv3eTU9A8Di/67ik8f7nVhwnWTV1cTkqd&#10;n823NyASzunPDMf5PB1q3tT4iUwUlnmdX12zVwFfOurrTcHcKNjkqwJkXcn/F+pfAAAA//8DAFBL&#10;AQItABQABgAIAAAAIQC2gziS/gAAAOEBAAATAAAAAAAAAAAAAAAAAAAAAABbQ29udGVudF9UeXBl&#10;c10ueG1sUEsBAi0AFAAGAAgAAAAhADj9If/WAAAAlAEAAAsAAAAAAAAAAAAAAAAALwEAAF9yZWxz&#10;Ly5yZWxzUEsBAi0AFAAGAAgAAAAhAHdfYf4QAwAAuQYAAA4AAAAAAAAAAAAAAAAALgIAAGRycy9l&#10;Mm9Eb2MueG1sUEsBAi0AFAAGAAgAAAAhAGFZMmLcAAAACgEAAA8AAAAAAAAAAAAAAAAAagUAAGRy&#10;cy9kb3ducmV2LnhtbFBLBQYAAAAABAAEAPMAAABzBgAAAAA=&#10;" fillcolor="#4f81bd [3204]" stroked="f" strokeweight=".5pt">
              <v:fill opacity="0"/>
              <v:stroke joinstyle="round"/>
              <v:textbox style="layout-flow:vertical" inset="0,0,0,0">
                <w:txbxContent>
                  <w:p w:rsidR="00E43E18" w:rsidRPr="000B7B32" w:rsidRDefault="00FD3423" w:rsidP="00E43E18">
                    <w:pPr>
                      <w:pStyle w:val="a5"/>
                      <w:jc w:val="right"/>
                    </w:pPr>
                    <w:fldSimple w:instr=" TITLE  \* MERGEFORMAT ">
                      <w:r w:rsidR="00180F06">
                        <w:t>ECE/TRANS/WP.15/AC.2/2018/39</w:t>
                      </w:r>
                    </w:fldSimple>
                  </w:p>
                  <w:p w:rsidR="00E43E18" w:rsidRDefault="00E43E18"/>
                </w:txbxContent>
              </v:textbox>
              <w10:wrap anchorx="page"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D86" w:rsidRPr="004D7D86" w:rsidRDefault="005E7312" w:rsidP="004D7D86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180F06">
      <w:t>ECE/TRANS/WP.15/AC.2/2018/39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D86" w:rsidRPr="004D7D86" w:rsidRDefault="005E7312" w:rsidP="004D7D86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180F06">
      <w:t>ECE/TRANS/WP.15/AC.2/2018/39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2FEF0EA6"/>
    <w:multiLevelType w:val="hybridMultilevel"/>
    <w:tmpl w:val="A968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12325"/>
    <w:multiLevelType w:val="hybridMultilevel"/>
    <w:tmpl w:val="FF0E5B48"/>
    <w:lvl w:ilvl="0" w:tplc="6D5E22D8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9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7"/>
  </w:num>
  <w:num w:numId="17">
    <w:abstractNumId w:val="14"/>
  </w:num>
  <w:num w:numId="18">
    <w:abstractNumId w:val="16"/>
  </w:num>
  <w:num w:numId="19">
    <w:abstractNumId w:val="17"/>
  </w:num>
  <w:num w:numId="20">
    <w:abstractNumId w:val="14"/>
  </w:num>
  <w:num w:numId="21">
    <w:abstractNumId w:val="16"/>
  </w:num>
  <w:num w:numId="22">
    <w:abstractNumId w:val="12"/>
    <w:lvlOverride w:ilvl="0">
      <w:lvl w:ilvl="0" w:tplc="6D5E22D8">
        <w:start w:val="1"/>
        <w:numFmt w:val="bullet"/>
        <w:pStyle w:val="Bullet1G"/>
        <w:lvlText w:val="•"/>
        <w:lvlJc w:val="left"/>
        <w:pPr>
          <w:tabs>
            <w:tab w:val="num" w:pos="1701"/>
          </w:tabs>
          <w:ind w:left="1701" w:hanging="170"/>
        </w:pPr>
        <w:rPr>
          <w:rFonts w:ascii="Times New Roman" w:hAnsi="Times New Roman" w:cs="Times New Roman" w:hint="default"/>
          <w:b w:val="0"/>
          <w:i w:val="0"/>
          <w:sz w:val="20"/>
        </w:rPr>
      </w:lvl>
    </w:lvlOverride>
  </w:num>
  <w:num w:numId="23">
    <w:abstractNumId w:val="11"/>
    <w:lvlOverride w:ilvl="0">
      <w:lvl w:ilvl="0" w:tplc="04090001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4">
    <w:abstractNumId w:val="12"/>
    <w:lvlOverride w:ilvl="0">
      <w:lvl w:ilvl="0" w:tplc="6D5E22D8">
        <w:start w:val="1"/>
        <w:numFmt w:val="bullet"/>
        <w:pStyle w:val="Bullet1G"/>
        <w:lvlText w:val="•"/>
        <w:lvlJc w:val="left"/>
        <w:pPr>
          <w:tabs>
            <w:tab w:val="num" w:pos="1701"/>
          </w:tabs>
          <w:ind w:left="1701" w:hanging="170"/>
        </w:pPr>
        <w:rPr>
          <w:rFonts w:ascii="Times New Roman" w:hAnsi="Times New Roman" w:cs="Times New Roman" w:hint="default"/>
          <w:b w:val="0"/>
          <w:i w:val="0"/>
          <w:sz w:val="20"/>
        </w:rPr>
      </w:lvl>
    </w:lvlOverride>
  </w:num>
  <w:num w:numId="25">
    <w:abstractNumId w:val="12"/>
    <w:lvlOverride w:ilvl="0">
      <w:lvl w:ilvl="0" w:tplc="6D5E22D8">
        <w:start w:val="1"/>
        <w:numFmt w:val="bullet"/>
        <w:pStyle w:val="Bullet1G"/>
        <w:lvlText w:val="•"/>
        <w:lvlJc w:val="left"/>
        <w:pPr>
          <w:tabs>
            <w:tab w:val="num" w:pos="1701"/>
          </w:tabs>
          <w:ind w:left="1701" w:hanging="170"/>
        </w:pPr>
        <w:rPr>
          <w:rFonts w:ascii="Times New Roman" w:hAnsi="Times New Roman" w:cs="Times New Roman" w:hint="default"/>
          <w:b w:val="0"/>
          <w:i w:val="0"/>
          <w:sz w:val="20"/>
        </w:rPr>
      </w:lvl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836"/>
    <w:rsid w:val="00033EE1"/>
    <w:rsid w:val="00042B72"/>
    <w:rsid w:val="00051C28"/>
    <w:rsid w:val="000558BD"/>
    <w:rsid w:val="000B338F"/>
    <w:rsid w:val="000B57E7"/>
    <w:rsid w:val="000B6373"/>
    <w:rsid w:val="000B7B32"/>
    <w:rsid w:val="000E4E5B"/>
    <w:rsid w:val="000F09DF"/>
    <w:rsid w:val="000F61B2"/>
    <w:rsid w:val="001075E9"/>
    <w:rsid w:val="00124170"/>
    <w:rsid w:val="0014152F"/>
    <w:rsid w:val="00180183"/>
    <w:rsid w:val="0018024D"/>
    <w:rsid w:val="00180F06"/>
    <w:rsid w:val="0018649F"/>
    <w:rsid w:val="00196389"/>
    <w:rsid w:val="001B3EF6"/>
    <w:rsid w:val="001C1421"/>
    <w:rsid w:val="001C61A7"/>
    <w:rsid w:val="001C7A89"/>
    <w:rsid w:val="00224ABF"/>
    <w:rsid w:val="00226770"/>
    <w:rsid w:val="002348D6"/>
    <w:rsid w:val="002513FB"/>
    <w:rsid w:val="00255343"/>
    <w:rsid w:val="0027151D"/>
    <w:rsid w:val="00280D0B"/>
    <w:rsid w:val="002917C2"/>
    <w:rsid w:val="002A2EFC"/>
    <w:rsid w:val="002B0106"/>
    <w:rsid w:val="002B74B1"/>
    <w:rsid w:val="002C0E18"/>
    <w:rsid w:val="002D5AAC"/>
    <w:rsid w:val="002E5067"/>
    <w:rsid w:val="002E7AC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96DAC"/>
    <w:rsid w:val="003A0D43"/>
    <w:rsid w:val="003A48CE"/>
    <w:rsid w:val="003B00E5"/>
    <w:rsid w:val="003C0CBE"/>
    <w:rsid w:val="003C7359"/>
    <w:rsid w:val="0040742C"/>
    <w:rsid w:val="00407B78"/>
    <w:rsid w:val="00416FB7"/>
    <w:rsid w:val="00424203"/>
    <w:rsid w:val="00452493"/>
    <w:rsid w:val="00453318"/>
    <w:rsid w:val="00454AF2"/>
    <w:rsid w:val="00454E07"/>
    <w:rsid w:val="00472C5C"/>
    <w:rsid w:val="004C6EAE"/>
    <w:rsid w:val="004D7D86"/>
    <w:rsid w:val="004E05B7"/>
    <w:rsid w:val="0050108D"/>
    <w:rsid w:val="00513081"/>
    <w:rsid w:val="00514414"/>
    <w:rsid w:val="00517901"/>
    <w:rsid w:val="00526683"/>
    <w:rsid w:val="0053680E"/>
    <w:rsid w:val="00557836"/>
    <w:rsid w:val="005639C1"/>
    <w:rsid w:val="005709E0"/>
    <w:rsid w:val="00572E19"/>
    <w:rsid w:val="005900ED"/>
    <w:rsid w:val="005961C8"/>
    <w:rsid w:val="005966F1"/>
    <w:rsid w:val="005B3423"/>
    <w:rsid w:val="005D7914"/>
    <w:rsid w:val="005E2B41"/>
    <w:rsid w:val="005E7312"/>
    <w:rsid w:val="005F02B5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81F5D"/>
    <w:rsid w:val="00792497"/>
    <w:rsid w:val="0079276E"/>
    <w:rsid w:val="00796261"/>
    <w:rsid w:val="007C4311"/>
    <w:rsid w:val="007D25D2"/>
    <w:rsid w:val="00806737"/>
    <w:rsid w:val="00825F8D"/>
    <w:rsid w:val="008319D8"/>
    <w:rsid w:val="00834B71"/>
    <w:rsid w:val="0086445C"/>
    <w:rsid w:val="008761DC"/>
    <w:rsid w:val="00894693"/>
    <w:rsid w:val="008A08D7"/>
    <w:rsid w:val="008A37C8"/>
    <w:rsid w:val="008B189A"/>
    <w:rsid w:val="008B6909"/>
    <w:rsid w:val="008D53B6"/>
    <w:rsid w:val="008F7609"/>
    <w:rsid w:val="00906890"/>
    <w:rsid w:val="00911BE4"/>
    <w:rsid w:val="00951972"/>
    <w:rsid w:val="009608F3"/>
    <w:rsid w:val="009632DF"/>
    <w:rsid w:val="009A24AC"/>
    <w:rsid w:val="009C59D7"/>
    <w:rsid w:val="009C6FE6"/>
    <w:rsid w:val="009D7E7D"/>
    <w:rsid w:val="009F6A03"/>
    <w:rsid w:val="00A14DA8"/>
    <w:rsid w:val="00A312BC"/>
    <w:rsid w:val="00A84021"/>
    <w:rsid w:val="00A84D35"/>
    <w:rsid w:val="00A917B3"/>
    <w:rsid w:val="00AB4B51"/>
    <w:rsid w:val="00AB59A4"/>
    <w:rsid w:val="00AE2E52"/>
    <w:rsid w:val="00AF48D4"/>
    <w:rsid w:val="00B10CC7"/>
    <w:rsid w:val="00B129DB"/>
    <w:rsid w:val="00B36DF7"/>
    <w:rsid w:val="00B539E7"/>
    <w:rsid w:val="00B62458"/>
    <w:rsid w:val="00BC18B2"/>
    <w:rsid w:val="00BD33EE"/>
    <w:rsid w:val="00BE1CC7"/>
    <w:rsid w:val="00C106D6"/>
    <w:rsid w:val="00C119AE"/>
    <w:rsid w:val="00C40FDA"/>
    <w:rsid w:val="00C60F0C"/>
    <w:rsid w:val="00C805C9"/>
    <w:rsid w:val="00C92939"/>
    <w:rsid w:val="00CA1679"/>
    <w:rsid w:val="00CB151C"/>
    <w:rsid w:val="00CE5A1A"/>
    <w:rsid w:val="00CF55F6"/>
    <w:rsid w:val="00D149C8"/>
    <w:rsid w:val="00D33D63"/>
    <w:rsid w:val="00D5253A"/>
    <w:rsid w:val="00D6017E"/>
    <w:rsid w:val="00D873A8"/>
    <w:rsid w:val="00D90028"/>
    <w:rsid w:val="00D90138"/>
    <w:rsid w:val="00DC557F"/>
    <w:rsid w:val="00DD78D1"/>
    <w:rsid w:val="00DE32CD"/>
    <w:rsid w:val="00DF0C06"/>
    <w:rsid w:val="00DF5767"/>
    <w:rsid w:val="00DF71B9"/>
    <w:rsid w:val="00E12C5F"/>
    <w:rsid w:val="00E43E18"/>
    <w:rsid w:val="00E73F76"/>
    <w:rsid w:val="00E958C1"/>
    <w:rsid w:val="00EA2C9F"/>
    <w:rsid w:val="00EA420E"/>
    <w:rsid w:val="00ED0BDA"/>
    <w:rsid w:val="00EE142A"/>
    <w:rsid w:val="00EE6B1E"/>
    <w:rsid w:val="00EF1360"/>
    <w:rsid w:val="00EF3220"/>
    <w:rsid w:val="00EF479F"/>
    <w:rsid w:val="00F13171"/>
    <w:rsid w:val="00F2523A"/>
    <w:rsid w:val="00F37F76"/>
    <w:rsid w:val="00F41F09"/>
    <w:rsid w:val="00F43903"/>
    <w:rsid w:val="00F94155"/>
    <w:rsid w:val="00F9783F"/>
    <w:rsid w:val="00FD2EF7"/>
    <w:rsid w:val="00FD3423"/>
    <w:rsid w:val="00FE447E"/>
    <w:rsid w:val="00FF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1EBD4FD-E418-4730-B98F-7AEC00AE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C59D7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617A4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617A43"/>
    <w:pPr>
      <w:numPr>
        <w:numId w:val="21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617A43"/>
    <w:rPr>
      <w:b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617A43"/>
    <w:rPr>
      <w:sz w:val="16"/>
      <w:lang w:val="en-GB" w:eastAsia="ru-RU"/>
    </w:rPr>
  </w:style>
  <w:style w:type="character" w:styleId="FootnoteReference">
    <w:name w:val="footnote reference"/>
    <w:aliases w:val="4_GR,4_G,Footnote Reference/"/>
    <w:basedOn w:val="DefaultParagraphFont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617A43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,5_G"/>
    <w:basedOn w:val="Normal"/>
    <w:link w:val="FootnoteTextChar"/>
    <w:uiPriority w:val="99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R Char,5_G Char"/>
    <w:basedOn w:val="DefaultParagraphFont"/>
    <w:link w:val="FootnoteText"/>
    <w:uiPriority w:val="99"/>
    <w:rsid w:val="00617A43"/>
    <w:rPr>
      <w:sz w:val="18"/>
      <w:lang w:val="ru-RU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R Char"/>
    <w:basedOn w:val="DefaultParagraphFont"/>
    <w:link w:val="EndnoteText"/>
    <w:rsid w:val="00617A43"/>
    <w:rPr>
      <w:sz w:val="18"/>
      <w:lang w:val="ru-RU" w:eastAsia="ru-RU"/>
    </w:rPr>
  </w:style>
  <w:style w:type="character" w:customStyle="1" w:styleId="Heading1Char">
    <w:name w:val="Heading 1 Char"/>
    <w:aliases w:val="Table_GR Char,Table_G Char"/>
    <w:basedOn w:val="DefaultParagraphFont"/>
    <w:link w:val="Heading1"/>
    <w:rsid w:val="00617A43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7A43"/>
    <w:rPr>
      <w:color w:val="800080" w:themeColor="followedHyperlink"/>
      <w:u w:val="none"/>
    </w:rPr>
  </w:style>
  <w:style w:type="paragraph" w:customStyle="1" w:styleId="HChG">
    <w:name w:val="_ H _Ch_G"/>
    <w:basedOn w:val="Normal"/>
    <w:next w:val="Normal"/>
    <w:rsid w:val="00FF04F8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SimSun" w:cs="Times New Roman"/>
      <w:b/>
      <w:sz w:val="28"/>
      <w:szCs w:val="20"/>
      <w:lang w:val="en-GB"/>
    </w:rPr>
  </w:style>
  <w:style w:type="paragraph" w:customStyle="1" w:styleId="H1G">
    <w:name w:val="_ H_1_G"/>
    <w:basedOn w:val="Normal"/>
    <w:next w:val="Normal"/>
    <w:rsid w:val="00FF04F8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SimSun" w:cs="Times New Roman"/>
      <w:b/>
      <w:sz w:val="24"/>
      <w:szCs w:val="20"/>
      <w:lang w:val="en-GB"/>
    </w:rPr>
  </w:style>
  <w:style w:type="paragraph" w:customStyle="1" w:styleId="SingleTxtG">
    <w:name w:val="_ Single Txt_G"/>
    <w:basedOn w:val="Normal"/>
    <w:link w:val="SingleTxtGChar"/>
    <w:qFormat/>
    <w:rsid w:val="00B129DB"/>
    <w:pPr>
      <w:spacing w:after="120"/>
      <w:ind w:left="1134" w:right="1134"/>
      <w:jc w:val="both"/>
    </w:pPr>
    <w:rPr>
      <w:rFonts w:eastAsia="SimSun" w:cs="Times New Roman"/>
      <w:szCs w:val="20"/>
      <w:lang w:val="en-GB"/>
    </w:rPr>
  </w:style>
  <w:style w:type="paragraph" w:customStyle="1" w:styleId="Bullet1G">
    <w:name w:val="_Bullet 1_G"/>
    <w:basedOn w:val="Normal"/>
    <w:rsid w:val="00B129DB"/>
    <w:pPr>
      <w:numPr>
        <w:numId w:val="22"/>
      </w:numPr>
      <w:spacing w:after="120"/>
      <w:ind w:right="1134"/>
      <w:jc w:val="both"/>
    </w:pPr>
    <w:rPr>
      <w:rFonts w:eastAsia="SimSun" w:cs="Times New Roman"/>
      <w:szCs w:val="20"/>
      <w:lang w:val="en-GB"/>
    </w:rPr>
  </w:style>
  <w:style w:type="character" w:customStyle="1" w:styleId="SingleTxtGChar">
    <w:name w:val="_ Single Txt_G Char"/>
    <w:link w:val="SingleTxtG"/>
    <w:qFormat/>
    <w:rsid w:val="00B129DB"/>
    <w:rPr>
      <w:rFonts w:eastAsia="SimSun"/>
      <w:lang w:val="en-GB" w:eastAsia="en-US"/>
    </w:rPr>
  </w:style>
  <w:style w:type="paragraph" w:customStyle="1" w:styleId="H23G">
    <w:name w:val="_ H_2/3_G"/>
    <w:basedOn w:val="Normal"/>
    <w:next w:val="Normal"/>
    <w:rsid w:val="00396DA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SimSun" w:cs="Times New Roman"/>
      <w:b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undocs.org/ru/http://www.cdni-iwt.org/wp-content/uploads/2017/03/Art_5.01en.pdf" TargetMode="External"/><Relationship Id="rId2" Type="http://schemas.openxmlformats.org/officeDocument/2006/relationships/hyperlink" Target="http://undocs.org/ru/https://www.unece.org/fileadmin/DAM/trans/doc/2017/sc3wp3/ECE-TRANS-SC3-WP3-2017-inf_09r.pdf" TargetMode="External"/><Relationship Id="rId1" Type="http://schemas.openxmlformats.org/officeDocument/2006/relationships/hyperlink" Target="http://www.unece.org/fileadmin/DAM/trans/main/sc3/publications/WhitePaper_Inland_%20Water_Transport_2011e.pdf" TargetMode="External"/><Relationship Id="rId5" Type="http://schemas.openxmlformats.org/officeDocument/2006/relationships/hyperlink" Target="http://www.emsa.europa.eu/main/air-pollution/download/4499/1709/23.html" TargetMode="External"/><Relationship Id="rId4" Type="http://schemas.openxmlformats.org/officeDocument/2006/relationships/hyperlink" Target="http://www.emsa.europa.eu/main/air-pollution/download/4499/1709/23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0C3CC-CFED-40A5-AE28-762B16C35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4268</Words>
  <Characters>24331</Characters>
  <Application>Microsoft Office Word</Application>
  <DocSecurity>0</DocSecurity>
  <Lines>202</Lines>
  <Paragraphs>57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ECE/TRANS/WP.15/AC.2/2018/39</vt:lpstr>
      <vt:lpstr>ECE/TRANS/WP.15/AC.2/2018/39</vt:lpstr>
      <vt:lpstr>A/</vt:lpstr>
    </vt:vector>
  </TitlesOfParts>
  <Company>DCM</Company>
  <LinksUpToDate>false</LinksUpToDate>
  <CharactersWithSpaces>28542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ECE/TRANS/WP.15/AC.2/2018/39</dc:title>
  <dc:subject/>
  <dc:creator>SHUVALOVA Natalia</dc:creator>
  <cp:keywords/>
  <cp:lastModifiedBy>Caillot</cp:lastModifiedBy>
  <cp:revision>2</cp:revision>
  <cp:lastPrinted>2018-07-02T11:36:00Z</cp:lastPrinted>
  <dcterms:created xsi:type="dcterms:W3CDTF">2018-07-23T16:17:00Z</dcterms:created>
  <dcterms:modified xsi:type="dcterms:W3CDTF">2018-07-23T16:17:00Z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