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54" w:rsidRPr="002D3FF9" w:rsidRDefault="00096154" w:rsidP="00096154">
      <w:pPr>
        <w:spacing w:after="0"/>
        <w:ind w:left="5387" w:right="-286"/>
        <w:outlineLvl w:val="0"/>
        <w:rPr>
          <w:rFonts w:ascii="Arial" w:eastAsia="Arial" w:hAnsi="Arial" w:cs="Arial"/>
          <w:bCs/>
          <w:sz w:val="20"/>
          <w:szCs w:val="24"/>
          <w:lang w:val="fr-FR" w:eastAsia="de-DE"/>
        </w:rPr>
      </w:pPr>
      <w:bookmarkStart w:id="0" w:name="_GoBack"/>
      <w:bookmarkEnd w:id="0"/>
      <w:r w:rsidRPr="002D3FF9">
        <w:rPr>
          <w:rFonts w:ascii="Arial" w:eastAsia="Arial" w:hAnsi="Arial" w:cs="Arial"/>
          <w:bCs/>
          <w:noProof/>
          <w:sz w:val="20"/>
          <w:szCs w:val="24"/>
          <w:lang w:val="de-DE" w:eastAsia="de-DE"/>
        </w:rPr>
        <w:drawing>
          <wp:anchor distT="0" distB="0" distL="114300" distR="114300" simplePos="0" relativeHeight="251658240" behindDoc="0" locked="0" layoutInCell="1" allowOverlap="1" wp14:anchorId="45814F4C" wp14:editId="0CCBFB3E">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D3FF9">
        <w:rPr>
          <w:rFonts w:ascii="Arial" w:eastAsia="Arial" w:hAnsi="Arial" w:cs="Arial"/>
          <w:bCs/>
          <w:sz w:val="20"/>
          <w:szCs w:val="24"/>
          <w:lang w:val="fr-FR" w:eastAsia="de-DE"/>
        </w:rPr>
        <w:t>CCNR-ZKR/ADN/WP.15/AC.2/201</w:t>
      </w:r>
      <w:r w:rsidR="008B36BE" w:rsidRPr="002D3FF9">
        <w:rPr>
          <w:rFonts w:ascii="Arial" w:eastAsia="Arial" w:hAnsi="Arial" w:cs="Arial"/>
          <w:bCs/>
          <w:sz w:val="20"/>
          <w:szCs w:val="24"/>
          <w:lang w:val="fr-FR" w:eastAsia="de-DE"/>
        </w:rPr>
        <w:t>8</w:t>
      </w:r>
      <w:r w:rsidRPr="002D3FF9">
        <w:rPr>
          <w:rFonts w:ascii="Arial" w:eastAsia="Arial" w:hAnsi="Arial" w:cs="Arial"/>
          <w:bCs/>
          <w:sz w:val="20"/>
          <w:szCs w:val="24"/>
          <w:lang w:val="fr-FR" w:eastAsia="de-DE"/>
        </w:rPr>
        <w:t>/</w:t>
      </w:r>
      <w:r w:rsidR="002D3FF9" w:rsidRPr="002D3FF9">
        <w:rPr>
          <w:rFonts w:ascii="Arial" w:eastAsia="Arial" w:hAnsi="Arial" w:cs="Arial"/>
          <w:bCs/>
          <w:sz w:val="20"/>
          <w:szCs w:val="24"/>
          <w:lang w:val="fr-FR" w:eastAsia="de-DE"/>
        </w:rPr>
        <w:t>44</w:t>
      </w:r>
    </w:p>
    <w:p w:rsidR="00096154" w:rsidRPr="002D3FF9" w:rsidRDefault="00096154" w:rsidP="00096154">
      <w:pPr>
        <w:tabs>
          <w:tab w:val="left" w:pos="5670"/>
        </w:tabs>
        <w:spacing w:after="0"/>
        <w:ind w:left="5387"/>
        <w:rPr>
          <w:rFonts w:ascii="Arial" w:hAnsi="Arial" w:cs="Arial"/>
          <w:sz w:val="16"/>
          <w:szCs w:val="24"/>
          <w:lang w:val="de-DE" w:eastAsia="de-DE"/>
        </w:rPr>
      </w:pPr>
      <w:r w:rsidRPr="002D3FF9">
        <w:rPr>
          <w:rFonts w:ascii="Arial" w:hAnsi="Arial" w:cs="Arial"/>
          <w:sz w:val="16"/>
          <w:szCs w:val="24"/>
          <w:lang w:val="de-DE" w:eastAsia="de-DE"/>
        </w:rPr>
        <w:t>Allgemeine Verteilung</w:t>
      </w:r>
    </w:p>
    <w:p w:rsidR="00096154" w:rsidRPr="002D3FF9" w:rsidRDefault="002D3FF9" w:rsidP="00096154">
      <w:pPr>
        <w:tabs>
          <w:tab w:val="right" w:pos="3856"/>
          <w:tab w:val="left" w:pos="5670"/>
        </w:tabs>
        <w:spacing w:after="0"/>
        <w:ind w:left="5387"/>
        <w:rPr>
          <w:rFonts w:ascii="Arial" w:eastAsia="Arial" w:hAnsi="Arial" w:cs="Arial"/>
          <w:sz w:val="20"/>
          <w:szCs w:val="24"/>
          <w:lang w:val="de-DE" w:eastAsia="de-DE"/>
        </w:rPr>
      </w:pPr>
      <w:r w:rsidRPr="002D3FF9">
        <w:rPr>
          <w:rFonts w:ascii="Arial" w:eastAsia="Arial" w:hAnsi="Arial" w:cs="Arial"/>
          <w:sz w:val="20"/>
          <w:szCs w:val="24"/>
          <w:lang w:val="de-DE" w:eastAsia="de-DE"/>
        </w:rPr>
        <w:t>14</w:t>
      </w:r>
      <w:r w:rsidR="00096154" w:rsidRPr="002D3FF9">
        <w:rPr>
          <w:rFonts w:ascii="Arial" w:eastAsia="Arial" w:hAnsi="Arial" w:cs="Arial"/>
          <w:sz w:val="20"/>
          <w:szCs w:val="24"/>
          <w:lang w:val="de-DE" w:eastAsia="de-DE"/>
        </w:rPr>
        <w:t xml:space="preserve">. </w:t>
      </w:r>
      <w:r w:rsidRPr="002D3FF9">
        <w:rPr>
          <w:rFonts w:ascii="Arial" w:eastAsia="Arial" w:hAnsi="Arial" w:cs="Arial"/>
          <w:sz w:val="20"/>
          <w:szCs w:val="24"/>
          <w:lang w:val="de-DE" w:eastAsia="de-DE"/>
        </w:rPr>
        <w:t>Juni</w:t>
      </w:r>
      <w:r w:rsidR="00096154" w:rsidRPr="002D3FF9">
        <w:rPr>
          <w:rFonts w:ascii="Arial" w:eastAsia="Arial" w:hAnsi="Arial" w:cs="Arial"/>
          <w:sz w:val="20"/>
          <w:szCs w:val="24"/>
          <w:lang w:val="de-DE" w:eastAsia="de-DE"/>
        </w:rPr>
        <w:t xml:space="preserve"> 201</w:t>
      </w:r>
      <w:r w:rsidR="008B36BE" w:rsidRPr="002D3FF9">
        <w:rPr>
          <w:rFonts w:ascii="Arial" w:eastAsia="Arial" w:hAnsi="Arial" w:cs="Arial"/>
          <w:sz w:val="20"/>
          <w:szCs w:val="24"/>
          <w:lang w:val="de-DE" w:eastAsia="de-DE"/>
        </w:rPr>
        <w:t>8</w:t>
      </w:r>
    </w:p>
    <w:p w:rsidR="00096154" w:rsidRPr="002D3FF9" w:rsidRDefault="00096154" w:rsidP="00096154">
      <w:pPr>
        <w:tabs>
          <w:tab w:val="right" w:pos="3856"/>
          <w:tab w:val="left" w:pos="5670"/>
        </w:tabs>
        <w:spacing w:after="0"/>
        <w:ind w:left="5387" w:right="565"/>
        <w:rPr>
          <w:rFonts w:ascii="Arial" w:hAnsi="Arial" w:cs="Arial"/>
          <w:sz w:val="16"/>
          <w:szCs w:val="24"/>
          <w:lang w:val="de-DE" w:eastAsia="de-DE"/>
        </w:rPr>
      </w:pPr>
      <w:r w:rsidRPr="002D3FF9">
        <w:rPr>
          <w:rFonts w:ascii="Arial" w:eastAsia="Arial" w:hAnsi="Arial" w:cs="Arial"/>
          <w:sz w:val="16"/>
          <w:szCs w:val="24"/>
          <w:lang w:val="de-DE" w:eastAsia="de-DE"/>
        </w:rPr>
        <w:t>Or. DEUTSCH</w:t>
      </w:r>
    </w:p>
    <w:p w:rsidR="00096154" w:rsidRPr="002D3FF9" w:rsidRDefault="00096154" w:rsidP="00096154">
      <w:pPr>
        <w:spacing w:after="0"/>
        <w:rPr>
          <w:rFonts w:ascii="Arial" w:hAnsi="Arial" w:cs="Arial"/>
          <w:sz w:val="16"/>
          <w:szCs w:val="24"/>
          <w:lang w:val="de-DE" w:eastAsia="de-DE"/>
        </w:rPr>
      </w:pPr>
    </w:p>
    <w:p w:rsidR="00096154" w:rsidRPr="002D3FF9" w:rsidRDefault="00096154" w:rsidP="00096154">
      <w:pPr>
        <w:spacing w:after="0"/>
        <w:rPr>
          <w:rFonts w:ascii="Arial" w:hAnsi="Arial" w:cs="Arial"/>
          <w:sz w:val="16"/>
          <w:szCs w:val="24"/>
          <w:lang w:val="de-DE" w:eastAsia="de-DE"/>
        </w:rPr>
      </w:pP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GEMEINSAME EXPERTENTAGUNG FÜR DIE DEM</w:t>
      </w: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ÜBEREINKOMMEN ÜBER DIE INTERNATIONALE BEFÖRDERUNG</w:t>
      </w: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VON GEFÄHRLICHEN GÜTERN AUF BINNENWASSERSTRASSEN</w:t>
      </w: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BEIGEFÜGTE VERORDNUNG (ADN)</w:t>
      </w: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(SICHERHEITSAUSSCHUSS)</w:t>
      </w:r>
    </w:p>
    <w:p w:rsidR="00096154" w:rsidRPr="002D3FF9" w:rsidRDefault="00096154" w:rsidP="00096154">
      <w:pPr>
        <w:tabs>
          <w:tab w:val="left" w:pos="2977"/>
        </w:tabs>
        <w:spacing w:after="0"/>
        <w:ind w:left="3960"/>
        <w:rPr>
          <w:rFonts w:ascii="Arial" w:hAnsi="Arial"/>
          <w:snapToGrid w:val="0"/>
          <w:sz w:val="16"/>
          <w:szCs w:val="24"/>
          <w:lang w:val="de-DE" w:eastAsia="fr-FR"/>
        </w:rPr>
      </w:pPr>
      <w:r w:rsidRPr="002D3FF9">
        <w:rPr>
          <w:rFonts w:ascii="Arial" w:hAnsi="Arial"/>
          <w:snapToGrid w:val="0"/>
          <w:sz w:val="16"/>
          <w:szCs w:val="24"/>
          <w:lang w:val="de-DE" w:eastAsia="fr-FR"/>
        </w:rPr>
        <w:t>(3</w:t>
      </w:r>
      <w:r w:rsidR="008B36BE" w:rsidRPr="002D3FF9">
        <w:rPr>
          <w:rFonts w:ascii="Arial" w:hAnsi="Arial"/>
          <w:snapToGrid w:val="0"/>
          <w:sz w:val="16"/>
          <w:szCs w:val="24"/>
          <w:lang w:val="de-DE" w:eastAsia="fr-FR"/>
        </w:rPr>
        <w:t>3</w:t>
      </w:r>
      <w:r w:rsidRPr="002D3FF9">
        <w:rPr>
          <w:rFonts w:ascii="Arial" w:hAnsi="Arial"/>
          <w:snapToGrid w:val="0"/>
          <w:sz w:val="16"/>
          <w:szCs w:val="24"/>
          <w:lang w:val="de-DE" w:eastAsia="fr-FR"/>
        </w:rPr>
        <w:t>. Tagung, Genf, 2</w:t>
      </w:r>
      <w:r w:rsidR="008B36BE" w:rsidRPr="002D3FF9">
        <w:rPr>
          <w:rFonts w:ascii="Arial" w:hAnsi="Arial"/>
          <w:snapToGrid w:val="0"/>
          <w:sz w:val="16"/>
          <w:szCs w:val="24"/>
          <w:lang w:val="de-DE" w:eastAsia="fr-FR"/>
        </w:rPr>
        <w:t>7</w:t>
      </w:r>
      <w:r w:rsidRPr="002D3FF9">
        <w:rPr>
          <w:rFonts w:ascii="Arial" w:hAnsi="Arial"/>
          <w:snapToGrid w:val="0"/>
          <w:sz w:val="16"/>
          <w:szCs w:val="24"/>
          <w:lang w:val="de-DE" w:eastAsia="fr-FR"/>
        </w:rPr>
        <w:t>. bis 3</w:t>
      </w:r>
      <w:r w:rsidR="002D3FF9" w:rsidRPr="002D3FF9">
        <w:rPr>
          <w:rFonts w:ascii="Arial" w:hAnsi="Arial"/>
          <w:snapToGrid w:val="0"/>
          <w:sz w:val="16"/>
          <w:szCs w:val="24"/>
          <w:lang w:val="de-DE" w:eastAsia="fr-FR"/>
        </w:rPr>
        <w:t>1</w:t>
      </w:r>
      <w:r w:rsidRPr="002D3FF9">
        <w:rPr>
          <w:rFonts w:ascii="Arial" w:hAnsi="Arial"/>
          <w:snapToGrid w:val="0"/>
          <w:sz w:val="16"/>
          <w:szCs w:val="24"/>
          <w:lang w:val="de-DE" w:eastAsia="fr-FR"/>
        </w:rPr>
        <w:t>. August 201</w:t>
      </w:r>
      <w:r w:rsidR="008B36BE" w:rsidRPr="002D3FF9">
        <w:rPr>
          <w:rFonts w:ascii="Arial" w:hAnsi="Arial"/>
          <w:snapToGrid w:val="0"/>
          <w:sz w:val="16"/>
          <w:szCs w:val="24"/>
          <w:lang w:val="de-DE" w:eastAsia="fr-FR"/>
        </w:rPr>
        <w:t>8</w:t>
      </w:r>
      <w:r w:rsidRPr="002D3FF9">
        <w:rPr>
          <w:rFonts w:ascii="Arial" w:hAnsi="Arial"/>
          <w:snapToGrid w:val="0"/>
          <w:sz w:val="16"/>
          <w:szCs w:val="24"/>
          <w:lang w:val="de-DE" w:eastAsia="fr-FR"/>
        </w:rPr>
        <w:t>)</w:t>
      </w:r>
    </w:p>
    <w:p w:rsidR="00096154" w:rsidRPr="002D3FF9" w:rsidRDefault="00096154" w:rsidP="00096154">
      <w:pPr>
        <w:tabs>
          <w:tab w:val="left" w:pos="2977"/>
        </w:tabs>
        <w:spacing w:after="0"/>
        <w:ind w:left="3960"/>
        <w:rPr>
          <w:rFonts w:ascii="Arial" w:hAnsi="Arial" w:cs="Arial"/>
          <w:sz w:val="16"/>
          <w:szCs w:val="16"/>
          <w:lang w:val="de-DE"/>
        </w:rPr>
      </w:pPr>
      <w:r w:rsidRPr="002D3FF9">
        <w:rPr>
          <w:rFonts w:ascii="Arial" w:hAnsi="Arial" w:cs="Arial"/>
          <w:sz w:val="16"/>
          <w:szCs w:val="16"/>
          <w:lang w:val="de-DE"/>
        </w:rPr>
        <w:t xml:space="preserve">Punkt </w:t>
      </w:r>
      <w:r w:rsidR="002D3FF9" w:rsidRPr="002D3FF9">
        <w:rPr>
          <w:rFonts w:ascii="Arial" w:hAnsi="Arial" w:cs="Arial"/>
          <w:sz w:val="16"/>
          <w:szCs w:val="16"/>
          <w:lang w:val="de-DE"/>
        </w:rPr>
        <w:t>5</w:t>
      </w:r>
      <w:r w:rsidRPr="002D3FF9">
        <w:rPr>
          <w:rFonts w:ascii="Arial" w:hAnsi="Arial" w:cs="Arial"/>
          <w:sz w:val="16"/>
          <w:szCs w:val="16"/>
          <w:lang w:val="de-DE"/>
        </w:rPr>
        <w:t>) zur vorläufigen Tagesordnung</w:t>
      </w:r>
    </w:p>
    <w:p w:rsidR="00096154" w:rsidRPr="002D3FF9" w:rsidRDefault="002D3FF9" w:rsidP="00096154">
      <w:pPr>
        <w:tabs>
          <w:tab w:val="left" w:pos="2977"/>
        </w:tabs>
        <w:spacing w:after="0"/>
        <w:ind w:left="3960"/>
        <w:rPr>
          <w:rFonts w:ascii="Arial" w:hAnsi="Arial" w:cs="Arial"/>
          <w:b/>
          <w:sz w:val="16"/>
          <w:szCs w:val="16"/>
          <w:lang w:val="de-DE"/>
        </w:rPr>
      </w:pPr>
      <w:r w:rsidRPr="002D3FF9">
        <w:rPr>
          <w:rFonts w:ascii="Arial" w:hAnsi="Arial" w:cs="Arial"/>
          <w:b/>
          <w:sz w:val="16"/>
          <w:szCs w:val="16"/>
          <w:lang w:val="de-DE"/>
        </w:rPr>
        <w:t>Berichte informeller Arbeitsgruppen</w:t>
      </w:r>
    </w:p>
    <w:p w:rsidR="00096154" w:rsidRDefault="00096154" w:rsidP="00096154">
      <w:pPr>
        <w:widowControl w:val="0"/>
        <w:overflowPunct w:val="0"/>
        <w:autoSpaceDE w:val="0"/>
        <w:autoSpaceDN w:val="0"/>
        <w:adjustRightInd w:val="0"/>
        <w:spacing w:after="0"/>
        <w:jc w:val="both"/>
        <w:textAlignment w:val="baseline"/>
        <w:rPr>
          <w:rFonts w:ascii="Arial" w:hAnsi="Arial"/>
          <w:sz w:val="22"/>
          <w:lang w:val="de-DE" w:eastAsia="fr-FR"/>
        </w:rPr>
      </w:pPr>
    </w:p>
    <w:p w:rsidR="00A12DFF" w:rsidRPr="002D3FF9" w:rsidRDefault="00A12DFF" w:rsidP="00096154">
      <w:pPr>
        <w:widowControl w:val="0"/>
        <w:overflowPunct w:val="0"/>
        <w:autoSpaceDE w:val="0"/>
        <w:autoSpaceDN w:val="0"/>
        <w:adjustRightInd w:val="0"/>
        <w:spacing w:after="0"/>
        <w:jc w:val="both"/>
        <w:textAlignment w:val="baseline"/>
        <w:rPr>
          <w:rFonts w:ascii="Arial" w:hAnsi="Arial"/>
          <w:sz w:val="22"/>
          <w:lang w:val="de-DE" w:eastAsia="fr-FR"/>
        </w:rPr>
      </w:pPr>
    </w:p>
    <w:p w:rsidR="00096154" w:rsidRPr="002D3FF9" w:rsidRDefault="00096154" w:rsidP="00096154">
      <w:pPr>
        <w:widowControl w:val="0"/>
        <w:overflowPunct w:val="0"/>
        <w:autoSpaceDE w:val="0"/>
        <w:autoSpaceDN w:val="0"/>
        <w:adjustRightInd w:val="0"/>
        <w:spacing w:after="0"/>
        <w:jc w:val="both"/>
        <w:textAlignment w:val="baseline"/>
        <w:rPr>
          <w:rFonts w:ascii="Arial" w:hAnsi="Arial"/>
          <w:sz w:val="22"/>
          <w:lang w:val="de-DE" w:eastAsia="fr-FR"/>
        </w:rPr>
      </w:pPr>
    </w:p>
    <w:p w:rsidR="00096154" w:rsidRPr="002D3FF9" w:rsidRDefault="00096154" w:rsidP="009962C8">
      <w:pPr>
        <w:suppressAutoHyphens/>
        <w:snapToGrid w:val="0"/>
        <w:spacing w:after="0" w:line="240" w:lineRule="atLeast"/>
        <w:ind w:left="1134" w:right="1134"/>
        <w:rPr>
          <w:b/>
          <w:bCs/>
          <w:sz w:val="28"/>
          <w:szCs w:val="24"/>
          <w:lang w:val="de-DE" w:eastAsia="fr-FR"/>
        </w:rPr>
      </w:pPr>
      <w:r w:rsidRPr="002D3FF9">
        <w:rPr>
          <w:b/>
          <w:bCs/>
          <w:sz w:val="28"/>
          <w:szCs w:val="24"/>
          <w:lang w:val="de-DE" w:eastAsia="fr-FR"/>
        </w:rPr>
        <w:t xml:space="preserve">Bericht über die </w:t>
      </w:r>
      <w:r w:rsidR="008B36BE" w:rsidRPr="002D3FF9">
        <w:rPr>
          <w:b/>
          <w:bCs/>
          <w:sz w:val="28"/>
          <w:szCs w:val="24"/>
          <w:lang w:val="de-DE" w:eastAsia="fr-FR"/>
        </w:rPr>
        <w:t>10</w:t>
      </w:r>
      <w:r w:rsidRPr="002D3FF9">
        <w:rPr>
          <w:b/>
          <w:bCs/>
          <w:sz w:val="28"/>
          <w:szCs w:val="24"/>
          <w:lang w:val="de-DE" w:eastAsia="fr-FR"/>
        </w:rPr>
        <w:t>. Sitzung der Informellen Arbeitsgruppe „Stoffe“</w:t>
      </w:r>
    </w:p>
    <w:p w:rsidR="00096154" w:rsidRPr="002D3FF9" w:rsidRDefault="00096154" w:rsidP="00096154">
      <w:pPr>
        <w:keepNext/>
        <w:keepLines/>
        <w:suppressAutoHyphens/>
        <w:spacing w:before="360" w:line="270" w:lineRule="exact"/>
        <w:ind w:left="1134" w:right="567"/>
        <w:rPr>
          <w:b/>
          <w:lang w:val="de-DE" w:eastAsia="fr-FR"/>
        </w:rPr>
      </w:pPr>
      <w:r w:rsidRPr="002D3FF9">
        <w:rPr>
          <w:b/>
          <w:lang w:val="de-DE" w:eastAsia="fr-FR"/>
        </w:rPr>
        <w:t>Vorgelegt von Deutschland</w:t>
      </w:r>
      <w:r w:rsidRPr="002D3FF9">
        <w:rPr>
          <w:b/>
          <w:sz w:val="18"/>
          <w:vertAlign w:val="superscript"/>
          <w:lang w:val="de-DE" w:eastAsia="fr-FR"/>
        </w:rPr>
        <w:footnoteReference w:id="2"/>
      </w:r>
      <w:r w:rsidRPr="002D3FF9">
        <w:rPr>
          <w:b/>
          <w:sz w:val="18"/>
          <w:vertAlign w:val="superscript"/>
          <w:lang w:val="de-DE" w:eastAsia="fr-FR"/>
        </w:rPr>
        <w:t>,</w:t>
      </w:r>
      <w:r w:rsidRPr="002D3FF9">
        <w:rPr>
          <w:b/>
          <w:sz w:val="18"/>
          <w:vertAlign w:val="superscript"/>
          <w:lang w:val="de-DE" w:eastAsia="fr-FR"/>
        </w:rPr>
        <w:footnoteReference w:id="3"/>
      </w:r>
    </w:p>
    <w:p w:rsidR="00A909D8" w:rsidRDefault="00A909D8" w:rsidP="004C730B">
      <w:pPr>
        <w:spacing w:after="0" w:line="360" w:lineRule="auto"/>
        <w:ind w:right="566"/>
        <w:rPr>
          <w:sz w:val="20"/>
          <w:lang w:val="de-DE"/>
        </w:rPr>
      </w:pPr>
    </w:p>
    <w:p w:rsidR="00A12DFF" w:rsidRPr="002D3FF9" w:rsidRDefault="00A12DFF" w:rsidP="004C730B">
      <w:pPr>
        <w:spacing w:after="0" w:line="360" w:lineRule="auto"/>
        <w:ind w:right="566"/>
        <w:rPr>
          <w:sz w:val="20"/>
          <w:lang w:val="de-DE"/>
        </w:rPr>
      </w:pPr>
    </w:p>
    <w:p w:rsidR="00A24DD5" w:rsidRPr="00B242A2" w:rsidRDefault="00A909D8" w:rsidP="004C730B">
      <w:pPr>
        <w:autoSpaceDE w:val="0"/>
        <w:autoSpaceDN w:val="0"/>
        <w:adjustRightInd w:val="0"/>
        <w:spacing w:after="0"/>
        <w:ind w:right="566"/>
        <w:rPr>
          <w:b/>
          <w:sz w:val="28"/>
          <w:szCs w:val="28"/>
          <w:lang w:val="de-DE"/>
        </w:rPr>
      </w:pPr>
      <w:r w:rsidRPr="00B242A2">
        <w:rPr>
          <w:b/>
          <w:sz w:val="28"/>
          <w:szCs w:val="28"/>
          <w:lang w:val="de-DE"/>
        </w:rPr>
        <w:t>Einleitung</w:t>
      </w:r>
    </w:p>
    <w:p w:rsidR="00A24DD5" w:rsidRPr="002D3FF9" w:rsidRDefault="00A24DD5" w:rsidP="004C730B">
      <w:pPr>
        <w:autoSpaceDE w:val="0"/>
        <w:autoSpaceDN w:val="0"/>
        <w:adjustRightInd w:val="0"/>
        <w:spacing w:after="0"/>
        <w:ind w:right="566"/>
        <w:rPr>
          <w:sz w:val="20"/>
          <w:lang w:val="de-DE"/>
        </w:rPr>
      </w:pPr>
    </w:p>
    <w:p w:rsidR="00377B53" w:rsidRPr="002D3FF9" w:rsidRDefault="00377B53" w:rsidP="00377B53">
      <w:pPr>
        <w:spacing w:after="0"/>
        <w:ind w:right="566"/>
        <w:jc w:val="both"/>
        <w:rPr>
          <w:sz w:val="20"/>
          <w:lang w:val="de-DE"/>
        </w:rPr>
      </w:pPr>
      <w:r w:rsidRPr="002D3FF9">
        <w:rPr>
          <w:sz w:val="20"/>
          <w:lang w:val="de-DE"/>
        </w:rPr>
        <w:t>1.</w:t>
      </w:r>
      <w:r w:rsidRPr="002D3FF9">
        <w:rPr>
          <w:sz w:val="20"/>
          <w:lang w:val="de-DE"/>
        </w:rPr>
        <w:tab/>
      </w:r>
      <w:r w:rsidR="006F6522" w:rsidRPr="002D3FF9">
        <w:rPr>
          <w:sz w:val="20"/>
          <w:lang w:val="de-DE"/>
        </w:rPr>
        <w:t xml:space="preserve">Die </w:t>
      </w:r>
      <w:r w:rsidR="00AE7A02" w:rsidRPr="002D3FF9">
        <w:rPr>
          <w:sz w:val="20"/>
          <w:lang w:val="de-DE"/>
        </w:rPr>
        <w:t>z</w:t>
      </w:r>
      <w:r w:rsidR="008B36BE" w:rsidRPr="002D3FF9">
        <w:rPr>
          <w:sz w:val="20"/>
          <w:lang w:val="de-DE"/>
        </w:rPr>
        <w:t>eh</w:t>
      </w:r>
      <w:r w:rsidR="00574306" w:rsidRPr="002D3FF9">
        <w:rPr>
          <w:sz w:val="20"/>
          <w:lang w:val="de-DE"/>
        </w:rPr>
        <w:t>n</w:t>
      </w:r>
      <w:r w:rsidR="004F6F62" w:rsidRPr="002D3FF9">
        <w:rPr>
          <w:sz w:val="20"/>
          <w:lang w:val="de-DE"/>
        </w:rPr>
        <w:t>te</w:t>
      </w:r>
      <w:r w:rsidR="006F6522" w:rsidRPr="002D3FF9">
        <w:rPr>
          <w:sz w:val="20"/>
          <w:lang w:val="de-DE"/>
        </w:rPr>
        <w:t xml:space="preserve"> Sitzung der Informellen Arbeitsgruppe „Stoffe“ fand am </w:t>
      </w:r>
      <w:r w:rsidR="001F209B" w:rsidRPr="002D3FF9">
        <w:rPr>
          <w:sz w:val="20"/>
          <w:lang w:val="de-DE"/>
        </w:rPr>
        <w:t>25</w:t>
      </w:r>
      <w:r w:rsidR="00E24726" w:rsidRPr="002D3FF9">
        <w:rPr>
          <w:sz w:val="20"/>
          <w:lang w:val="de-DE"/>
        </w:rPr>
        <w:t xml:space="preserve">. und </w:t>
      </w:r>
      <w:r w:rsidR="001F209B" w:rsidRPr="002D3FF9">
        <w:rPr>
          <w:sz w:val="20"/>
          <w:lang w:val="de-DE"/>
        </w:rPr>
        <w:t>26</w:t>
      </w:r>
      <w:r w:rsidR="00E24726" w:rsidRPr="002D3FF9">
        <w:rPr>
          <w:sz w:val="20"/>
          <w:lang w:val="de-DE"/>
        </w:rPr>
        <w:t xml:space="preserve">. </w:t>
      </w:r>
      <w:r w:rsidR="00574306" w:rsidRPr="002D3FF9">
        <w:rPr>
          <w:sz w:val="20"/>
          <w:lang w:val="de-DE"/>
        </w:rPr>
        <w:t>April</w:t>
      </w:r>
      <w:r w:rsidR="00E24726" w:rsidRPr="002D3FF9">
        <w:rPr>
          <w:sz w:val="20"/>
          <w:lang w:val="de-DE"/>
        </w:rPr>
        <w:t xml:space="preserve"> 20</w:t>
      </w:r>
      <w:r w:rsidR="006F6522" w:rsidRPr="002D3FF9">
        <w:rPr>
          <w:sz w:val="20"/>
          <w:lang w:val="de-DE"/>
        </w:rPr>
        <w:t>1</w:t>
      </w:r>
      <w:r w:rsidR="008B36BE" w:rsidRPr="002D3FF9">
        <w:rPr>
          <w:sz w:val="20"/>
          <w:lang w:val="de-DE"/>
        </w:rPr>
        <w:t>8</w:t>
      </w:r>
      <w:r w:rsidR="006F6522" w:rsidRPr="002D3FF9">
        <w:rPr>
          <w:sz w:val="20"/>
          <w:lang w:val="de-DE"/>
        </w:rPr>
        <w:t xml:space="preserve"> </w:t>
      </w:r>
      <w:r w:rsidR="008E4E36" w:rsidRPr="002D3FF9">
        <w:rPr>
          <w:sz w:val="20"/>
          <w:lang w:val="de-DE"/>
        </w:rPr>
        <w:t xml:space="preserve">in Berlin </w:t>
      </w:r>
      <w:r w:rsidR="006F6522" w:rsidRPr="002D3FF9">
        <w:rPr>
          <w:sz w:val="20"/>
          <w:lang w:val="de-DE"/>
        </w:rPr>
        <w:t xml:space="preserve">in </w:t>
      </w:r>
      <w:r w:rsidR="00574306" w:rsidRPr="002D3FF9">
        <w:rPr>
          <w:sz w:val="20"/>
          <w:lang w:val="de-DE"/>
        </w:rPr>
        <w:t xml:space="preserve">der Bundesanstalt für Materialforschung und –prüfung (BAM) </w:t>
      </w:r>
      <w:r w:rsidR="00854A1E" w:rsidRPr="002D3FF9">
        <w:rPr>
          <w:sz w:val="20"/>
          <w:lang w:val="de-DE"/>
        </w:rPr>
        <w:t>statt.</w:t>
      </w:r>
    </w:p>
    <w:p w:rsidR="00377B53" w:rsidRDefault="00377B53" w:rsidP="00377B53">
      <w:pPr>
        <w:spacing w:after="0"/>
        <w:ind w:right="566"/>
        <w:jc w:val="both"/>
        <w:rPr>
          <w:sz w:val="20"/>
          <w:lang w:val="de-DE"/>
        </w:rPr>
      </w:pPr>
    </w:p>
    <w:p w:rsidR="00A12DFF" w:rsidRPr="002D3FF9" w:rsidRDefault="00A12DFF" w:rsidP="00377B53">
      <w:pPr>
        <w:spacing w:after="0"/>
        <w:ind w:right="566"/>
        <w:jc w:val="both"/>
        <w:rPr>
          <w:sz w:val="20"/>
          <w:lang w:val="de-DE"/>
        </w:rPr>
      </w:pPr>
    </w:p>
    <w:p w:rsidR="00240A17" w:rsidRPr="002D3FF9" w:rsidRDefault="00670847" w:rsidP="00377B53">
      <w:pPr>
        <w:spacing w:after="0"/>
        <w:ind w:right="566"/>
        <w:jc w:val="both"/>
        <w:rPr>
          <w:sz w:val="20"/>
          <w:lang w:val="de-DE"/>
        </w:rPr>
      </w:pPr>
      <w:r w:rsidRPr="002D3FF9">
        <w:rPr>
          <w:sz w:val="20"/>
          <w:lang w:val="de-DE"/>
        </w:rPr>
        <w:t>2.</w:t>
      </w:r>
      <w:r w:rsidRPr="002D3FF9">
        <w:rPr>
          <w:sz w:val="20"/>
          <w:lang w:val="de-DE"/>
        </w:rPr>
        <w:tab/>
      </w:r>
      <w:r w:rsidR="00096154" w:rsidRPr="002D3FF9">
        <w:rPr>
          <w:sz w:val="20"/>
          <w:lang w:val="de-DE"/>
        </w:rPr>
        <w:t xml:space="preserve">Herr Krischok (Deutschland) </w:t>
      </w:r>
      <w:r w:rsidR="000151E1" w:rsidRPr="002D3FF9">
        <w:rPr>
          <w:sz w:val="20"/>
          <w:lang w:val="de-DE"/>
        </w:rPr>
        <w:t>führte</w:t>
      </w:r>
      <w:r w:rsidR="00096154" w:rsidRPr="002D3FF9">
        <w:rPr>
          <w:sz w:val="20"/>
          <w:lang w:val="de-DE"/>
        </w:rPr>
        <w:t xml:space="preserve"> den Vorsitz und an der Sitzung nahmen Vertreter von Deutschland, </w:t>
      </w:r>
      <w:r w:rsidR="00FA519A" w:rsidRPr="002D3FF9">
        <w:rPr>
          <w:sz w:val="20"/>
          <w:lang w:val="de-DE"/>
        </w:rPr>
        <w:t xml:space="preserve">von </w:t>
      </w:r>
      <w:r w:rsidR="00096154" w:rsidRPr="002D3FF9">
        <w:rPr>
          <w:sz w:val="20"/>
          <w:lang w:val="de-DE"/>
        </w:rPr>
        <w:t xml:space="preserve">den Niederlanden, </w:t>
      </w:r>
      <w:r w:rsidR="00FA519A" w:rsidRPr="002D3FF9">
        <w:rPr>
          <w:sz w:val="20"/>
          <w:lang w:val="de-DE"/>
        </w:rPr>
        <w:t>vom Europäische</w:t>
      </w:r>
      <w:r w:rsidR="004721EA" w:rsidRPr="002D3FF9">
        <w:rPr>
          <w:sz w:val="20"/>
          <w:lang w:val="de-DE"/>
        </w:rPr>
        <w:t>n</w:t>
      </w:r>
      <w:r w:rsidR="00FA519A" w:rsidRPr="002D3FF9">
        <w:rPr>
          <w:sz w:val="20"/>
          <w:lang w:val="de-DE"/>
        </w:rPr>
        <w:t xml:space="preserve"> Rat der Chemischen Industrieverbände </w:t>
      </w:r>
      <w:r w:rsidR="00096154" w:rsidRPr="002D3FF9">
        <w:rPr>
          <w:sz w:val="20"/>
          <w:lang w:val="de-DE"/>
        </w:rPr>
        <w:t xml:space="preserve">(CEFIC), </w:t>
      </w:r>
      <w:r w:rsidR="00FA519A" w:rsidRPr="002D3FF9">
        <w:rPr>
          <w:sz w:val="20"/>
          <w:lang w:val="de-DE"/>
        </w:rPr>
        <w:t>von der Europäischen Binnenschifffahrts</w:t>
      </w:r>
      <w:r w:rsidR="002B75F4" w:rsidRPr="002D3FF9">
        <w:rPr>
          <w:sz w:val="20"/>
          <w:lang w:val="de-DE"/>
        </w:rPr>
        <w:t>-</w:t>
      </w:r>
      <w:r w:rsidR="00FA519A" w:rsidRPr="002D3FF9">
        <w:rPr>
          <w:sz w:val="20"/>
          <w:lang w:val="de-DE"/>
        </w:rPr>
        <w:t>Union</w:t>
      </w:r>
      <w:r w:rsidR="00096154" w:rsidRPr="002D3FF9">
        <w:rPr>
          <w:sz w:val="20"/>
          <w:lang w:val="de-DE"/>
        </w:rPr>
        <w:t xml:space="preserve"> (EBU)</w:t>
      </w:r>
      <w:r w:rsidR="00E33401" w:rsidRPr="002D3FF9">
        <w:rPr>
          <w:sz w:val="20"/>
          <w:lang w:val="de-DE"/>
        </w:rPr>
        <w:t>,</w:t>
      </w:r>
      <w:r w:rsidR="00096154" w:rsidRPr="002D3FF9">
        <w:rPr>
          <w:sz w:val="20"/>
          <w:lang w:val="de-DE"/>
        </w:rPr>
        <w:t xml:space="preserve"> </w:t>
      </w:r>
      <w:r w:rsidR="00E33401" w:rsidRPr="002D3FF9">
        <w:rPr>
          <w:sz w:val="20"/>
          <w:lang w:val="de-DE"/>
        </w:rPr>
        <w:t xml:space="preserve">von der European Skipper Organisation (ESO) </w:t>
      </w:r>
      <w:r w:rsidR="008B36BE" w:rsidRPr="002D3FF9">
        <w:rPr>
          <w:sz w:val="20"/>
          <w:lang w:val="de-DE"/>
        </w:rPr>
        <w:t xml:space="preserve">und </w:t>
      </w:r>
      <w:r w:rsidR="00C01430" w:rsidRPr="002D3FF9">
        <w:rPr>
          <w:sz w:val="20"/>
          <w:lang w:val="de-DE"/>
        </w:rPr>
        <w:t>von FuelsEurope</w:t>
      </w:r>
      <w:r w:rsidR="003D0C6D" w:rsidRPr="002D3FF9">
        <w:rPr>
          <w:sz w:val="20"/>
          <w:lang w:val="de-DE"/>
        </w:rPr>
        <w:t xml:space="preserve"> </w:t>
      </w:r>
      <w:r w:rsidR="00096154" w:rsidRPr="002D3FF9">
        <w:rPr>
          <w:sz w:val="20"/>
          <w:lang w:val="de-DE"/>
        </w:rPr>
        <w:t>teil.</w:t>
      </w:r>
    </w:p>
    <w:p w:rsidR="00A12DFF" w:rsidRDefault="00A12DFF">
      <w:pPr>
        <w:spacing w:after="0"/>
        <w:rPr>
          <w:b/>
          <w:szCs w:val="24"/>
          <w:lang w:val="de-DE"/>
        </w:rPr>
      </w:pPr>
      <w:r>
        <w:rPr>
          <w:b/>
          <w:szCs w:val="24"/>
          <w:lang w:val="de-DE"/>
        </w:rPr>
        <w:br w:type="page"/>
      </w:r>
    </w:p>
    <w:p w:rsidR="00BB27CA" w:rsidRPr="00552E59" w:rsidRDefault="00BB27CA" w:rsidP="004C730B">
      <w:pPr>
        <w:spacing w:after="0"/>
        <w:ind w:right="566"/>
        <w:jc w:val="both"/>
        <w:rPr>
          <w:b/>
          <w:sz w:val="28"/>
          <w:szCs w:val="28"/>
          <w:lang w:val="de-DE"/>
        </w:rPr>
      </w:pPr>
      <w:r w:rsidRPr="00552E59">
        <w:rPr>
          <w:b/>
          <w:sz w:val="28"/>
          <w:szCs w:val="28"/>
          <w:lang w:val="de-DE"/>
        </w:rPr>
        <w:lastRenderedPageBreak/>
        <w:t>Ergebnisse</w:t>
      </w:r>
    </w:p>
    <w:p w:rsidR="00BB27CA" w:rsidRPr="002D3FF9" w:rsidRDefault="00BB27CA" w:rsidP="004C730B">
      <w:pPr>
        <w:spacing w:after="0"/>
        <w:ind w:right="566"/>
        <w:jc w:val="both"/>
        <w:rPr>
          <w:sz w:val="20"/>
          <w:lang w:val="de-DE"/>
        </w:rPr>
      </w:pPr>
    </w:p>
    <w:p w:rsidR="001B478E" w:rsidRPr="002D3FF9" w:rsidRDefault="00521D94" w:rsidP="004C730B">
      <w:pPr>
        <w:spacing w:after="0"/>
        <w:ind w:right="566"/>
        <w:jc w:val="both"/>
        <w:rPr>
          <w:sz w:val="20"/>
          <w:lang w:val="de-DE"/>
        </w:rPr>
      </w:pPr>
      <w:r w:rsidRPr="002D3FF9">
        <w:rPr>
          <w:sz w:val="20"/>
          <w:lang w:val="de-DE"/>
        </w:rPr>
        <w:t>3</w:t>
      </w:r>
      <w:r w:rsidR="00AF42C7" w:rsidRPr="002D3FF9">
        <w:rPr>
          <w:sz w:val="20"/>
          <w:lang w:val="de-DE"/>
        </w:rPr>
        <w:t xml:space="preserve">. </w:t>
      </w:r>
      <w:r w:rsidR="00AF42C7" w:rsidRPr="002D3FF9">
        <w:rPr>
          <w:sz w:val="20"/>
          <w:lang w:val="de-DE"/>
        </w:rPr>
        <w:tab/>
      </w:r>
      <w:r w:rsidR="00BB27CA" w:rsidRPr="002D3FF9">
        <w:rPr>
          <w:bCs/>
          <w:sz w:val="20"/>
          <w:lang w:val="de-DE"/>
        </w:rPr>
        <w:t>Entsprechend dem Mandat des Sicherheitsausschusses befasste sich die Gruppe mit folgenden Themen:</w:t>
      </w:r>
    </w:p>
    <w:p w:rsidR="00986F59" w:rsidRPr="002D3FF9" w:rsidRDefault="00986F59">
      <w:pPr>
        <w:spacing w:after="0"/>
        <w:rPr>
          <w:b/>
          <w:sz w:val="20"/>
          <w:lang w:val="de-DE"/>
        </w:rPr>
      </w:pPr>
    </w:p>
    <w:p w:rsidR="001F4AD7" w:rsidRPr="00552E59" w:rsidRDefault="004B1341" w:rsidP="004C730B">
      <w:pPr>
        <w:spacing w:after="0"/>
        <w:ind w:left="570" w:right="566" w:hanging="570"/>
        <w:jc w:val="both"/>
        <w:rPr>
          <w:b/>
          <w:szCs w:val="24"/>
          <w:lang w:val="de-DE"/>
        </w:rPr>
      </w:pPr>
      <w:r w:rsidRPr="00552E59">
        <w:rPr>
          <w:b/>
          <w:szCs w:val="24"/>
          <w:lang w:val="de-DE"/>
        </w:rPr>
        <w:t>A.</w:t>
      </w:r>
      <w:r w:rsidRPr="00552E59">
        <w:rPr>
          <w:b/>
          <w:szCs w:val="24"/>
          <w:lang w:val="de-DE"/>
        </w:rPr>
        <w:tab/>
      </w:r>
      <w:r w:rsidR="00B62EFF" w:rsidRPr="00552E59">
        <w:rPr>
          <w:b/>
          <w:bCs/>
          <w:szCs w:val="24"/>
          <w:lang w:val="de-DE"/>
        </w:rPr>
        <w:t>Bemerkung 27</w:t>
      </w:r>
      <w:r w:rsidR="002D3FF9" w:rsidRPr="00552E59">
        <w:rPr>
          <w:b/>
          <w:bCs/>
          <w:szCs w:val="24"/>
          <w:lang w:val="de-DE"/>
        </w:rPr>
        <w:t xml:space="preserve"> der Tabelle C</w:t>
      </w:r>
    </w:p>
    <w:p w:rsidR="00B64AF3" w:rsidRPr="002D3FF9" w:rsidRDefault="00B64AF3" w:rsidP="00F554C7">
      <w:pPr>
        <w:spacing w:after="0"/>
        <w:ind w:right="566"/>
        <w:jc w:val="both"/>
        <w:rPr>
          <w:sz w:val="20"/>
          <w:lang w:val="de-DE"/>
        </w:rPr>
      </w:pPr>
    </w:p>
    <w:p w:rsidR="003A142E" w:rsidRPr="002D3FF9" w:rsidRDefault="00521D94" w:rsidP="00B64AF3">
      <w:pPr>
        <w:spacing w:after="0"/>
        <w:ind w:right="566"/>
        <w:jc w:val="both"/>
        <w:rPr>
          <w:sz w:val="20"/>
          <w:lang w:val="de-DE"/>
        </w:rPr>
      </w:pPr>
      <w:r w:rsidRPr="002D3FF9">
        <w:rPr>
          <w:sz w:val="20"/>
          <w:lang w:val="de-DE"/>
        </w:rPr>
        <w:t>4</w:t>
      </w:r>
      <w:r w:rsidR="00830E22" w:rsidRPr="002D3FF9">
        <w:rPr>
          <w:sz w:val="20"/>
          <w:lang w:val="de-DE"/>
        </w:rPr>
        <w:t>.</w:t>
      </w:r>
      <w:r w:rsidR="00830E22" w:rsidRPr="002D3FF9">
        <w:rPr>
          <w:sz w:val="20"/>
          <w:lang w:val="de-DE"/>
        </w:rPr>
        <w:tab/>
      </w:r>
      <w:r w:rsidR="00B64AF3" w:rsidRPr="002D3FF9">
        <w:rPr>
          <w:sz w:val="20"/>
          <w:lang w:val="de-DE"/>
        </w:rPr>
        <w:t xml:space="preserve">Die Sondervorschrift 274 in Tabelle A und die Bemerkung 27 in Tabelle C besagen, dass die offiziellen Benennungen für die Beförderung von Gattungseintragungen und „nicht anderweitig genannten“ Eintragungen mit der technischen Benennung des Gutes zu ergänzen sind. </w:t>
      </w:r>
      <w:r w:rsidR="00F554C7" w:rsidRPr="002D3FF9">
        <w:rPr>
          <w:sz w:val="20"/>
          <w:lang w:val="de-DE"/>
        </w:rPr>
        <w:t xml:space="preserve">Die Arbeitsgruppe </w:t>
      </w:r>
      <w:r w:rsidR="00C62ECE" w:rsidRPr="002D3FF9">
        <w:rPr>
          <w:sz w:val="20"/>
          <w:lang w:val="de-DE"/>
        </w:rPr>
        <w:t xml:space="preserve">stellte zunächst fest, dass </w:t>
      </w:r>
      <w:r w:rsidR="00E33401" w:rsidRPr="002D3FF9">
        <w:rPr>
          <w:sz w:val="20"/>
          <w:lang w:val="de-DE"/>
        </w:rPr>
        <w:t xml:space="preserve">die Zuordnung der Sondervorschrift 274 in der Tabelle A mit den Vorschriften des ADR und des IMDG Codes harmonisiert sein soll. Des Weiteren wurde klargestellt, dass </w:t>
      </w:r>
      <w:r w:rsidR="00C62ECE" w:rsidRPr="002D3FF9">
        <w:rPr>
          <w:sz w:val="20"/>
          <w:lang w:val="de-DE"/>
        </w:rPr>
        <w:t>der Zusammenhang zwischen der Sondervorschrift 274 in Tabelle A und der Bemerkung 27 in Tabelle C nicht eineindeutig ist. Das bedeutet, dass nicht jedem Eintrag, dem in Tabelle</w:t>
      </w:r>
      <w:r w:rsidR="00B64AF3" w:rsidRPr="002D3FF9">
        <w:rPr>
          <w:sz w:val="20"/>
          <w:lang w:val="de-DE"/>
        </w:rPr>
        <w:t> </w:t>
      </w:r>
      <w:r w:rsidR="00C62ECE" w:rsidRPr="002D3FF9">
        <w:rPr>
          <w:sz w:val="20"/>
          <w:lang w:val="de-DE"/>
        </w:rPr>
        <w:t xml:space="preserve">A die Sondervorschrift 274 zugeordnet </w:t>
      </w:r>
      <w:r w:rsidR="00BB6375" w:rsidRPr="002D3FF9">
        <w:rPr>
          <w:sz w:val="20"/>
          <w:lang w:val="de-DE"/>
        </w:rPr>
        <w:t>wurde</w:t>
      </w:r>
      <w:r w:rsidR="00C62ECE" w:rsidRPr="002D3FF9">
        <w:rPr>
          <w:sz w:val="20"/>
          <w:lang w:val="de-DE"/>
        </w:rPr>
        <w:t>, in Tabelle C die Bemerkung 27 zu</w:t>
      </w:r>
      <w:r w:rsidR="00B64AF3" w:rsidRPr="002D3FF9">
        <w:rPr>
          <w:sz w:val="20"/>
          <w:lang w:val="de-DE"/>
        </w:rPr>
        <w:t>ge</w:t>
      </w:r>
      <w:r w:rsidR="00C62ECE" w:rsidRPr="002D3FF9">
        <w:rPr>
          <w:sz w:val="20"/>
          <w:lang w:val="de-DE"/>
        </w:rPr>
        <w:t>ordne</w:t>
      </w:r>
      <w:r w:rsidR="00B64AF3" w:rsidRPr="002D3FF9">
        <w:rPr>
          <w:sz w:val="20"/>
          <w:lang w:val="de-DE"/>
        </w:rPr>
        <w:t>t</w:t>
      </w:r>
      <w:r w:rsidR="00C62ECE" w:rsidRPr="002D3FF9">
        <w:rPr>
          <w:sz w:val="20"/>
          <w:lang w:val="de-DE"/>
        </w:rPr>
        <w:t xml:space="preserve"> </w:t>
      </w:r>
      <w:r w:rsidR="00B64AF3" w:rsidRPr="002D3FF9">
        <w:rPr>
          <w:sz w:val="20"/>
          <w:lang w:val="de-DE"/>
        </w:rPr>
        <w:t>werden sollte</w:t>
      </w:r>
      <w:r w:rsidR="00BB6375" w:rsidRPr="002D3FF9">
        <w:rPr>
          <w:sz w:val="20"/>
          <w:lang w:val="de-DE"/>
        </w:rPr>
        <w:t>.</w:t>
      </w:r>
      <w:r w:rsidR="00B64AF3" w:rsidRPr="002D3FF9">
        <w:rPr>
          <w:sz w:val="20"/>
          <w:lang w:val="de-DE"/>
        </w:rPr>
        <w:t xml:space="preserve"> Die aktuelle Formulierung der Kriterien für die Angabe der Bemerkung 27 in Tabelle C gibt diesen Sac</w:t>
      </w:r>
      <w:r w:rsidR="00AE7A02" w:rsidRPr="002D3FF9">
        <w:rPr>
          <w:sz w:val="20"/>
          <w:lang w:val="de-DE"/>
        </w:rPr>
        <w:t>hverhalt nur ungenügend wieder.</w:t>
      </w:r>
    </w:p>
    <w:p w:rsidR="00B64AF3" w:rsidRPr="002D3FF9" w:rsidRDefault="00B64AF3" w:rsidP="00B64AF3">
      <w:pPr>
        <w:spacing w:after="0"/>
        <w:ind w:right="566"/>
        <w:jc w:val="both"/>
        <w:rPr>
          <w:sz w:val="20"/>
          <w:lang w:val="de-DE"/>
        </w:rPr>
      </w:pPr>
    </w:p>
    <w:p w:rsidR="00B64AF3" w:rsidRPr="002D3FF9" w:rsidRDefault="00B64AF3" w:rsidP="00B64AF3">
      <w:pPr>
        <w:spacing w:after="0"/>
        <w:ind w:right="566"/>
        <w:jc w:val="both"/>
        <w:rPr>
          <w:b/>
          <w:sz w:val="20"/>
          <w:u w:val="single"/>
          <w:lang w:val="de-DE"/>
        </w:rPr>
      </w:pPr>
      <w:r w:rsidRPr="002D3FF9">
        <w:rPr>
          <w:b/>
          <w:sz w:val="20"/>
          <w:u w:val="single"/>
          <w:lang w:val="de-DE"/>
        </w:rPr>
        <w:t>Vorschlag:</w:t>
      </w:r>
    </w:p>
    <w:p w:rsidR="00B64AF3" w:rsidRPr="002D3FF9" w:rsidRDefault="00B64AF3" w:rsidP="00B64AF3">
      <w:pPr>
        <w:spacing w:after="0"/>
        <w:ind w:right="566"/>
        <w:jc w:val="both"/>
        <w:rPr>
          <w:sz w:val="20"/>
          <w:lang w:val="de-DE"/>
        </w:rPr>
      </w:pPr>
    </w:p>
    <w:p w:rsidR="00B64AF3" w:rsidRPr="002D3FF9" w:rsidRDefault="00B64AF3" w:rsidP="00B64AF3">
      <w:pPr>
        <w:spacing w:after="0"/>
        <w:ind w:right="566"/>
        <w:jc w:val="both"/>
        <w:rPr>
          <w:sz w:val="20"/>
          <w:lang w:val="de-DE"/>
        </w:rPr>
      </w:pPr>
      <w:r w:rsidRPr="002D3FF9">
        <w:rPr>
          <w:sz w:val="20"/>
          <w:lang w:val="de-DE"/>
        </w:rPr>
        <w:t>5.</w:t>
      </w:r>
      <w:r w:rsidRPr="002D3FF9">
        <w:rPr>
          <w:sz w:val="20"/>
          <w:lang w:val="de-DE"/>
        </w:rPr>
        <w:tab/>
        <w:t xml:space="preserve">Im Ergebnis einer ausführlichen Diskussion einigt sich die informelle Arbeitsgruppe darauf, </w:t>
      </w:r>
      <w:r w:rsidR="00F3604E" w:rsidRPr="002D3FF9">
        <w:rPr>
          <w:sz w:val="20"/>
          <w:lang w:val="de-DE"/>
        </w:rPr>
        <w:t xml:space="preserve">in 3.2.3.3 „Entscheidungsdiagramm, Schemata und Kriterien für die Festlegung der anwendbaren besonderen Vorschriften (Spalten (6) bis (20) der Tabelle C)“ und in 3.2.4.3 „Zuordnungskriterien für die Stoffe“ </w:t>
      </w:r>
      <w:r w:rsidRPr="002D3FF9">
        <w:rPr>
          <w:sz w:val="20"/>
          <w:lang w:val="de-DE"/>
        </w:rPr>
        <w:t>als Kriterium für die Angabe der Bemerkung 27 folgende Formulierung vorzuschlagen:</w:t>
      </w:r>
    </w:p>
    <w:p w:rsidR="00B64AF3" w:rsidRPr="002D3FF9" w:rsidRDefault="00B64AF3" w:rsidP="00B64AF3">
      <w:pPr>
        <w:spacing w:after="0"/>
        <w:ind w:right="566"/>
        <w:jc w:val="both"/>
        <w:rPr>
          <w:sz w:val="20"/>
          <w:lang w:val="de-DE"/>
        </w:rPr>
      </w:pPr>
    </w:p>
    <w:p w:rsidR="00B64AF3" w:rsidRPr="002D3FF9" w:rsidRDefault="00F73DFC" w:rsidP="00F73DFC">
      <w:pPr>
        <w:spacing w:after="0"/>
        <w:ind w:left="1701" w:right="566" w:hanging="1701"/>
        <w:jc w:val="both"/>
        <w:rPr>
          <w:sz w:val="20"/>
          <w:lang w:val="de-DE"/>
        </w:rPr>
      </w:pPr>
      <w:r w:rsidRPr="002D3FF9">
        <w:rPr>
          <w:sz w:val="20"/>
          <w:lang w:val="de-DE"/>
        </w:rPr>
        <w:t>„Bemerkung 27:</w:t>
      </w:r>
      <w:r w:rsidRPr="002D3FF9">
        <w:rPr>
          <w:sz w:val="20"/>
          <w:lang w:val="de-DE"/>
        </w:rPr>
        <w:tab/>
        <w:t>Bemerkung 27 ist in Spalte (20) einzutragen bei Stoffen, für die in der Spalte (2) eine N.A.G.- oder Gattungseintragung aufgenommen ist und für die die offiziellen Benennungen für die Beförderung nicht bereits mit der technischen Benennung des Gutes oder mit zusätzlichen Angaben zu</w:t>
      </w:r>
      <w:r w:rsidR="0055568E" w:rsidRPr="002D3FF9">
        <w:rPr>
          <w:sz w:val="20"/>
          <w:lang w:val="de-DE"/>
        </w:rPr>
        <w:t>m</w:t>
      </w:r>
      <w:r w:rsidRPr="002D3FF9">
        <w:rPr>
          <w:sz w:val="20"/>
          <w:lang w:val="de-DE"/>
        </w:rPr>
        <w:t xml:space="preserve"> Benzen-Gehalt ergänzt sind.“</w:t>
      </w:r>
      <w:r w:rsidR="00AE7A02" w:rsidRPr="002D3FF9">
        <w:rPr>
          <w:sz w:val="20"/>
          <w:lang w:val="de-DE"/>
        </w:rPr>
        <w:t>.</w:t>
      </w:r>
    </w:p>
    <w:p w:rsidR="00302FCA" w:rsidRPr="002D3FF9" w:rsidRDefault="00302FCA" w:rsidP="00302FCA">
      <w:pPr>
        <w:spacing w:after="0"/>
        <w:ind w:right="566"/>
        <w:jc w:val="both"/>
        <w:rPr>
          <w:b/>
          <w:sz w:val="20"/>
          <w:u w:val="single"/>
          <w:lang w:val="de-DE"/>
        </w:rPr>
      </w:pPr>
    </w:p>
    <w:p w:rsidR="00302FCA" w:rsidRPr="002D3FF9" w:rsidRDefault="00302FCA" w:rsidP="00302FCA">
      <w:pPr>
        <w:spacing w:after="0"/>
        <w:ind w:right="566"/>
        <w:jc w:val="both"/>
        <w:rPr>
          <w:b/>
          <w:sz w:val="20"/>
          <w:u w:val="single"/>
          <w:lang w:val="de-DE"/>
        </w:rPr>
      </w:pPr>
      <w:r w:rsidRPr="002D3FF9">
        <w:rPr>
          <w:b/>
          <w:sz w:val="20"/>
          <w:u w:val="single"/>
          <w:lang w:val="de-DE"/>
        </w:rPr>
        <w:t>Vorschlag:</w:t>
      </w:r>
    </w:p>
    <w:p w:rsidR="004E3918" w:rsidRPr="002D3FF9" w:rsidRDefault="004E3918" w:rsidP="00F554C7">
      <w:pPr>
        <w:spacing w:after="0"/>
        <w:ind w:right="566"/>
        <w:jc w:val="both"/>
        <w:rPr>
          <w:sz w:val="20"/>
          <w:lang w:val="de-DE"/>
        </w:rPr>
      </w:pPr>
    </w:p>
    <w:p w:rsidR="00F73DFC" w:rsidRPr="002D3FF9" w:rsidRDefault="00F73DFC" w:rsidP="00F554C7">
      <w:pPr>
        <w:spacing w:after="0"/>
        <w:ind w:right="566"/>
        <w:jc w:val="both"/>
        <w:rPr>
          <w:sz w:val="20"/>
          <w:lang w:val="de-DE"/>
        </w:rPr>
      </w:pPr>
      <w:r w:rsidRPr="002D3FF9">
        <w:rPr>
          <w:sz w:val="20"/>
          <w:lang w:val="de-DE"/>
        </w:rPr>
        <w:t>6.</w:t>
      </w:r>
      <w:r w:rsidRPr="002D3FF9">
        <w:rPr>
          <w:sz w:val="20"/>
          <w:lang w:val="de-DE"/>
        </w:rPr>
        <w:tab/>
        <w:t xml:space="preserve">In Umsetzung dieses Vorschlages wird </w:t>
      </w:r>
      <w:r w:rsidR="00FB0680" w:rsidRPr="002D3FF9">
        <w:rPr>
          <w:sz w:val="20"/>
          <w:lang w:val="de-DE"/>
        </w:rPr>
        <w:t xml:space="preserve">für die aktuelle Fassung des ADN </w:t>
      </w:r>
      <w:r w:rsidRPr="002D3FF9">
        <w:rPr>
          <w:sz w:val="20"/>
          <w:lang w:val="de-DE"/>
        </w:rPr>
        <w:t xml:space="preserve">vorgeschlagen, </w:t>
      </w:r>
      <w:r w:rsidR="00D83CD2" w:rsidRPr="002D3FF9">
        <w:rPr>
          <w:sz w:val="20"/>
          <w:lang w:val="de-DE"/>
        </w:rPr>
        <w:t xml:space="preserve">für folgende </w:t>
      </w:r>
      <w:r w:rsidR="00F526DE" w:rsidRPr="002D3FF9">
        <w:rPr>
          <w:sz w:val="20"/>
          <w:lang w:val="de-DE"/>
        </w:rPr>
        <w:t>Einträge</w:t>
      </w:r>
      <w:r w:rsidR="00D83CD2" w:rsidRPr="002D3FF9">
        <w:rPr>
          <w:sz w:val="20"/>
          <w:lang w:val="de-DE"/>
        </w:rPr>
        <w:t xml:space="preserve"> in Spalte (20) der Tabelle C die Bemerkung 27 zu ergänzen:</w:t>
      </w:r>
    </w:p>
    <w:p w:rsidR="00D83CD2" w:rsidRPr="002D3FF9" w:rsidRDefault="00D83CD2" w:rsidP="00F554C7">
      <w:pPr>
        <w:spacing w:after="0"/>
        <w:ind w:right="566"/>
        <w:jc w:val="both"/>
        <w:rPr>
          <w:sz w:val="20"/>
          <w:lang w:val="de-DE"/>
        </w:rPr>
      </w:pPr>
    </w:p>
    <w:p w:rsidR="00D83CD2" w:rsidRPr="002D3FF9" w:rsidRDefault="00D83CD2" w:rsidP="00D83CD2">
      <w:pPr>
        <w:pStyle w:val="ListParagraph"/>
        <w:numPr>
          <w:ilvl w:val="0"/>
          <w:numId w:val="24"/>
        </w:numPr>
        <w:spacing w:after="0"/>
        <w:ind w:right="566"/>
        <w:jc w:val="both"/>
        <w:rPr>
          <w:sz w:val="20"/>
          <w:lang w:val="de-DE"/>
        </w:rPr>
      </w:pPr>
      <w:r w:rsidRPr="002D3FF9">
        <w:rPr>
          <w:sz w:val="20"/>
          <w:lang w:val="de-DE"/>
        </w:rPr>
        <w:t>drei Ei</w:t>
      </w:r>
      <w:r w:rsidR="0055568E" w:rsidRPr="002D3FF9">
        <w:rPr>
          <w:sz w:val="20"/>
          <w:lang w:val="de-DE"/>
        </w:rPr>
        <w:t>n</w:t>
      </w:r>
      <w:r w:rsidRPr="002D3FF9">
        <w:rPr>
          <w:sz w:val="20"/>
          <w:lang w:val="de-DE"/>
        </w:rPr>
        <w:t>tr</w:t>
      </w:r>
      <w:r w:rsidR="00CB0799" w:rsidRPr="002D3FF9">
        <w:rPr>
          <w:sz w:val="20"/>
          <w:lang w:val="de-DE"/>
        </w:rPr>
        <w:t>ä</w:t>
      </w:r>
      <w:r w:rsidRPr="002D3FF9">
        <w:rPr>
          <w:sz w:val="20"/>
          <w:lang w:val="de-DE"/>
        </w:rPr>
        <w:t>ge der UN 1993, jeweils mit „*“ in den Spalten (6) bis (1</w:t>
      </w:r>
      <w:r w:rsidR="00F3604E" w:rsidRPr="002D3FF9">
        <w:rPr>
          <w:sz w:val="20"/>
          <w:lang w:val="de-DE"/>
        </w:rPr>
        <w:t>1</w:t>
      </w:r>
      <w:r w:rsidRPr="002D3FF9">
        <w:rPr>
          <w:sz w:val="20"/>
          <w:lang w:val="de-DE"/>
        </w:rPr>
        <w:t>)</w:t>
      </w:r>
      <w:r w:rsidR="00881DBA" w:rsidRPr="002D3FF9">
        <w:rPr>
          <w:sz w:val="20"/>
          <w:lang w:val="de-DE"/>
        </w:rPr>
        <w:t>,</w:t>
      </w:r>
    </w:p>
    <w:p w:rsidR="00881DBA" w:rsidRPr="002D3FF9" w:rsidRDefault="00881DBA" w:rsidP="00881DBA">
      <w:pPr>
        <w:spacing w:after="0"/>
        <w:ind w:right="566"/>
        <w:jc w:val="both"/>
        <w:rPr>
          <w:sz w:val="20"/>
          <w:lang w:val="de-DE"/>
        </w:rPr>
      </w:pPr>
    </w:p>
    <w:p w:rsidR="00881DBA" w:rsidRPr="002D3FF9" w:rsidRDefault="00D83CD2" w:rsidP="00881DBA">
      <w:pPr>
        <w:pStyle w:val="ListParagraph"/>
        <w:numPr>
          <w:ilvl w:val="0"/>
          <w:numId w:val="24"/>
        </w:numPr>
        <w:spacing w:after="0"/>
        <w:ind w:right="566"/>
        <w:jc w:val="both"/>
        <w:rPr>
          <w:sz w:val="20"/>
          <w:lang w:val="de-DE"/>
        </w:rPr>
      </w:pPr>
      <w:r w:rsidRPr="002D3FF9">
        <w:rPr>
          <w:sz w:val="20"/>
          <w:lang w:val="de-DE"/>
        </w:rPr>
        <w:t xml:space="preserve">zwei </w:t>
      </w:r>
      <w:r w:rsidR="00CB0799" w:rsidRPr="002D3FF9">
        <w:rPr>
          <w:sz w:val="20"/>
          <w:lang w:val="de-DE"/>
        </w:rPr>
        <w:t>Einträge</w:t>
      </w:r>
      <w:r w:rsidRPr="002D3FF9">
        <w:rPr>
          <w:sz w:val="20"/>
          <w:lang w:val="de-DE"/>
        </w:rPr>
        <w:t xml:space="preserve"> der UN 31</w:t>
      </w:r>
      <w:r w:rsidR="00F3604E" w:rsidRPr="002D3FF9">
        <w:rPr>
          <w:sz w:val="20"/>
          <w:lang w:val="de-DE"/>
        </w:rPr>
        <w:t>4</w:t>
      </w:r>
      <w:r w:rsidRPr="002D3FF9">
        <w:rPr>
          <w:sz w:val="20"/>
          <w:lang w:val="de-DE"/>
        </w:rPr>
        <w:t>5</w:t>
      </w:r>
      <w:r w:rsidR="00881DBA" w:rsidRPr="002D3FF9">
        <w:rPr>
          <w:sz w:val="20"/>
          <w:lang w:val="de-DE"/>
        </w:rPr>
        <w:t>,</w:t>
      </w:r>
    </w:p>
    <w:p w:rsidR="00881DBA" w:rsidRPr="002D3FF9" w:rsidRDefault="00881DBA" w:rsidP="00881DBA">
      <w:pPr>
        <w:pStyle w:val="ListParagraph"/>
        <w:spacing w:after="0"/>
        <w:ind w:left="709"/>
        <w:rPr>
          <w:sz w:val="20"/>
          <w:lang w:val="de-DE"/>
        </w:rPr>
      </w:pPr>
    </w:p>
    <w:p w:rsidR="00881DBA" w:rsidRPr="002D3FF9" w:rsidRDefault="00881DBA" w:rsidP="00881DBA">
      <w:pPr>
        <w:pStyle w:val="ListParagraph"/>
        <w:numPr>
          <w:ilvl w:val="0"/>
          <w:numId w:val="24"/>
        </w:numPr>
        <w:spacing w:after="0"/>
        <w:ind w:right="566"/>
        <w:jc w:val="both"/>
        <w:rPr>
          <w:sz w:val="20"/>
          <w:lang w:val="de-DE"/>
        </w:rPr>
      </w:pPr>
      <w:r w:rsidRPr="002D3FF9">
        <w:rPr>
          <w:sz w:val="20"/>
          <w:lang w:val="de-DE"/>
        </w:rPr>
        <w:t xml:space="preserve">drei </w:t>
      </w:r>
      <w:r w:rsidR="00CB0799" w:rsidRPr="002D3FF9">
        <w:rPr>
          <w:sz w:val="20"/>
          <w:lang w:val="de-DE"/>
        </w:rPr>
        <w:t>Einträge</w:t>
      </w:r>
      <w:r w:rsidRPr="002D3FF9">
        <w:rPr>
          <w:sz w:val="20"/>
          <w:lang w:val="de-DE"/>
        </w:rPr>
        <w:t xml:space="preserve"> der UN 3295, jeweils mit „*“ in den Spalten (6) bis (1</w:t>
      </w:r>
      <w:r w:rsidR="00F3604E" w:rsidRPr="002D3FF9">
        <w:rPr>
          <w:sz w:val="20"/>
          <w:lang w:val="de-DE"/>
        </w:rPr>
        <w:t>1</w:t>
      </w:r>
      <w:r w:rsidRPr="002D3FF9">
        <w:rPr>
          <w:sz w:val="20"/>
          <w:lang w:val="de-DE"/>
        </w:rPr>
        <w:t>),</w:t>
      </w:r>
    </w:p>
    <w:p w:rsidR="00881DBA" w:rsidRPr="002D3FF9" w:rsidRDefault="00881DBA" w:rsidP="00881DBA">
      <w:pPr>
        <w:pStyle w:val="ListParagraph"/>
        <w:spacing w:after="0"/>
        <w:ind w:left="709"/>
        <w:rPr>
          <w:sz w:val="20"/>
          <w:lang w:val="de-DE"/>
        </w:rPr>
      </w:pPr>
    </w:p>
    <w:p w:rsidR="00881DBA" w:rsidRPr="002D3FF9" w:rsidRDefault="00881DBA" w:rsidP="00881DBA">
      <w:pPr>
        <w:pStyle w:val="ListParagraph"/>
        <w:numPr>
          <w:ilvl w:val="0"/>
          <w:numId w:val="24"/>
        </w:numPr>
        <w:spacing w:after="0"/>
        <w:ind w:right="566"/>
        <w:jc w:val="both"/>
        <w:rPr>
          <w:sz w:val="20"/>
          <w:lang w:val="de-DE"/>
        </w:rPr>
      </w:pPr>
      <w:r w:rsidRPr="002D3FF9">
        <w:rPr>
          <w:sz w:val="20"/>
          <w:lang w:val="de-DE"/>
        </w:rPr>
        <w:t>ein Eintrag der Stoffnummer 9002,</w:t>
      </w:r>
    </w:p>
    <w:p w:rsidR="00881DBA" w:rsidRPr="002D3FF9" w:rsidRDefault="00881DBA" w:rsidP="00881DBA">
      <w:pPr>
        <w:pStyle w:val="ListParagraph"/>
        <w:spacing w:after="0"/>
        <w:ind w:left="709"/>
        <w:rPr>
          <w:sz w:val="20"/>
          <w:lang w:val="de-DE"/>
        </w:rPr>
      </w:pPr>
    </w:p>
    <w:p w:rsidR="00881DBA" w:rsidRPr="002D3FF9" w:rsidRDefault="00881DBA" w:rsidP="00881DBA">
      <w:pPr>
        <w:pStyle w:val="ListParagraph"/>
        <w:numPr>
          <w:ilvl w:val="0"/>
          <w:numId w:val="24"/>
        </w:numPr>
        <w:spacing w:after="0"/>
        <w:ind w:right="566"/>
        <w:jc w:val="both"/>
        <w:rPr>
          <w:sz w:val="20"/>
          <w:lang w:val="de-DE"/>
        </w:rPr>
      </w:pPr>
      <w:r w:rsidRPr="002D3FF9">
        <w:rPr>
          <w:sz w:val="20"/>
          <w:lang w:val="de-DE"/>
        </w:rPr>
        <w:t>ein Eintrag der Stoffnummer 9005 und</w:t>
      </w:r>
    </w:p>
    <w:p w:rsidR="00881DBA" w:rsidRPr="002D3FF9" w:rsidRDefault="00881DBA" w:rsidP="00881DBA">
      <w:pPr>
        <w:pStyle w:val="ListParagraph"/>
        <w:spacing w:after="0"/>
        <w:ind w:left="709"/>
        <w:rPr>
          <w:sz w:val="20"/>
          <w:lang w:val="de-DE"/>
        </w:rPr>
      </w:pPr>
    </w:p>
    <w:p w:rsidR="00881DBA" w:rsidRPr="002D3FF9" w:rsidRDefault="00881DBA" w:rsidP="00881DBA">
      <w:pPr>
        <w:pStyle w:val="ListParagraph"/>
        <w:numPr>
          <w:ilvl w:val="0"/>
          <w:numId w:val="24"/>
        </w:numPr>
        <w:spacing w:after="0"/>
        <w:ind w:right="566"/>
        <w:jc w:val="both"/>
        <w:rPr>
          <w:sz w:val="20"/>
          <w:lang w:val="de-DE"/>
        </w:rPr>
      </w:pPr>
      <w:r w:rsidRPr="002D3FF9">
        <w:rPr>
          <w:sz w:val="20"/>
          <w:lang w:val="de-DE"/>
        </w:rPr>
        <w:t>ein Eintrag der Stoffnummer 9006.</w:t>
      </w:r>
    </w:p>
    <w:p w:rsidR="00881DBA" w:rsidRPr="002D3FF9" w:rsidRDefault="00881DBA" w:rsidP="00881DBA">
      <w:pPr>
        <w:pStyle w:val="ListParagraph"/>
        <w:rPr>
          <w:sz w:val="20"/>
          <w:lang w:val="de-DE"/>
        </w:rPr>
      </w:pPr>
    </w:p>
    <w:p w:rsidR="00302FCA" w:rsidRPr="002D3FF9" w:rsidRDefault="00302FCA" w:rsidP="00302FCA">
      <w:pPr>
        <w:spacing w:after="0"/>
        <w:ind w:right="566"/>
        <w:jc w:val="both"/>
        <w:rPr>
          <w:b/>
          <w:sz w:val="20"/>
          <w:u w:val="single"/>
          <w:lang w:val="de-DE"/>
        </w:rPr>
      </w:pPr>
      <w:r w:rsidRPr="002D3FF9">
        <w:rPr>
          <w:b/>
          <w:sz w:val="20"/>
          <w:u w:val="single"/>
          <w:lang w:val="de-DE"/>
        </w:rPr>
        <w:t>Vorschlag:</w:t>
      </w:r>
    </w:p>
    <w:p w:rsidR="00302FCA" w:rsidRPr="002D3FF9" w:rsidRDefault="00302FCA" w:rsidP="00302FCA">
      <w:pPr>
        <w:spacing w:after="0"/>
        <w:ind w:right="566"/>
        <w:jc w:val="both"/>
        <w:rPr>
          <w:sz w:val="20"/>
          <w:lang w:val="de-DE"/>
        </w:rPr>
      </w:pPr>
    </w:p>
    <w:p w:rsidR="00FB0680" w:rsidRPr="002D3FF9" w:rsidRDefault="00FB0680" w:rsidP="00FB0680">
      <w:pPr>
        <w:spacing w:after="0"/>
        <w:ind w:right="566"/>
        <w:jc w:val="both"/>
        <w:rPr>
          <w:sz w:val="20"/>
          <w:lang w:val="de-DE"/>
        </w:rPr>
      </w:pPr>
      <w:r w:rsidRPr="002D3FF9">
        <w:rPr>
          <w:sz w:val="20"/>
          <w:lang w:val="de-DE"/>
        </w:rPr>
        <w:t>7.</w:t>
      </w:r>
      <w:r w:rsidRPr="002D3FF9">
        <w:rPr>
          <w:sz w:val="20"/>
          <w:lang w:val="de-DE"/>
        </w:rPr>
        <w:tab/>
      </w:r>
      <w:r w:rsidR="006B439E" w:rsidRPr="002D3FF9">
        <w:rPr>
          <w:sz w:val="20"/>
          <w:lang w:val="de-DE"/>
        </w:rPr>
        <w:t>Zusätzlich</w:t>
      </w:r>
      <w:r w:rsidRPr="002D3FF9">
        <w:rPr>
          <w:sz w:val="20"/>
          <w:lang w:val="de-DE"/>
        </w:rPr>
        <w:t xml:space="preserve"> wird für die für das ADN 2019 beschlossenen Änderungen vorgeschlagen, für folgende </w:t>
      </w:r>
      <w:r w:rsidR="00F526DE" w:rsidRPr="002D3FF9">
        <w:rPr>
          <w:sz w:val="20"/>
          <w:lang w:val="de-DE"/>
        </w:rPr>
        <w:t>Einträge</w:t>
      </w:r>
      <w:r w:rsidRPr="002D3FF9">
        <w:rPr>
          <w:sz w:val="20"/>
          <w:lang w:val="de-DE"/>
        </w:rPr>
        <w:t xml:space="preserve"> in Spalte (20) der Tabelle C die Bemerkung 27 zu ergänzen:</w:t>
      </w:r>
    </w:p>
    <w:p w:rsidR="00FB0680" w:rsidRPr="002D3FF9" w:rsidRDefault="00FB0680" w:rsidP="00FB0680">
      <w:pPr>
        <w:spacing w:after="0"/>
        <w:ind w:right="566"/>
        <w:jc w:val="both"/>
        <w:rPr>
          <w:sz w:val="20"/>
          <w:lang w:val="de-DE"/>
        </w:rPr>
      </w:pPr>
    </w:p>
    <w:p w:rsidR="00FB0680" w:rsidRPr="002D3FF9" w:rsidRDefault="00FB0680" w:rsidP="00FB0680">
      <w:pPr>
        <w:pStyle w:val="ListParagraph"/>
        <w:numPr>
          <w:ilvl w:val="0"/>
          <w:numId w:val="24"/>
        </w:numPr>
        <w:spacing w:after="0"/>
        <w:ind w:right="566"/>
        <w:jc w:val="both"/>
        <w:rPr>
          <w:sz w:val="20"/>
          <w:lang w:val="de-DE"/>
        </w:rPr>
      </w:pPr>
      <w:r w:rsidRPr="002D3FF9">
        <w:rPr>
          <w:sz w:val="20"/>
          <w:lang w:val="de-DE"/>
        </w:rPr>
        <w:t>drei Einträge der UN 1993, jeweils mit „*“ in den Spalten (6) bis (1</w:t>
      </w:r>
      <w:r w:rsidR="00F3604E" w:rsidRPr="002D3FF9">
        <w:rPr>
          <w:sz w:val="20"/>
          <w:lang w:val="de-DE"/>
        </w:rPr>
        <w:t>1</w:t>
      </w:r>
      <w:r w:rsidRPr="002D3FF9">
        <w:rPr>
          <w:sz w:val="20"/>
          <w:lang w:val="de-DE"/>
        </w:rPr>
        <w:t>),</w:t>
      </w:r>
    </w:p>
    <w:p w:rsidR="00FB0680" w:rsidRPr="002D3FF9" w:rsidRDefault="00FB0680" w:rsidP="00FB0680">
      <w:pPr>
        <w:pStyle w:val="ListParagraph"/>
        <w:spacing w:after="0"/>
        <w:ind w:left="709"/>
        <w:rPr>
          <w:sz w:val="20"/>
          <w:lang w:val="de-DE"/>
        </w:rPr>
      </w:pPr>
    </w:p>
    <w:p w:rsidR="00FB0680" w:rsidRPr="002D3FF9" w:rsidRDefault="00FB0680" w:rsidP="00FB0680">
      <w:pPr>
        <w:pStyle w:val="ListParagraph"/>
        <w:numPr>
          <w:ilvl w:val="0"/>
          <w:numId w:val="24"/>
        </w:numPr>
        <w:spacing w:after="0"/>
        <w:ind w:right="566"/>
        <w:jc w:val="both"/>
        <w:rPr>
          <w:sz w:val="20"/>
          <w:lang w:val="de-DE"/>
        </w:rPr>
      </w:pPr>
      <w:r w:rsidRPr="002D3FF9">
        <w:rPr>
          <w:sz w:val="20"/>
          <w:lang w:val="de-DE"/>
        </w:rPr>
        <w:t>drei Einträge der UN 3295, jeweils mit „*“ in den Spalten (6) bis (1</w:t>
      </w:r>
      <w:r w:rsidR="00F3604E" w:rsidRPr="002D3FF9">
        <w:rPr>
          <w:sz w:val="20"/>
          <w:lang w:val="de-DE"/>
        </w:rPr>
        <w:t>1</w:t>
      </w:r>
      <w:r w:rsidRPr="002D3FF9">
        <w:rPr>
          <w:sz w:val="20"/>
          <w:lang w:val="de-DE"/>
        </w:rPr>
        <w:t>) und</w:t>
      </w:r>
    </w:p>
    <w:p w:rsidR="00FB0680" w:rsidRPr="002D3FF9" w:rsidRDefault="00FB0680" w:rsidP="00FB0680">
      <w:pPr>
        <w:pStyle w:val="ListParagraph"/>
        <w:spacing w:after="0"/>
        <w:ind w:left="709"/>
        <w:rPr>
          <w:sz w:val="20"/>
          <w:lang w:val="de-DE"/>
        </w:rPr>
      </w:pPr>
    </w:p>
    <w:p w:rsidR="00FB0680" w:rsidRPr="002D3FF9" w:rsidRDefault="00FB0680" w:rsidP="00FB0680">
      <w:pPr>
        <w:pStyle w:val="ListParagraph"/>
        <w:numPr>
          <w:ilvl w:val="0"/>
          <w:numId w:val="24"/>
        </w:numPr>
        <w:spacing w:after="0"/>
        <w:ind w:right="566"/>
        <w:jc w:val="both"/>
        <w:rPr>
          <w:sz w:val="20"/>
          <w:lang w:val="de-DE"/>
        </w:rPr>
      </w:pPr>
      <w:r w:rsidRPr="002D3FF9">
        <w:rPr>
          <w:sz w:val="20"/>
          <w:lang w:val="de-DE"/>
        </w:rPr>
        <w:t>ein Eintrag der Stoffnummer 9002.</w:t>
      </w:r>
    </w:p>
    <w:p w:rsidR="00FB0680" w:rsidRPr="002D3FF9" w:rsidRDefault="00FB0680" w:rsidP="00FB0680">
      <w:pPr>
        <w:pStyle w:val="ListParagraph"/>
        <w:rPr>
          <w:sz w:val="20"/>
          <w:lang w:val="de-DE"/>
        </w:rPr>
      </w:pPr>
    </w:p>
    <w:p w:rsidR="00302FCA" w:rsidRPr="002D3FF9" w:rsidRDefault="00302FCA" w:rsidP="00302FCA">
      <w:pPr>
        <w:spacing w:after="0"/>
        <w:ind w:right="566"/>
        <w:jc w:val="both"/>
        <w:rPr>
          <w:b/>
          <w:sz w:val="20"/>
          <w:u w:val="single"/>
          <w:lang w:val="de-DE"/>
        </w:rPr>
      </w:pPr>
      <w:r w:rsidRPr="002D3FF9">
        <w:rPr>
          <w:b/>
          <w:sz w:val="20"/>
          <w:u w:val="single"/>
          <w:lang w:val="de-DE"/>
        </w:rPr>
        <w:lastRenderedPageBreak/>
        <w:t>Vorschlag:</w:t>
      </w:r>
    </w:p>
    <w:p w:rsidR="00302FCA" w:rsidRPr="002D3FF9" w:rsidRDefault="00302FCA" w:rsidP="00302FCA">
      <w:pPr>
        <w:spacing w:after="0"/>
        <w:ind w:right="566"/>
        <w:jc w:val="both"/>
        <w:rPr>
          <w:sz w:val="20"/>
          <w:lang w:val="de-DE"/>
        </w:rPr>
      </w:pPr>
    </w:p>
    <w:p w:rsidR="006F78EB" w:rsidRPr="002D3FF9" w:rsidRDefault="00FB0680" w:rsidP="006F78EB">
      <w:pPr>
        <w:spacing w:after="0"/>
        <w:ind w:right="566"/>
        <w:jc w:val="both"/>
        <w:rPr>
          <w:sz w:val="20"/>
          <w:lang w:val="de-DE"/>
        </w:rPr>
      </w:pPr>
      <w:r w:rsidRPr="002D3FF9">
        <w:rPr>
          <w:sz w:val="20"/>
          <w:lang w:val="de-DE"/>
        </w:rPr>
        <w:t>8</w:t>
      </w:r>
      <w:r w:rsidR="006F78EB" w:rsidRPr="002D3FF9">
        <w:rPr>
          <w:sz w:val="20"/>
          <w:lang w:val="de-DE"/>
        </w:rPr>
        <w:t>.</w:t>
      </w:r>
      <w:r w:rsidR="006F78EB" w:rsidRPr="002D3FF9">
        <w:rPr>
          <w:sz w:val="20"/>
          <w:lang w:val="de-DE"/>
        </w:rPr>
        <w:tab/>
        <w:t>Au</w:t>
      </w:r>
      <w:r w:rsidR="00504FE6" w:rsidRPr="002D3FF9">
        <w:rPr>
          <w:sz w:val="20"/>
          <w:lang w:val="de-DE"/>
        </w:rPr>
        <w:t>ß</w:t>
      </w:r>
      <w:r w:rsidR="006F78EB" w:rsidRPr="002D3FF9">
        <w:rPr>
          <w:sz w:val="20"/>
          <w:lang w:val="de-DE"/>
        </w:rPr>
        <w:t xml:space="preserve">erdem wird </w:t>
      </w:r>
      <w:r w:rsidR="00AC1192" w:rsidRPr="002D3FF9">
        <w:rPr>
          <w:sz w:val="20"/>
          <w:lang w:val="de-DE"/>
        </w:rPr>
        <w:t xml:space="preserve">für die aktuelle Fassung des ADN </w:t>
      </w:r>
      <w:r w:rsidR="006F78EB" w:rsidRPr="002D3FF9">
        <w:rPr>
          <w:sz w:val="20"/>
          <w:lang w:val="de-DE"/>
        </w:rPr>
        <w:t xml:space="preserve">vorgeschlagen, für folgende </w:t>
      </w:r>
      <w:r w:rsidR="00F526DE" w:rsidRPr="002D3FF9">
        <w:rPr>
          <w:sz w:val="20"/>
          <w:lang w:val="de-DE"/>
        </w:rPr>
        <w:t>Einträge</w:t>
      </w:r>
      <w:r w:rsidR="00534C16" w:rsidRPr="002D3FF9">
        <w:rPr>
          <w:sz w:val="20"/>
          <w:lang w:val="de-DE"/>
        </w:rPr>
        <w:t xml:space="preserve"> in Spalte </w:t>
      </w:r>
      <w:r w:rsidR="006F78EB" w:rsidRPr="002D3FF9">
        <w:rPr>
          <w:sz w:val="20"/>
          <w:lang w:val="de-DE"/>
        </w:rPr>
        <w:t>(20) der Tabelle C die Bemerkung 27 zu streichen:</w:t>
      </w:r>
    </w:p>
    <w:p w:rsidR="006F78EB" w:rsidRPr="002D3FF9" w:rsidRDefault="006F78EB" w:rsidP="006F78EB">
      <w:pPr>
        <w:spacing w:after="0"/>
        <w:ind w:right="566"/>
        <w:jc w:val="both"/>
        <w:rPr>
          <w:sz w:val="20"/>
          <w:lang w:val="de-DE"/>
        </w:rPr>
      </w:pPr>
    </w:p>
    <w:p w:rsidR="006F78EB" w:rsidRPr="002D3FF9" w:rsidRDefault="0055568E" w:rsidP="006F78EB">
      <w:pPr>
        <w:pStyle w:val="ListParagraph"/>
        <w:numPr>
          <w:ilvl w:val="0"/>
          <w:numId w:val="24"/>
        </w:numPr>
        <w:spacing w:after="0"/>
        <w:ind w:right="566"/>
        <w:jc w:val="both"/>
        <w:rPr>
          <w:sz w:val="20"/>
          <w:lang w:val="de-DE"/>
        </w:rPr>
      </w:pPr>
      <w:r w:rsidRPr="002D3FF9">
        <w:rPr>
          <w:sz w:val="20"/>
          <w:lang w:val="de-DE"/>
        </w:rPr>
        <w:t>fünf</w:t>
      </w:r>
      <w:r w:rsidR="006F78EB" w:rsidRPr="002D3FF9">
        <w:rPr>
          <w:sz w:val="20"/>
          <w:lang w:val="de-DE"/>
        </w:rPr>
        <w:t xml:space="preserve"> </w:t>
      </w:r>
      <w:r w:rsidR="00CB0799" w:rsidRPr="002D3FF9">
        <w:rPr>
          <w:sz w:val="20"/>
          <w:lang w:val="de-DE"/>
        </w:rPr>
        <w:t>Einträge</w:t>
      </w:r>
      <w:r w:rsidR="006F78EB" w:rsidRPr="002D3FF9">
        <w:rPr>
          <w:sz w:val="20"/>
          <w:lang w:val="de-DE"/>
        </w:rPr>
        <w:t xml:space="preserve"> der UN </w:t>
      </w:r>
      <w:r w:rsidRPr="002D3FF9">
        <w:rPr>
          <w:sz w:val="20"/>
          <w:lang w:val="de-DE"/>
        </w:rPr>
        <w:t>126</w:t>
      </w:r>
      <w:r w:rsidR="00847985" w:rsidRPr="002D3FF9">
        <w:rPr>
          <w:sz w:val="20"/>
          <w:lang w:val="de-DE"/>
        </w:rPr>
        <w:t>8</w:t>
      </w:r>
      <w:r w:rsidRPr="002D3FF9">
        <w:rPr>
          <w:sz w:val="20"/>
          <w:lang w:val="de-DE"/>
        </w:rPr>
        <w:t>,</w:t>
      </w:r>
      <w:r w:rsidR="006F78EB" w:rsidRPr="002D3FF9">
        <w:rPr>
          <w:sz w:val="20"/>
          <w:lang w:val="de-DE"/>
        </w:rPr>
        <w:t xml:space="preserve"> </w:t>
      </w:r>
      <w:r w:rsidRPr="002D3FF9">
        <w:rPr>
          <w:sz w:val="20"/>
          <w:lang w:val="de-DE"/>
        </w:rPr>
        <w:t>jeweils mit einem Benzen-Gehalt von mehr als 10 %</w:t>
      </w:r>
    </w:p>
    <w:p w:rsidR="006F78EB" w:rsidRPr="002D3FF9" w:rsidRDefault="006F78EB" w:rsidP="006F78EB">
      <w:pPr>
        <w:spacing w:after="0"/>
        <w:ind w:right="566"/>
        <w:jc w:val="both"/>
        <w:rPr>
          <w:sz w:val="20"/>
          <w:lang w:val="de-DE"/>
        </w:rPr>
      </w:pPr>
    </w:p>
    <w:p w:rsidR="006F78EB" w:rsidRPr="002D3FF9" w:rsidRDefault="006F78EB" w:rsidP="00CB0799">
      <w:pPr>
        <w:pStyle w:val="ListParagraph"/>
        <w:numPr>
          <w:ilvl w:val="0"/>
          <w:numId w:val="24"/>
        </w:numPr>
        <w:spacing w:after="0"/>
        <w:ind w:right="566"/>
        <w:jc w:val="both"/>
        <w:rPr>
          <w:sz w:val="20"/>
          <w:lang w:val="de-DE"/>
        </w:rPr>
      </w:pPr>
      <w:r w:rsidRPr="002D3FF9">
        <w:rPr>
          <w:sz w:val="20"/>
          <w:lang w:val="de-DE"/>
        </w:rPr>
        <w:t>ei</w:t>
      </w:r>
      <w:r w:rsidR="00CB0799" w:rsidRPr="002D3FF9">
        <w:rPr>
          <w:sz w:val="20"/>
          <w:lang w:val="de-DE"/>
        </w:rPr>
        <w:t>n</w:t>
      </w:r>
      <w:r w:rsidRPr="002D3FF9">
        <w:rPr>
          <w:sz w:val="20"/>
          <w:lang w:val="de-DE"/>
        </w:rPr>
        <w:t xml:space="preserve"> Ei</w:t>
      </w:r>
      <w:r w:rsidR="00CB0799" w:rsidRPr="002D3FF9">
        <w:rPr>
          <w:sz w:val="20"/>
          <w:lang w:val="de-DE"/>
        </w:rPr>
        <w:t>n</w:t>
      </w:r>
      <w:r w:rsidRPr="002D3FF9">
        <w:rPr>
          <w:sz w:val="20"/>
          <w:lang w:val="de-DE"/>
        </w:rPr>
        <w:t>trag der UN 3295</w:t>
      </w:r>
      <w:r w:rsidR="00CB0799" w:rsidRPr="002D3FF9">
        <w:rPr>
          <w:sz w:val="20"/>
          <w:lang w:val="de-DE"/>
        </w:rPr>
        <w:t xml:space="preserve"> KOHLENWASSERSTOFFE, FLÜSSIG, N.A.G., ISOPREN UND PENTADIEN ENTHALTEND, STABILISIERT und</w:t>
      </w:r>
    </w:p>
    <w:p w:rsidR="006F78EB" w:rsidRPr="002D3FF9" w:rsidRDefault="006F78EB" w:rsidP="006F78EB">
      <w:pPr>
        <w:pStyle w:val="ListParagraph"/>
        <w:spacing w:after="0"/>
        <w:ind w:left="709"/>
        <w:rPr>
          <w:sz w:val="20"/>
          <w:lang w:val="de-DE"/>
        </w:rPr>
      </w:pPr>
    </w:p>
    <w:p w:rsidR="009962C8" w:rsidRPr="002D3FF9" w:rsidRDefault="00CB0799" w:rsidP="006F78EB">
      <w:pPr>
        <w:pStyle w:val="ListParagraph"/>
        <w:numPr>
          <w:ilvl w:val="0"/>
          <w:numId w:val="24"/>
        </w:numPr>
        <w:spacing w:after="0"/>
        <w:ind w:right="566"/>
        <w:jc w:val="both"/>
        <w:rPr>
          <w:sz w:val="20"/>
          <w:lang w:val="de-DE"/>
        </w:rPr>
      </w:pPr>
      <w:r w:rsidRPr="002D3FF9">
        <w:rPr>
          <w:sz w:val="20"/>
          <w:lang w:val="de-DE"/>
        </w:rPr>
        <w:t>dr</w:t>
      </w:r>
      <w:r w:rsidR="006F78EB" w:rsidRPr="002D3FF9">
        <w:rPr>
          <w:sz w:val="20"/>
          <w:lang w:val="de-DE"/>
        </w:rPr>
        <w:t xml:space="preserve">ei </w:t>
      </w:r>
      <w:r w:rsidRPr="002D3FF9">
        <w:rPr>
          <w:sz w:val="20"/>
          <w:lang w:val="de-DE"/>
        </w:rPr>
        <w:t>Einträge</w:t>
      </w:r>
      <w:r w:rsidR="006F78EB" w:rsidRPr="002D3FF9">
        <w:rPr>
          <w:sz w:val="20"/>
          <w:lang w:val="de-DE"/>
        </w:rPr>
        <w:t xml:space="preserve"> der </w:t>
      </w:r>
      <w:r w:rsidRPr="002D3FF9">
        <w:rPr>
          <w:sz w:val="20"/>
          <w:lang w:val="de-DE"/>
        </w:rPr>
        <w:t>UN 3494</w:t>
      </w:r>
      <w:r w:rsidR="006F78EB" w:rsidRPr="002D3FF9">
        <w:rPr>
          <w:sz w:val="20"/>
          <w:lang w:val="de-DE"/>
        </w:rPr>
        <w:t>.</w:t>
      </w:r>
    </w:p>
    <w:p w:rsidR="009962C8" w:rsidRPr="002D3FF9" w:rsidRDefault="009962C8">
      <w:pPr>
        <w:spacing w:after="0"/>
        <w:rPr>
          <w:sz w:val="20"/>
          <w:lang w:val="de-DE"/>
        </w:rPr>
      </w:pPr>
    </w:p>
    <w:p w:rsidR="00302FCA" w:rsidRPr="002D3FF9" w:rsidRDefault="00302FCA" w:rsidP="00302FCA">
      <w:pPr>
        <w:spacing w:after="0"/>
        <w:ind w:right="566"/>
        <w:jc w:val="both"/>
        <w:rPr>
          <w:b/>
          <w:sz w:val="20"/>
          <w:u w:val="single"/>
          <w:lang w:val="de-DE"/>
        </w:rPr>
      </w:pPr>
      <w:r w:rsidRPr="002D3FF9">
        <w:rPr>
          <w:b/>
          <w:sz w:val="20"/>
          <w:u w:val="single"/>
          <w:lang w:val="de-DE"/>
        </w:rPr>
        <w:t>Vorschlag:</w:t>
      </w:r>
    </w:p>
    <w:p w:rsidR="00302FCA" w:rsidRPr="002D3FF9" w:rsidRDefault="00302FCA" w:rsidP="00302FCA">
      <w:pPr>
        <w:spacing w:after="0"/>
        <w:ind w:right="566"/>
        <w:jc w:val="both"/>
        <w:rPr>
          <w:sz w:val="20"/>
          <w:lang w:val="de-DE"/>
        </w:rPr>
      </w:pPr>
    </w:p>
    <w:p w:rsidR="00AC1192" w:rsidRPr="002D3FF9" w:rsidRDefault="00AC1192" w:rsidP="00AC1192">
      <w:pPr>
        <w:spacing w:after="0"/>
        <w:ind w:right="566"/>
        <w:jc w:val="both"/>
        <w:rPr>
          <w:sz w:val="20"/>
          <w:lang w:val="de-DE"/>
        </w:rPr>
      </w:pPr>
      <w:r w:rsidRPr="002D3FF9">
        <w:rPr>
          <w:sz w:val="20"/>
          <w:lang w:val="de-DE"/>
        </w:rPr>
        <w:t>9.</w:t>
      </w:r>
      <w:r w:rsidRPr="002D3FF9">
        <w:rPr>
          <w:sz w:val="20"/>
          <w:lang w:val="de-DE"/>
        </w:rPr>
        <w:tab/>
      </w:r>
      <w:r w:rsidR="006B439E" w:rsidRPr="002D3FF9">
        <w:rPr>
          <w:sz w:val="20"/>
          <w:lang w:val="de-DE"/>
        </w:rPr>
        <w:t>Zusätzlich</w:t>
      </w:r>
      <w:r w:rsidRPr="002D3FF9">
        <w:rPr>
          <w:sz w:val="20"/>
          <w:lang w:val="de-DE"/>
        </w:rPr>
        <w:t xml:space="preserve"> wird für die für das ADN 2019 beschlossenen Änderungen vorgeschlagen, für folgende </w:t>
      </w:r>
      <w:r w:rsidR="00F526DE" w:rsidRPr="002D3FF9">
        <w:rPr>
          <w:sz w:val="20"/>
          <w:lang w:val="de-DE"/>
        </w:rPr>
        <w:t>Einträge</w:t>
      </w:r>
      <w:r w:rsidRPr="002D3FF9">
        <w:rPr>
          <w:sz w:val="20"/>
          <w:lang w:val="de-DE"/>
        </w:rPr>
        <w:t xml:space="preserve"> in Spalte (20) der Tabelle C die Bemerkung 27 zu streichen:</w:t>
      </w:r>
    </w:p>
    <w:p w:rsidR="00AC1192" w:rsidRPr="002D3FF9" w:rsidRDefault="00AC1192" w:rsidP="00AC1192">
      <w:pPr>
        <w:spacing w:after="0"/>
        <w:ind w:right="566"/>
        <w:jc w:val="both"/>
        <w:rPr>
          <w:sz w:val="20"/>
          <w:lang w:val="de-DE"/>
        </w:rPr>
      </w:pPr>
    </w:p>
    <w:p w:rsidR="00AC1192" w:rsidRPr="002D3FF9" w:rsidRDefault="00AC1192" w:rsidP="00AC1192">
      <w:pPr>
        <w:pStyle w:val="ListParagraph"/>
        <w:numPr>
          <w:ilvl w:val="0"/>
          <w:numId w:val="24"/>
        </w:numPr>
        <w:spacing w:after="0"/>
        <w:ind w:right="566"/>
        <w:jc w:val="both"/>
        <w:rPr>
          <w:sz w:val="20"/>
          <w:lang w:val="de-DE"/>
        </w:rPr>
      </w:pPr>
      <w:r w:rsidRPr="002D3FF9">
        <w:rPr>
          <w:sz w:val="20"/>
          <w:lang w:val="de-DE"/>
        </w:rPr>
        <w:t xml:space="preserve">elf Einträge der UN </w:t>
      </w:r>
      <w:r w:rsidR="00E33401" w:rsidRPr="002D3FF9">
        <w:rPr>
          <w:sz w:val="20"/>
          <w:lang w:val="de-DE"/>
        </w:rPr>
        <w:t>1268</w:t>
      </w:r>
      <w:r w:rsidRPr="002D3FF9">
        <w:rPr>
          <w:sz w:val="20"/>
          <w:lang w:val="de-DE"/>
        </w:rPr>
        <w:t>, jeweils mit einem Benzen-Gehalt von mehr als 10 %</w:t>
      </w:r>
    </w:p>
    <w:p w:rsidR="00AC1192" w:rsidRPr="002D3FF9" w:rsidRDefault="00AC1192" w:rsidP="00AC1192">
      <w:pPr>
        <w:spacing w:after="0"/>
        <w:ind w:right="566"/>
        <w:jc w:val="both"/>
        <w:rPr>
          <w:sz w:val="20"/>
          <w:lang w:val="de-DE"/>
        </w:rPr>
      </w:pPr>
    </w:p>
    <w:p w:rsidR="00AC1192" w:rsidRPr="002D3FF9" w:rsidRDefault="00AC1192" w:rsidP="00AC1192">
      <w:pPr>
        <w:pStyle w:val="ListParagraph"/>
        <w:numPr>
          <w:ilvl w:val="0"/>
          <w:numId w:val="24"/>
        </w:numPr>
        <w:spacing w:after="0"/>
        <w:ind w:right="566"/>
        <w:jc w:val="both"/>
        <w:rPr>
          <w:sz w:val="20"/>
          <w:lang w:val="de-DE"/>
        </w:rPr>
      </w:pPr>
      <w:r w:rsidRPr="002D3FF9">
        <w:rPr>
          <w:sz w:val="20"/>
          <w:lang w:val="de-DE"/>
        </w:rPr>
        <w:t>ein Eintrag der UN 3295 KOHLENWASSERSTOFFE, FLÜSSIG, N.A.G., ISOPREN UND PENTADIEN ENTHALTEND, STABILISIERT und</w:t>
      </w:r>
    </w:p>
    <w:p w:rsidR="00AC1192" w:rsidRPr="002D3FF9" w:rsidRDefault="00AC1192" w:rsidP="00AC1192">
      <w:pPr>
        <w:pStyle w:val="ListParagraph"/>
        <w:spacing w:after="0"/>
        <w:ind w:left="709"/>
        <w:rPr>
          <w:sz w:val="20"/>
          <w:lang w:val="de-DE"/>
        </w:rPr>
      </w:pPr>
    </w:p>
    <w:p w:rsidR="00AC1192" w:rsidRPr="002D3FF9" w:rsidRDefault="00AC1192" w:rsidP="00AC1192">
      <w:pPr>
        <w:pStyle w:val="ListParagraph"/>
        <w:numPr>
          <w:ilvl w:val="0"/>
          <w:numId w:val="24"/>
        </w:numPr>
        <w:spacing w:after="0"/>
        <w:ind w:right="566"/>
        <w:jc w:val="both"/>
        <w:rPr>
          <w:sz w:val="20"/>
          <w:lang w:val="de-DE"/>
        </w:rPr>
      </w:pPr>
      <w:r w:rsidRPr="002D3FF9">
        <w:rPr>
          <w:sz w:val="20"/>
          <w:lang w:val="de-DE"/>
        </w:rPr>
        <w:t>drei Einträge der UN 3494.</w:t>
      </w:r>
    </w:p>
    <w:p w:rsidR="00F526DE" w:rsidRPr="002D3FF9" w:rsidRDefault="00F526DE" w:rsidP="00AC1192">
      <w:pPr>
        <w:spacing w:after="0"/>
        <w:ind w:right="566"/>
        <w:jc w:val="both"/>
        <w:rPr>
          <w:sz w:val="20"/>
          <w:lang w:val="de-DE"/>
        </w:rPr>
      </w:pPr>
    </w:p>
    <w:p w:rsidR="00E33401" w:rsidRPr="002D3FF9" w:rsidRDefault="00E33401" w:rsidP="00E33401">
      <w:pPr>
        <w:spacing w:after="0"/>
        <w:ind w:right="566"/>
        <w:jc w:val="both"/>
        <w:rPr>
          <w:sz w:val="20"/>
          <w:lang w:val="de-DE"/>
        </w:rPr>
      </w:pPr>
      <w:r w:rsidRPr="002D3FF9">
        <w:rPr>
          <w:sz w:val="20"/>
          <w:lang w:val="de-DE"/>
        </w:rPr>
        <w:t>10.</w:t>
      </w:r>
      <w:r w:rsidRPr="002D3FF9">
        <w:rPr>
          <w:sz w:val="20"/>
          <w:lang w:val="de-DE"/>
        </w:rPr>
        <w:tab/>
        <w:t>In Zusammenhang mit den Vorschlägen zur Bemerkung 27 regt die Informelle Arbeitsgruppe an zu prüfen, ob eine Überarbeitung der Beispiele in 3.1.2.8.1.4 für erforderlich gehalten wird.</w:t>
      </w:r>
    </w:p>
    <w:p w:rsidR="00E33401" w:rsidRPr="002D3FF9" w:rsidRDefault="00E33401" w:rsidP="00AC1192">
      <w:pPr>
        <w:spacing w:after="0"/>
        <w:ind w:right="566"/>
        <w:jc w:val="both"/>
        <w:rPr>
          <w:sz w:val="20"/>
          <w:lang w:val="de-DE"/>
        </w:rPr>
      </w:pPr>
    </w:p>
    <w:p w:rsidR="00F526DE" w:rsidRPr="002D3FF9" w:rsidRDefault="00F526DE" w:rsidP="00AC1192">
      <w:pPr>
        <w:spacing w:after="0"/>
        <w:ind w:right="566"/>
        <w:jc w:val="both"/>
        <w:rPr>
          <w:sz w:val="20"/>
          <w:lang w:val="de-DE"/>
        </w:rPr>
      </w:pPr>
    </w:p>
    <w:p w:rsidR="00F526DE" w:rsidRPr="00552E59" w:rsidRDefault="00F526DE" w:rsidP="00F526DE">
      <w:pPr>
        <w:spacing w:after="0"/>
        <w:ind w:left="570" w:right="566" w:hanging="570"/>
        <w:jc w:val="both"/>
        <w:rPr>
          <w:b/>
          <w:szCs w:val="24"/>
          <w:lang w:val="de-DE"/>
        </w:rPr>
      </w:pPr>
      <w:r w:rsidRPr="00552E59">
        <w:rPr>
          <w:b/>
          <w:szCs w:val="24"/>
          <w:lang w:val="de-DE"/>
        </w:rPr>
        <w:t>B.</w:t>
      </w:r>
      <w:r w:rsidRPr="00552E59">
        <w:rPr>
          <w:b/>
          <w:szCs w:val="24"/>
          <w:lang w:val="de-DE"/>
        </w:rPr>
        <w:tab/>
      </w:r>
      <w:r w:rsidRPr="00552E59">
        <w:rPr>
          <w:b/>
          <w:bCs/>
          <w:szCs w:val="24"/>
          <w:lang w:val="de-DE"/>
        </w:rPr>
        <w:t>Benennung für die Beförderung in Tabelle A und Tabelle C</w:t>
      </w:r>
    </w:p>
    <w:p w:rsidR="00AC1192" w:rsidRPr="002D3FF9" w:rsidRDefault="00AC1192" w:rsidP="00881DBA">
      <w:pPr>
        <w:spacing w:after="0"/>
        <w:ind w:right="566"/>
        <w:jc w:val="both"/>
        <w:rPr>
          <w:sz w:val="20"/>
          <w:lang w:val="de-DE"/>
        </w:rPr>
      </w:pPr>
    </w:p>
    <w:p w:rsidR="00F92A7A" w:rsidRPr="002D3FF9" w:rsidRDefault="00E33401" w:rsidP="00F92A7A">
      <w:pPr>
        <w:spacing w:after="0"/>
        <w:ind w:right="566"/>
        <w:jc w:val="both"/>
        <w:rPr>
          <w:sz w:val="20"/>
          <w:lang w:val="de-DE"/>
        </w:rPr>
      </w:pPr>
      <w:r w:rsidRPr="002D3FF9">
        <w:rPr>
          <w:sz w:val="20"/>
          <w:lang w:val="de-DE"/>
        </w:rPr>
        <w:t>11</w:t>
      </w:r>
      <w:r w:rsidR="00F526DE" w:rsidRPr="002D3FF9">
        <w:rPr>
          <w:sz w:val="20"/>
          <w:lang w:val="de-DE"/>
        </w:rPr>
        <w:t>.</w:t>
      </w:r>
      <w:r w:rsidR="00F526DE" w:rsidRPr="002D3FF9">
        <w:rPr>
          <w:sz w:val="20"/>
          <w:lang w:val="de-DE"/>
        </w:rPr>
        <w:tab/>
        <w:t>Bei der Diskussion zu diesem Thema hat sich die informelle Arbeitsgruppe auf folgende Eckpunkte verständigt:</w:t>
      </w:r>
    </w:p>
    <w:p w:rsidR="00F92A7A" w:rsidRPr="002D3FF9" w:rsidRDefault="00F92A7A" w:rsidP="00552E59">
      <w:pPr>
        <w:pStyle w:val="ListParagraph"/>
        <w:numPr>
          <w:ilvl w:val="0"/>
          <w:numId w:val="25"/>
        </w:numPr>
        <w:spacing w:before="120" w:after="120"/>
        <w:ind w:left="714" w:right="567" w:hanging="357"/>
        <w:jc w:val="both"/>
        <w:rPr>
          <w:sz w:val="20"/>
          <w:lang w:val="de-DE"/>
        </w:rPr>
      </w:pPr>
      <w:r w:rsidRPr="002D3FF9">
        <w:rPr>
          <w:sz w:val="20"/>
          <w:lang w:val="de-DE"/>
        </w:rPr>
        <w:t xml:space="preserve">Grundsätzlich sollte </w:t>
      </w:r>
      <w:r w:rsidR="006035A9" w:rsidRPr="002D3FF9">
        <w:rPr>
          <w:sz w:val="20"/>
          <w:lang w:val="de-DE"/>
        </w:rPr>
        <w:t xml:space="preserve">zwischen der Tabelle A und der Tabelle C </w:t>
      </w:r>
      <w:r w:rsidRPr="002D3FF9">
        <w:rPr>
          <w:sz w:val="20"/>
          <w:lang w:val="de-DE"/>
        </w:rPr>
        <w:t>eine Harmonisierung der Ben</w:t>
      </w:r>
      <w:r w:rsidR="006035A9" w:rsidRPr="002D3FF9">
        <w:rPr>
          <w:sz w:val="20"/>
          <w:lang w:val="de-DE"/>
        </w:rPr>
        <w:t>ennungen erfolgen. Allerdings hat die informelle Arbeitsgruppe auch festgestellt, dass es eine ganze Reihe von Unterschieden in den Benennungen zwischen den Tabellen A und C gibt, die gerechtfertigt sind. Dies gilt insbesondere für Fälle, bei denen in Tabelle C für die Festlegung spezifischer Beförderungsbedingungen die Benennung durch die Angabe von konkreten technischen Bezeichnungen oder durch zusätzliche Angaben (z.B. Benzen-Gehalt, Siedebeginn) ergänzt wurde.</w:t>
      </w:r>
    </w:p>
    <w:p w:rsidR="00F92A7A" w:rsidRPr="002D3FF9" w:rsidRDefault="006035A9" w:rsidP="006035A9">
      <w:pPr>
        <w:pStyle w:val="ListParagraph"/>
        <w:numPr>
          <w:ilvl w:val="0"/>
          <w:numId w:val="25"/>
        </w:numPr>
        <w:spacing w:after="120"/>
        <w:ind w:left="714" w:right="567" w:hanging="357"/>
        <w:jc w:val="both"/>
        <w:rPr>
          <w:sz w:val="20"/>
          <w:lang w:val="de-DE"/>
        </w:rPr>
      </w:pPr>
      <w:r w:rsidRPr="002D3FF9">
        <w:rPr>
          <w:sz w:val="20"/>
          <w:lang w:val="de-DE"/>
        </w:rPr>
        <w:t xml:space="preserve">Nach Möglichkeit sollte eine Anpassung der </w:t>
      </w:r>
      <w:r w:rsidR="00C43892" w:rsidRPr="002D3FF9">
        <w:rPr>
          <w:sz w:val="20"/>
          <w:lang w:val="de-DE"/>
        </w:rPr>
        <w:t>Tabelle C an die Tabelle A erfolgen, um eine weitgehen</w:t>
      </w:r>
      <w:r w:rsidR="00B8177F" w:rsidRPr="002D3FF9">
        <w:rPr>
          <w:sz w:val="20"/>
          <w:lang w:val="de-DE"/>
        </w:rPr>
        <w:t>de</w:t>
      </w:r>
      <w:r w:rsidR="00C43892" w:rsidRPr="002D3FF9">
        <w:rPr>
          <w:sz w:val="20"/>
          <w:lang w:val="de-DE"/>
        </w:rPr>
        <w:t xml:space="preserve"> Harmonisierung mit anderen Verkehrsträgern zu gewährleisten.</w:t>
      </w:r>
    </w:p>
    <w:p w:rsidR="00F92A7A" w:rsidRPr="002D3FF9" w:rsidRDefault="006B439E" w:rsidP="006035A9">
      <w:pPr>
        <w:pStyle w:val="ListParagraph"/>
        <w:numPr>
          <w:ilvl w:val="0"/>
          <w:numId w:val="25"/>
        </w:numPr>
        <w:spacing w:after="120"/>
        <w:ind w:left="714" w:right="567" w:hanging="357"/>
        <w:jc w:val="both"/>
        <w:rPr>
          <w:sz w:val="20"/>
          <w:lang w:val="de-DE"/>
        </w:rPr>
      </w:pPr>
      <w:r w:rsidRPr="002D3FF9">
        <w:rPr>
          <w:sz w:val="20"/>
          <w:lang w:val="de-DE"/>
        </w:rPr>
        <w:t>D</w:t>
      </w:r>
      <w:r w:rsidR="00C43892" w:rsidRPr="002D3FF9">
        <w:rPr>
          <w:sz w:val="20"/>
          <w:lang w:val="de-DE"/>
        </w:rPr>
        <w:t xml:space="preserve">ie </w:t>
      </w:r>
      <w:r w:rsidR="00705FBA" w:rsidRPr="002D3FF9">
        <w:rPr>
          <w:sz w:val="20"/>
          <w:lang w:val="de-DE"/>
        </w:rPr>
        <w:t xml:space="preserve">Vorschrift </w:t>
      </w:r>
      <w:r w:rsidRPr="002D3FF9">
        <w:rPr>
          <w:sz w:val="20"/>
          <w:lang w:val="de-DE"/>
        </w:rPr>
        <w:t>sieht vor</w:t>
      </w:r>
      <w:r w:rsidR="00C43892" w:rsidRPr="002D3FF9">
        <w:rPr>
          <w:sz w:val="20"/>
          <w:lang w:val="de-DE"/>
        </w:rPr>
        <w:t xml:space="preserve">, </w:t>
      </w:r>
      <w:r w:rsidRPr="002D3FF9">
        <w:rPr>
          <w:sz w:val="20"/>
          <w:lang w:val="de-DE"/>
        </w:rPr>
        <w:t xml:space="preserve">dass </w:t>
      </w:r>
      <w:r w:rsidR="00C43892" w:rsidRPr="002D3FF9">
        <w:rPr>
          <w:sz w:val="20"/>
          <w:lang w:val="de-DE"/>
        </w:rPr>
        <w:t>verschiedene Eintragungen zu einer UN-Nummer durch die Konjunktionen „und“ oder „oder“ in Kleinbuchstaben oder durch Komma getrennt angegeben werden</w:t>
      </w:r>
      <w:r w:rsidRPr="002D3FF9">
        <w:rPr>
          <w:sz w:val="20"/>
          <w:lang w:val="de-DE"/>
        </w:rPr>
        <w:t xml:space="preserve"> und dass alternative offizielle Benennungen in Klammern ergänzt werden. Eine Reihe von Unterschieden zwischen der Tabelle A und der Tabelle C resultiert aus der Tatsache, dass diese Regel, insbesondere in Tabelle C, nicht in allen Fällen umgesetzt w</w:t>
      </w:r>
      <w:r w:rsidR="00705FBA" w:rsidRPr="002D3FF9">
        <w:rPr>
          <w:sz w:val="20"/>
          <w:lang w:val="de-DE"/>
        </w:rPr>
        <w:t>u</w:t>
      </w:r>
      <w:r w:rsidRPr="002D3FF9">
        <w:rPr>
          <w:sz w:val="20"/>
          <w:lang w:val="de-DE"/>
        </w:rPr>
        <w:t>rd</w:t>
      </w:r>
      <w:r w:rsidR="00705FBA" w:rsidRPr="002D3FF9">
        <w:rPr>
          <w:sz w:val="20"/>
          <w:lang w:val="de-DE"/>
        </w:rPr>
        <w:t>e</w:t>
      </w:r>
      <w:r w:rsidRPr="002D3FF9">
        <w:rPr>
          <w:sz w:val="20"/>
          <w:lang w:val="de-DE"/>
        </w:rPr>
        <w:t>.</w:t>
      </w:r>
    </w:p>
    <w:p w:rsidR="00F92A7A" w:rsidRPr="002D3FF9" w:rsidRDefault="00F92A7A" w:rsidP="006035A9">
      <w:pPr>
        <w:pStyle w:val="ListParagraph"/>
        <w:numPr>
          <w:ilvl w:val="0"/>
          <w:numId w:val="25"/>
        </w:numPr>
        <w:spacing w:after="120"/>
        <w:ind w:left="714" w:right="567" w:hanging="357"/>
        <w:jc w:val="both"/>
        <w:rPr>
          <w:sz w:val="20"/>
          <w:lang w:val="de-DE"/>
        </w:rPr>
      </w:pPr>
      <w:r w:rsidRPr="002D3FF9">
        <w:rPr>
          <w:sz w:val="20"/>
          <w:lang w:val="de-DE"/>
        </w:rPr>
        <w:t xml:space="preserve">In 3.2.3.1 Erläuterungen zur Tabelle C, Spalte (2) sollte eine Bemerkung aufgenommen werden, die </w:t>
      </w:r>
      <w:r w:rsidR="00705FBA" w:rsidRPr="002D3FF9">
        <w:rPr>
          <w:sz w:val="20"/>
          <w:lang w:val="de-DE"/>
        </w:rPr>
        <w:t>klarstellt</w:t>
      </w:r>
      <w:r w:rsidRPr="002D3FF9">
        <w:rPr>
          <w:sz w:val="20"/>
          <w:lang w:val="de-DE"/>
        </w:rPr>
        <w:t>, dass es auch beschreibende Texte in Großbuchstaben geben kann, die dann verpflichtender Bestandteil der offiziellen Benennung sind.</w:t>
      </w:r>
    </w:p>
    <w:p w:rsidR="00F92A7A" w:rsidRPr="002D3FF9" w:rsidRDefault="00705FBA" w:rsidP="00A12DFF">
      <w:pPr>
        <w:spacing w:after="120"/>
        <w:ind w:right="567"/>
        <w:jc w:val="both"/>
        <w:rPr>
          <w:sz w:val="20"/>
          <w:lang w:val="de-DE"/>
        </w:rPr>
      </w:pPr>
      <w:r w:rsidRPr="002D3FF9">
        <w:rPr>
          <w:sz w:val="20"/>
          <w:lang w:val="de-DE"/>
        </w:rPr>
        <w:t>Im Ergebnis der Diskussion werden durch die informelle Arbeitsgruppe Änderungen vorgeschlagen.</w:t>
      </w:r>
    </w:p>
    <w:p w:rsidR="00A12DFF" w:rsidRDefault="00A12DFF">
      <w:pPr>
        <w:spacing w:after="0"/>
        <w:rPr>
          <w:b/>
          <w:sz w:val="20"/>
          <w:u w:val="single"/>
          <w:lang w:val="de-DE"/>
        </w:rPr>
      </w:pPr>
      <w:r>
        <w:rPr>
          <w:b/>
          <w:sz w:val="20"/>
          <w:u w:val="single"/>
          <w:lang w:val="de-DE"/>
        </w:rPr>
        <w:br w:type="page"/>
      </w:r>
    </w:p>
    <w:p w:rsidR="00302FCA" w:rsidRPr="002D3FF9" w:rsidRDefault="00302FCA" w:rsidP="00302FCA">
      <w:pPr>
        <w:spacing w:after="0"/>
        <w:ind w:right="566"/>
        <w:jc w:val="both"/>
        <w:rPr>
          <w:b/>
          <w:sz w:val="20"/>
          <w:u w:val="single"/>
          <w:lang w:val="de-DE"/>
        </w:rPr>
      </w:pPr>
      <w:r w:rsidRPr="002D3FF9">
        <w:rPr>
          <w:b/>
          <w:sz w:val="20"/>
          <w:u w:val="single"/>
          <w:lang w:val="de-DE"/>
        </w:rPr>
        <w:lastRenderedPageBreak/>
        <w:t>Vorschlag:</w:t>
      </w:r>
    </w:p>
    <w:p w:rsidR="00302FCA" w:rsidRPr="002D3FF9" w:rsidRDefault="00302FCA" w:rsidP="00302FCA">
      <w:pPr>
        <w:spacing w:after="0"/>
        <w:ind w:right="566"/>
        <w:jc w:val="both"/>
        <w:rPr>
          <w:sz w:val="20"/>
          <w:lang w:val="de-DE"/>
        </w:rPr>
      </w:pPr>
    </w:p>
    <w:p w:rsidR="00AC1192" w:rsidRPr="002D3FF9" w:rsidRDefault="00E33401" w:rsidP="00881DBA">
      <w:pPr>
        <w:spacing w:after="0"/>
        <w:ind w:right="566"/>
        <w:jc w:val="both"/>
        <w:rPr>
          <w:sz w:val="20"/>
          <w:lang w:val="de-DE"/>
        </w:rPr>
      </w:pPr>
      <w:r w:rsidRPr="002D3FF9">
        <w:rPr>
          <w:sz w:val="20"/>
          <w:lang w:val="de-DE"/>
        </w:rPr>
        <w:t>12</w:t>
      </w:r>
      <w:r w:rsidR="00705FBA" w:rsidRPr="002D3FF9">
        <w:rPr>
          <w:sz w:val="20"/>
          <w:lang w:val="de-DE"/>
        </w:rPr>
        <w:t>.</w:t>
      </w:r>
      <w:r w:rsidR="00705FBA" w:rsidRPr="002D3FF9">
        <w:rPr>
          <w:sz w:val="20"/>
          <w:lang w:val="de-DE"/>
        </w:rPr>
        <w:tab/>
      </w:r>
      <w:r w:rsidR="003148C5" w:rsidRPr="002D3FF9">
        <w:rPr>
          <w:sz w:val="20"/>
          <w:lang w:val="de-DE"/>
        </w:rPr>
        <w:t>In der Tabelle C gibt es einen Eintrag für UN 2288 ISOHEXENE. Dem entsprechend wird vorgeschlagen, für UN 2288 ISOHEXENE in der Tabelle A in Spalte (8) „T“ zu ergänzen.</w:t>
      </w:r>
    </w:p>
    <w:p w:rsidR="003148C5" w:rsidRPr="002D3FF9" w:rsidRDefault="003148C5" w:rsidP="00881DBA">
      <w:pPr>
        <w:spacing w:after="0"/>
        <w:ind w:right="566"/>
        <w:jc w:val="both"/>
        <w:rPr>
          <w:sz w:val="20"/>
          <w:lang w:val="de-DE"/>
        </w:rPr>
      </w:pPr>
    </w:p>
    <w:p w:rsidR="00E33401" w:rsidRPr="002D3FF9" w:rsidRDefault="00E33401" w:rsidP="00E33401">
      <w:pPr>
        <w:spacing w:after="0"/>
        <w:ind w:right="566"/>
        <w:jc w:val="both"/>
        <w:rPr>
          <w:b/>
          <w:sz w:val="20"/>
          <w:u w:val="single"/>
          <w:lang w:val="de-DE"/>
        </w:rPr>
      </w:pPr>
      <w:r w:rsidRPr="002D3FF9">
        <w:rPr>
          <w:b/>
          <w:sz w:val="20"/>
          <w:u w:val="single"/>
          <w:lang w:val="de-DE"/>
        </w:rPr>
        <w:t>Vorschlag:</w:t>
      </w:r>
    </w:p>
    <w:p w:rsidR="00E33401" w:rsidRPr="002D3FF9" w:rsidRDefault="00E33401" w:rsidP="00E33401">
      <w:pPr>
        <w:tabs>
          <w:tab w:val="left" w:pos="847"/>
        </w:tabs>
        <w:spacing w:after="0"/>
        <w:ind w:right="566"/>
        <w:jc w:val="both"/>
        <w:rPr>
          <w:sz w:val="20"/>
          <w:lang w:val="de-DE"/>
        </w:rPr>
      </w:pPr>
    </w:p>
    <w:p w:rsidR="00E33401" w:rsidRPr="002D3FF9" w:rsidRDefault="00E33401" w:rsidP="00E33401">
      <w:pPr>
        <w:spacing w:after="0"/>
        <w:ind w:right="566"/>
        <w:jc w:val="both"/>
        <w:rPr>
          <w:sz w:val="20"/>
          <w:lang w:val="de-DE"/>
        </w:rPr>
      </w:pPr>
      <w:r w:rsidRPr="002D3FF9">
        <w:rPr>
          <w:sz w:val="20"/>
          <w:lang w:val="de-DE"/>
        </w:rPr>
        <w:t>13.</w:t>
      </w:r>
      <w:r w:rsidRPr="002D3FF9">
        <w:rPr>
          <w:sz w:val="20"/>
          <w:lang w:val="de-DE"/>
        </w:rPr>
        <w:tab/>
        <w:t xml:space="preserve">Für die Harmonisierung mit der Tabelle A </w:t>
      </w:r>
      <w:r w:rsidR="002D3FF9">
        <w:rPr>
          <w:sz w:val="20"/>
          <w:lang w:val="de-DE"/>
        </w:rPr>
        <w:t xml:space="preserve">soll </w:t>
      </w:r>
      <w:r w:rsidRPr="002D3FF9">
        <w:rPr>
          <w:sz w:val="20"/>
          <w:lang w:val="de-DE"/>
        </w:rPr>
        <w:t xml:space="preserve">für UN 1823 NATRIUMHYDROXID „, FEST“ </w:t>
      </w:r>
      <w:r w:rsidR="002D3FF9">
        <w:rPr>
          <w:sz w:val="20"/>
          <w:lang w:val="de-DE"/>
        </w:rPr>
        <w:t xml:space="preserve">in Tabelle C </w:t>
      </w:r>
      <w:r w:rsidRPr="002D3FF9">
        <w:rPr>
          <w:sz w:val="20"/>
          <w:lang w:val="de-DE"/>
        </w:rPr>
        <w:t>ergänzt werden.</w:t>
      </w:r>
    </w:p>
    <w:p w:rsidR="00E33401" w:rsidRPr="002D3FF9" w:rsidRDefault="00E33401" w:rsidP="00881DBA">
      <w:pPr>
        <w:spacing w:after="0"/>
        <w:ind w:right="566"/>
        <w:jc w:val="both"/>
        <w:rPr>
          <w:sz w:val="20"/>
          <w:lang w:val="de-DE"/>
        </w:rPr>
      </w:pPr>
    </w:p>
    <w:p w:rsidR="00302FCA" w:rsidRPr="002D3FF9" w:rsidRDefault="00302FCA" w:rsidP="00302FCA">
      <w:pPr>
        <w:spacing w:after="0"/>
        <w:ind w:right="566"/>
        <w:jc w:val="both"/>
        <w:rPr>
          <w:b/>
          <w:sz w:val="20"/>
          <w:u w:val="single"/>
          <w:lang w:val="de-DE"/>
        </w:rPr>
      </w:pPr>
      <w:r w:rsidRPr="002D3FF9">
        <w:rPr>
          <w:b/>
          <w:sz w:val="20"/>
          <w:u w:val="single"/>
          <w:lang w:val="de-DE"/>
        </w:rPr>
        <w:t>Vorschlag:</w:t>
      </w:r>
    </w:p>
    <w:p w:rsidR="00302FCA" w:rsidRPr="002D3FF9" w:rsidRDefault="00302FCA" w:rsidP="00302FCA">
      <w:pPr>
        <w:spacing w:after="0"/>
        <w:ind w:right="566"/>
        <w:jc w:val="both"/>
        <w:rPr>
          <w:sz w:val="20"/>
          <w:lang w:val="de-DE"/>
        </w:rPr>
      </w:pPr>
    </w:p>
    <w:p w:rsidR="009C72E9" w:rsidRPr="002D3FF9" w:rsidRDefault="00E33401" w:rsidP="009C72E9">
      <w:pPr>
        <w:spacing w:after="0"/>
        <w:ind w:right="566"/>
        <w:jc w:val="both"/>
        <w:rPr>
          <w:sz w:val="20"/>
          <w:lang w:val="de-DE"/>
        </w:rPr>
      </w:pPr>
      <w:r w:rsidRPr="002D3FF9">
        <w:rPr>
          <w:sz w:val="20"/>
          <w:lang w:val="de-DE"/>
        </w:rPr>
        <w:t>14</w:t>
      </w:r>
      <w:r w:rsidR="003148C5" w:rsidRPr="002D3FF9">
        <w:rPr>
          <w:sz w:val="20"/>
          <w:lang w:val="de-DE"/>
        </w:rPr>
        <w:t>.</w:t>
      </w:r>
      <w:r w:rsidR="003148C5" w:rsidRPr="002D3FF9">
        <w:rPr>
          <w:sz w:val="20"/>
          <w:lang w:val="de-DE"/>
        </w:rPr>
        <w:tab/>
      </w:r>
      <w:r w:rsidR="009C72E9" w:rsidRPr="002D3FF9">
        <w:rPr>
          <w:sz w:val="20"/>
          <w:lang w:val="de-DE"/>
        </w:rPr>
        <w:t>Für die drei Einträge der Stoffnummer 9003 in Tabelle C wird vorgeschlagen</w:t>
      </w:r>
      <w:r w:rsidR="00E15EAD" w:rsidRPr="002D3FF9">
        <w:rPr>
          <w:sz w:val="20"/>
          <w:lang w:val="de-DE"/>
        </w:rPr>
        <w:t xml:space="preserve"> in Spalte (2)</w:t>
      </w:r>
      <w:r w:rsidR="009C72E9" w:rsidRPr="002D3FF9">
        <w:rPr>
          <w:sz w:val="20"/>
          <w:lang w:val="de-DE"/>
        </w:rPr>
        <w:t>, den Teil „oder STOFFE MIT 60 °C &lt; Fp ≤ 100 °C“ zu streichen.</w:t>
      </w:r>
    </w:p>
    <w:p w:rsidR="00563DCC" w:rsidRPr="002D3FF9" w:rsidRDefault="00563DCC">
      <w:pPr>
        <w:spacing w:after="0"/>
        <w:rPr>
          <w:b/>
          <w:sz w:val="20"/>
          <w:u w:val="single"/>
          <w:lang w:val="de-DE"/>
        </w:rPr>
      </w:pPr>
    </w:p>
    <w:p w:rsidR="00302FCA" w:rsidRPr="002D3FF9" w:rsidRDefault="00302FCA" w:rsidP="00302FCA">
      <w:pPr>
        <w:spacing w:after="0"/>
        <w:ind w:right="566"/>
        <w:jc w:val="both"/>
        <w:rPr>
          <w:b/>
          <w:sz w:val="20"/>
          <w:u w:val="single"/>
          <w:lang w:val="de-DE"/>
        </w:rPr>
      </w:pPr>
      <w:r w:rsidRPr="002D3FF9">
        <w:rPr>
          <w:b/>
          <w:sz w:val="20"/>
          <w:u w:val="single"/>
          <w:lang w:val="de-DE"/>
        </w:rPr>
        <w:t>Vorschlag:</w:t>
      </w:r>
    </w:p>
    <w:p w:rsidR="00302FCA" w:rsidRPr="002D3FF9" w:rsidRDefault="00302FCA" w:rsidP="00302FCA">
      <w:pPr>
        <w:spacing w:after="0"/>
        <w:ind w:right="566"/>
        <w:jc w:val="both"/>
        <w:rPr>
          <w:sz w:val="20"/>
          <w:lang w:val="de-DE"/>
        </w:rPr>
      </w:pPr>
    </w:p>
    <w:p w:rsidR="009C72E9" w:rsidRPr="002D3FF9" w:rsidRDefault="00E33401" w:rsidP="009C72E9">
      <w:pPr>
        <w:spacing w:after="0"/>
        <w:ind w:right="566"/>
        <w:jc w:val="both"/>
        <w:rPr>
          <w:sz w:val="20"/>
          <w:lang w:val="de-DE"/>
        </w:rPr>
      </w:pPr>
      <w:r w:rsidRPr="002D3FF9">
        <w:rPr>
          <w:sz w:val="20"/>
          <w:lang w:val="de-DE"/>
        </w:rPr>
        <w:t>15</w:t>
      </w:r>
      <w:r w:rsidR="009C72E9" w:rsidRPr="002D3FF9">
        <w:rPr>
          <w:sz w:val="20"/>
          <w:lang w:val="de-DE"/>
        </w:rPr>
        <w:t>.</w:t>
      </w:r>
      <w:r w:rsidR="009C72E9" w:rsidRPr="002D3FF9">
        <w:rPr>
          <w:sz w:val="20"/>
          <w:lang w:val="de-DE"/>
        </w:rPr>
        <w:tab/>
        <w:t>Es wird vorgeschlagen, in Tabelle C die Benennung für UN 1010 BUTA-1,2-DIEN, STABILISIERT zu ergänzen, so dass sie wie folgt lautet: „BUTADIENE (BUTA-1,2-DIEN), STABILISIERT“.</w:t>
      </w:r>
    </w:p>
    <w:p w:rsidR="00A12DFF" w:rsidRDefault="00A12DFF" w:rsidP="00881DBA">
      <w:pPr>
        <w:spacing w:after="0"/>
        <w:ind w:right="566"/>
        <w:jc w:val="both"/>
        <w:rPr>
          <w:sz w:val="20"/>
          <w:lang w:val="de-DE"/>
        </w:rPr>
      </w:pPr>
    </w:p>
    <w:p w:rsidR="00AC1192" w:rsidRPr="002D3FF9" w:rsidRDefault="009D5B89" w:rsidP="00881DBA">
      <w:pPr>
        <w:spacing w:after="0"/>
        <w:ind w:right="566"/>
        <w:jc w:val="both"/>
        <w:rPr>
          <w:sz w:val="20"/>
          <w:lang w:val="de-DE"/>
        </w:rPr>
      </w:pPr>
      <w:r w:rsidRPr="002D3FF9">
        <w:rPr>
          <w:sz w:val="20"/>
          <w:lang w:val="de-DE"/>
        </w:rPr>
        <w:t xml:space="preserve">In gleicher Weise wird </w:t>
      </w:r>
      <w:r w:rsidR="009C72E9" w:rsidRPr="002D3FF9">
        <w:rPr>
          <w:sz w:val="20"/>
          <w:lang w:val="de-DE"/>
        </w:rPr>
        <w:t xml:space="preserve">vorgeschlagen, </w:t>
      </w:r>
      <w:r w:rsidRPr="002D3FF9">
        <w:rPr>
          <w:sz w:val="20"/>
          <w:lang w:val="de-DE"/>
        </w:rPr>
        <w:t xml:space="preserve">in Tabelle C </w:t>
      </w:r>
      <w:r w:rsidR="009C72E9" w:rsidRPr="002D3FF9">
        <w:rPr>
          <w:sz w:val="20"/>
          <w:lang w:val="de-DE"/>
        </w:rPr>
        <w:t>die Benennung für UN 1010 BUTA-1,3-DIEN, STABILISIERT zu ergänzen, so dass sie wie folgt lautet: „BUTADIENE (BUTA-1,3-DIEN), STABILISIERT“.</w:t>
      </w:r>
    </w:p>
    <w:p w:rsidR="009962C8" w:rsidRPr="002D3FF9" w:rsidRDefault="009962C8">
      <w:pPr>
        <w:spacing w:after="0"/>
        <w:rPr>
          <w:b/>
          <w:sz w:val="20"/>
          <w:u w:val="single"/>
          <w:lang w:val="de-DE"/>
        </w:rPr>
      </w:pPr>
    </w:p>
    <w:p w:rsidR="00302FCA" w:rsidRPr="002D3FF9" w:rsidRDefault="00302FCA" w:rsidP="00302FCA">
      <w:pPr>
        <w:spacing w:after="0"/>
        <w:ind w:right="566"/>
        <w:jc w:val="both"/>
        <w:rPr>
          <w:b/>
          <w:sz w:val="20"/>
          <w:u w:val="single"/>
          <w:lang w:val="de-DE"/>
        </w:rPr>
      </w:pPr>
      <w:r w:rsidRPr="002D3FF9">
        <w:rPr>
          <w:b/>
          <w:sz w:val="20"/>
          <w:u w:val="single"/>
          <w:lang w:val="de-DE"/>
        </w:rPr>
        <w:t>Vorschlag:</w:t>
      </w:r>
    </w:p>
    <w:p w:rsidR="00302FCA" w:rsidRPr="002D3FF9" w:rsidRDefault="00302FCA" w:rsidP="00302FCA">
      <w:pPr>
        <w:spacing w:after="0"/>
        <w:ind w:right="566"/>
        <w:jc w:val="both"/>
        <w:rPr>
          <w:sz w:val="20"/>
          <w:lang w:val="de-DE"/>
        </w:rPr>
      </w:pPr>
    </w:p>
    <w:p w:rsidR="00AC1192" w:rsidRPr="002D3FF9" w:rsidRDefault="00E33401" w:rsidP="00881DBA">
      <w:pPr>
        <w:spacing w:after="0"/>
        <w:ind w:right="566"/>
        <w:jc w:val="both"/>
        <w:rPr>
          <w:sz w:val="20"/>
          <w:lang w:val="de-DE"/>
        </w:rPr>
      </w:pPr>
      <w:r w:rsidRPr="002D3FF9">
        <w:rPr>
          <w:sz w:val="20"/>
          <w:lang w:val="de-DE"/>
        </w:rPr>
        <w:t>16</w:t>
      </w:r>
      <w:r w:rsidR="009C72E9" w:rsidRPr="002D3FF9">
        <w:rPr>
          <w:sz w:val="20"/>
          <w:lang w:val="de-DE"/>
        </w:rPr>
        <w:t>.</w:t>
      </w:r>
      <w:r w:rsidR="009C72E9" w:rsidRPr="002D3FF9">
        <w:rPr>
          <w:sz w:val="20"/>
          <w:lang w:val="de-DE"/>
        </w:rPr>
        <w:tab/>
      </w:r>
      <w:r w:rsidR="00D5492C" w:rsidRPr="002D3FF9">
        <w:rPr>
          <w:sz w:val="20"/>
          <w:lang w:val="de-DE"/>
        </w:rPr>
        <w:t>Basierend auf der Regel, dass alternative offizielle Benennungen in Klammern ergänzt werden sollen, schlägt die informelle Arbeitsgruppe vor, in Tabelle C bei den Einträgen der UN-Nummern 1020, 1108, 1131, 1193,</w:t>
      </w:r>
      <w:r w:rsidR="00552E59">
        <w:rPr>
          <w:sz w:val="20"/>
          <w:lang w:val="de-DE"/>
        </w:rPr>
        <w:t xml:space="preserve"> </w:t>
      </w:r>
      <w:r w:rsidR="00D5492C" w:rsidRPr="002D3FF9">
        <w:rPr>
          <w:sz w:val="20"/>
          <w:lang w:val="de-DE"/>
        </w:rPr>
        <w:t>1212,</w:t>
      </w:r>
      <w:r w:rsidR="00552E59">
        <w:rPr>
          <w:sz w:val="20"/>
          <w:lang w:val="de-DE"/>
        </w:rPr>
        <w:t xml:space="preserve"> </w:t>
      </w:r>
      <w:r w:rsidR="00D5492C" w:rsidRPr="002D3FF9">
        <w:rPr>
          <w:sz w:val="20"/>
          <w:lang w:val="de-DE"/>
        </w:rPr>
        <w:t xml:space="preserve">1219, 2850 und bei den beiden Einträgen der UN-Nummer 1274 „oder“ zu streichen und die alternative Benennung </w:t>
      </w:r>
      <w:r w:rsidR="00E15EAD" w:rsidRPr="002D3FF9">
        <w:rPr>
          <w:sz w:val="20"/>
          <w:lang w:val="de-DE"/>
        </w:rPr>
        <w:t xml:space="preserve">in Kleinbuchstaben </w:t>
      </w:r>
      <w:r w:rsidR="00D5492C" w:rsidRPr="002D3FF9">
        <w:rPr>
          <w:sz w:val="20"/>
          <w:lang w:val="de-DE"/>
        </w:rPr>
        <w:t>in Klammern zu setzen.</w:t>
      </w:r>
    </w:p>
    <w:p w:rsidR="009C72E9" w:rsidRPr="002D3FF9" w:rsidRDefault="009C72E9" w:rsidP="00881DBA">
      <w:pPr>
        <w:spacing w:after="0"/>
        <w:ind w:right="566"/>
        <w:jc w:val="both"/>
        <w:rPr>
          <w:sz w:val="20"/>
          <w:lang w:val="de-DE"/>
        </w:rPr>
      </w:pPr>
    </w:p>
    <w:p w:rsidR="00AF182B" w:rsidRPr="002D3FF9" w:rsidRDefault="00AF182B" w:rsidP="00AF182B">
      <w:pPr>
        <w:spacing w:after="0"/>
        <w:ind w:right="566"/>
        <w:jc w:val="both"/>
        <w:rPr>
          <w:b/>
          <w:sz w:val="20"/>
          <w:u w:val="single"/>
          <w:lang w:val="de-DE"/>
        </w:rPr>
      </w:pPr>
      <w:r w:rsidRPr="002D3FF9">
        <w:rPr>
          <w:b/>
          <w:sz w:val="20"/>
          <w:u w:val="single"/>
          <w:lang w:val="de-DE"/>
        </w:rPr>
        <w:t>Vorschlag:</w:t>
      </w:r>
    </w:p>
    <w:p w:rsidR="00AF182B" w:rsidRPr="002D3FF9" w:rsidRDefault="00AF182B" w:rsidP="00AF182B">
      <w:pPr>
        <w:spacing w:after="0"/>
        <w:ind w:right="566"/>
        <w:jc w:val="both"/>
        <w:rPr>
          <w:sz w:val="20"/>
          <w:lang w:val="de-DE"/>
        </w:rPr>
      </w:pPr>
    </w:p>
    <w:p w:rsidR="003E5C85" w:rsidRPr="002D3FF9" w:rsidRDefault="00E33401" w:rsidP="003E5C85">
      <w:pPr>
        <w:spacing w:after="0"/>
        <w:ind w:right="566"/>
        <w:jc w:val="both"/>
        <w:rPr>
          <w:sz w:val="20"/>
          <w:lang w:val="de-DE"/>
        </w:rPr>
      </w:pPr>
      <w:r w:rsidRPr="002D3FF9">
        <w:rPr>
          <w:sz w:val="20"/>
          <w:lang w:val="de-DE"/>
        </w:rPr>
        <w:t>17</w:t>
      </w:r>
      <w:r w:rsidR="003E5C85" w:rsidRPr="002D3FF9">
        <w:rPr>
          <w:sz w:val="20"/>
          <w:lang w:val="de-DE"/>
        </w:rPr>
        <w:t>.</w:t>
      </w:r>
      <w:r w:rsidR="003E5C85" w:rsidRPr="002D3FF9">
        <w:rPr>
          <w:sz w:val="20"/>
          <w:lang w:val="de-DE"/>
        </w:rPr>
        <w:tab/>
      </w:r>
      <w:r w:rsidR="00C653F5" w:rsidRPr="002D3FF9">
        <w:rPr>
          <w:sz w:val="20"/>
          <w:lang w:val="de-DE"/>
        </w:rPr>
        <w:t>Außerdem wird vorgeschlagen, in Tabelle C bei dem Eintrag UN 2790 VG III die Benennung an Tabelle A anzupassen und „und höchstens 50 Masse-% Säure“ zu ersetzen durch „aber weniger als 50</w:t>
      </w:r>
      <w:r w:rsidR="00D539C7" w:rsidRPr="002D3FF9">
        <w:rPr>
          <w:sz w:val="20"/>
          <w:lang w:val="de-DE"/>
        </w:rPr>
        <w:t> </w:t>
      </w:r>
      <w:r w:rsidR="00C653F5" w:rsidRPr="002D3FF9">
        <w:rPr>
          <w:sz w:val="20"/>
          <w:lang w:val="de-DE"/>
        </w:rPr>
        <w:t>Masse-% Säure“.</w:t>
      </w:r>
    </w:p>
    <w:p w:rsidR="00C653F5" w:rsidRPr="002D3FF9" w:rsidRDefault="00C653F5" w:rsidP="003E5C85">
      <w:pPr>
        <w:spacing w:after="0"/>
        <w:ind w:right="566"/>
        <w:jc w:val="both"/>
        <w:rPr>
          <w:sz w:val="20"/>
          <w:lang w:val="de-DE"/>
        </w:rPr>
      </w:pPr>
    </w:p>
    <w:p w:rsidR="00AF182B" w:rsidRPr="002D3FF9" w:rsidRDefault="00AF182B" w:rsidP="00AF182B">
      <w:pPr>
        <w:spacing w:after="0"/>
        <w:ind w:right="566"/>
        <w:jc w:val="both"/>
        <w:rPr>
          <w:b/>
          <w:sz w:val="20"/>
          <w:u w:val="single"/>
          <w:lang w:val="de-DE"/>
        </w:rPr>
      </w:pPr>
      <w:r w:rsidRPr="002D3FF9">
        <w:rPr>
          <w:b/>
          <w:sz w:val="20"/>
          <w:u w:val="single"/>
          <w:lang w:val="de-DE"/>
        </w:rPr>
        <w:t>Vorschlag:</w:t>
      </w:r>
    </w:p>
    <w:p w:rsidR="00AF182B" w:rsidRPr="002D3FF9" w:rsidRDefault="00AF182B" w:rsidP="00AF182B">
      <w:pPr>
        <w:spacing w:after="0"/>
        <w:ind w:right="566"/>
        <w:jc w:val="both"/>
        <w:rPr>
          <w:sz w:val="20"/>
          <w:lang w:val="de-DE"/>
        </w:rPr>
      </w:pPr>
    </w:p>
    <w:p w:rsidR="00C653F5" w:rsidRPr="002D3FF9" w:rsidRDefault="00E33401" w:rsidP="003E5C85">
      <w:pPr>
        <w:spacing w:after="0"/>
        <w:ind w:right="566"/>
        <w:jc w:val="both"/>
        <w:rPr>
          <w:sz w:val="20"/>
          <w:lang w:val="de-DE"/>
        </w:rPr>
      </w:pPr>
      <w:r w:rsidRPr="002D3FF9">
        <w:rPr>
          <w:sz w:val="20"/>
          <w:lang w:val="de-DE"/>
        </w:rPr>
        <w:t>18</w:t>
      </w:r>
      <w:r w:rsidR="00C653F5" w:rsidRPr="002D3FF9">
        <w:rPr>
          <w:sz w:val="20"/>
          <w:lang w:val="de-DE"/>
        </w:rPr>
        <w:t>.</w:t>
      </w:r>
      <w:r w:rsidR="00C653F5" w:rsidRPr="002D3FF9">
        <w:rPr>
          <w:sz w:val="20"/>
          <w:lang w:val="de-DE"/>
        </w:rPr>
        <w:tab/>
        <w:t>Des Weiteren wird vorgeschlagen, in Tabelle C bei dem Eintrag der Stoffnummer 9000 die Benennung an Tabelle A anzupassen und „; WASSERFREI“ zu streichen.</w:t>
      </w:r>
    </w:p>
    <w:p w:rsidR="009C72E9" w:rsidRPr="002D3FF9" w:rsidRDefault="009C72E9" w:rsidP="00881DBA">
      <w:pPr>
        <w:spacing w:after="0"/>
        <w:ind w:right="566"/>
        <w:jc w:val="both"/>
        <w:rPr>
          <w:sz w:val="20"/>
          <w:lang w:val="de-DE"/>
        </w:rPr>
      </w:pPr>
    </w:p>
    <w:p w:rsidR="009C72E9" w:rsidRPr="002D3FF9" w:rsidRDefault="009C72E9" w:rsidP="00881DBA">
      <w:pPr>
        <w:spacing w:after="0"/>
        <w:ind w:right="566"/>
        <w:jc w:val="both"/>
        <w:rPr>
          <w:sz w:val="20"/>
          <w:lang w:val="de-DE"/>
        </w:rPr>
      </w:pPr>
    </w:p>
    <w:p w:rsidR="004E3918" w:rsidRPr="00552E59" w:rsidRDefault="00E93623" w:rsidP="004E3918">
      <w:pPr>
        <w:spacing w:after="0"/>
        <w:ind w:left="570" w:right="566" w:hanging="570"/>
        <w:jc w:val="both"/>
        <w:rPr>
          <w:b/>
          <w:szCs w:val="24"/>
          <w:lang w:val="de-DE"/>
        </w:rPr>
      </w:pPr>
      <w:r w:rsidRPr="00552E59">
        <w:rPr>
          <w:b/>
          <w:szCs w:val="24"/>
          <w:lang w:val="de-DE"/>
        </w:rPr>
        <w:t>C</w:t>
      </w:r>
      <w:r w:rsidR="004E3918" w:rsidRPr="00552E59">
        <w:rPr>
          <w:b/>
          <w:szCs w:val="24"/>
          <w:lang w:val="de-DE"/>
        </w:rPr>
        <w:t>.</w:t>
      </w:r>
      <w:r w:rsidR="004E3918" w:rsidRPr="00552E59">
        <w:rPr>
          <w:b/>
          <w:szCs w:val="24"/>
          <w:lang w:val="de-DE"/>
        </w:rPr>
        <w:tab/>
      </w:r>
      <w:r w:rsidR="004E3918" w:rsidRPr="00552E59">
        <w:rPr>
          <w:b/>
          <w:bCs/>
          <w:szCs w:val="24"/>
          <w:lang w:val="de-DE"/>
        </w:rPr>
        <w:t>Bemerkung 2</w:t>
      </w:r>
      <w:r w:rsidRPr="00552E59">
        <w:rPr>
          <w:b/>
          <w:bCs/>
          <w:szCs w:val="24"/>
          <w:lang w:val="de-DE"/>
        </w:rPr>
        <w:t>9</w:t>
      </w:r>
      <w:r w:rsidR="00A12DFF" w:rsidRPr="00552E59">
        <w:rPr>
          <w:b/>
          <w:bCs/>
          <w:szCs w:val="24"/>
          <w:lang w:val="de-DE"/>
        </w:rPr>
        <w:t xml:space="preserve"> der Tabelle C</w:t>
      </w:r>
    </w:p>
    <w:p w:rsidR="004E3918" w:rsidRPr="002D3FF9" w:rsidRDefault="004E3918" w:rsidP="004E3918">
      <w:pPr>
        <w:spacing w:after="0"/>
        <w:ind w:left="570" w:right="566" w:hanging="570"/>
        <w:jc w:val="both"/>
        <w:rPr>
          <w:sz w:val="20"/>
          <w:lang w:val="de-DE"/>
        </w:rPr>
      </w:pPr>
    </w:p>
    <w:p w:rsidR="00722970" w:rsidRPr="002D3FF9" w:rsidRDefault="00E33401" w:rsidP="00722970">
      <w:pPr>
        <w:spacing w:after="0"/>
        <w:ind w:right="566"/>
        <w:jc w:val="both"/>
        <w:rPr>
          <w:sz w:val="20"/>
          <w:lang w:val="de-DE"/>
        </w:rPr>
      </w:pPr>
      <w:r w:rsidRPr="002D3FF9">
        <w:rPr>
          <w:sz w:val="20"/>
          <w:lang w:val="de-DE"/>
        </w:rPr>
        <w:t>19</w:t>
      </w:r>
      <w:r w:rsidR="004E3918" w:rsidRPr="002D3FF9">
        <w:rPr>
          <w:sz w:val="20"/>
          <w:lang w:val="de-DE"/>
        </w:rPr>
        <w:t>.</w:t>
      </w:r>
      <w:r w:rsidR="004E3918" w:rsidRPr="002D3FF9">
        <w:rPr>
          <w:sz w:val="20"/>
          <w:lang w:val="de-DE"/>
        </w:rPr>
        <w:tab/>
      </w:r>
      <w:r w:rsidR="00722970" w:rsidRPr="002D3FF9">
        <w:rPr>
          <w:sz w:val="20"/>
          <w:lang w:val="de-DE"/>
        </w:rPr>
        <w:t>Die Bemerkung 29 lautet: „Wenn in der Spalte (2) Angaben zum Dampfdruck und/oder zum Siedepunkt enthalten sind, muss die offizielle Benennung im Beförderungspapier entsprechend ergänzt werden, z. B. UN 1224 KETONE, FLÜSSIG, N.A.G., 110 kPa &lt; pD50 ≤ 175kPa oder UN 2929 GIFTIGER ORGANISCHER FLÜSSIGER STOFF, ENTZÜNDBAR, N.A.G., SIEDEPUNKT ≤ 60 °C.“ und ist in Spalte (20) einzutragen bei Stoffen, für die in der Spalte (2) Angaben zum Dampfdruck und/oder zum Siedepunkt enthalten sind.</w:t>
      </w:r>
    </w:p>
    <w:p w:rsidR="00AA01E2" w:rsidRPr="002D3FF9" w:rsidRDefault="00AA01E2" w:rsidP="00722970">
      <w:pPr>
        <w:spacing w:after="0"/>
        <w:ind w:right="566"/>
        <w:jc w:val="both"/>
        <w:rPr>
          <w:sz w:val="20"/>
          <w:lang w:val="de-DE"/>
        </w:rPr>
      </w:pPr>
    </w:p>
    <w:p w:rsidR="00A12DFF" w:rsidRDefault="00A12DFF">
      <w:pPr>
        <w:spacing w:after="0"/>
        <w:rPr>
          <w:sz w:val="20"/>
          <w:lang w:val="de-DE"/>
        </w:rPr>
      </w:pPr>
      <w:r>
        <w:rPr>
          <w:sz w:val="20"/>
          <w:lang w:val="de-DE"/>
        </w:rPr>
        <w:br w:type="page"/>
      </w:r>
    </w:p>
    <w:p w:rsidR="004E3918" w:rsidRPr="002D3FF9" w:rsidRDefault="00E33401" w:rsidP="00722970">
      <w:pPr>
        <w:spacing w:after="0"/>
        <w:ind w:right="566"/>
        <w:jc w:val="both"/>
        <w:rPr>
          <w:sz w:val="20"/>
          <w:lang w:val="de-DE"/>
        </w:rPr>
      </w:pPr>
      <w:r w:rsidRPr="002D3FF9">
        <w:rPr>
          <w:sz w:val="20"/>
          <w:lang w:val="de-DE"/>
        </w:rPr>
        <w:lastRenderedPageBreak/>
        <w:t>20</w:t>
      </w:r>
      <w:r w:rsidR="00722970" w:rsidRPr="002D3FF9">
        <w:rPr>
          <w:sz w:val="20"/>
          <w:lang w:val="de-DE"/>
        </w:rPr>
        <w:t>.</w:t>
      </w:r>
      <w:r w:rsidR="00722970" w:rsidRPr="002D3FF9">
        <w:rPr>
          <w:sz w:val="20"/>
          <w:lang w:val="de-DE"/>
        </w:rPr>
        <w:tab/>
      </w:r>
      <w:r w:rsidR="00E93623" w:rsidRPr="002D3FF9">
        <w:rPr>
          <w:sz w:val="20"/>
          <w:lang w:val="de-DE"/>
        </w:rPr>
        <w:t>Gemäß 3.1.2.1 sind die Angabe</w:t>
      </w:r>
      <w:r w:rsidR="00BB6375" w:rsidRPr="002D3FF9">
        <w:rPr>
          <w:sz w:val="20"/>
          <w:lang w:val="de-DE"/>
        </w:rPr>
        <w:t>n</w:t>
      </w:r>
      <w:r w:rsidR="00E93623" w:rsidRPr="002D3FF9">
        <w:rPr>
          <w:sz w:val="20"/>
          <w:lang w:val="de-DE"/>
        </w:rPr>
        <w:t xml:space="preserve"> zum Dampfdruck (pD) und zum Siedepunkt in Kapitel 3.2 Tabelle</w:t>
      </w:r>
      <w:r w:rsidR="00722970" w:rsidRPr="002D3FF9">
        <w:rPr>
          <w:sz w:val="20"/>
          <w:lang w:val="de-DE"/>
        </w:rPr>
        <w:t> </w:t>
      </w:r>
      <w:r w:rsidR="00E93623" w:rsidRPr="002D3FF9">
        <w:rPr>
          <w:sz w:val="20"/>
          <w:lang w:val="de-DE"/>
        </w:rPr>
        <w:t xml:space="preserve">C Spalte (2) </w:t>
      </w:r>
      <w:r w:rsidR="00AA01E2" w:rsidRPr="002D3FF9">
        <w:rPr>
          <w:sz w:val="20"/>
          <w:lang w:val="de-DE"/>
        </w:rPr>
        <w:t xml:space="preserve">bereits </w:t>
      </w:r>
      <w:r w:rsidR="00E93623" w:rsidRPr="002D3FF9">
        <w:rPr>
          <w:sz w:val="20"/>
          <w:lang w:val="de-DE"/>
        </w:rPr>
        <w:t>Teil der offiziellen Benennung für die Beförderung. Nach 5.4.1. gehört die offizielle Ben</w:t>
      </w:r>
      <w:r w:rsidR="00722970" w:rsidRPr="002D3FF9">
        <w:rPr>
          <w:sz w:val="20"/>
          <w:lang w:val="de-DE"/>
        </w:rPr>
        <w:t>e</w:t>
      </w:r>
      <w:r w:rsidR="00E93623" w:rsidRPr="002D3FF9">
        <w:rPr>
          <w:sz w:val="20"/>
          <w:lang w:val="de-DE"/>
        </w:rPr>
        <w:t>n</w:t>
      </w:r>
      <w:r w:rsidR="00722970" w:rsidRPr="002D3FF9">
        <w:rPr>
          <w:sz w:val="20"/>
          <w:lang w:val="de-DE"/>
        </w:rPr>
        <w:t>nung zu den allgemeinen Angaben, die i</w:t>
      </w:r>
      <w:r w:rsidR="00E15EAD" w:rsidRPr="002D3FF9">
        <w:rPr>
          <w:sz w:val="20"/>
          <w:lang w:val="de-DE"/>
        </w:rPr>
        <w:t>m</w:t>
      </w:r>
      <w:r w:rsidR="00722970" w:rsidRPr="002D3FF9">
        <w:rPr>
          <w:sz w:val="20"/>
          <w:lang w:val="de-DE"/>
        </w:rPr>
        <w:t xml:space="preserve"> Beförderungsdokument enthalten sein müssen.</w:t>
      </w:r>
      <w:r w:rsidR="00E93623" w:rsidRPr="002D3FF9">
        <w:rPr>
          <w:sz w:val="20"/>
          <w:lang w:val="de-DE"/>
        </w:rPr>
        <w:t xml:space="preserve"> </w:t>
      </w:r>
      <w:r w:rsidR="00AA01E2" w:rsidRPr="002D3FF9">
        <w:rPr>
          <w:sz w:val="20"/>
          <w:lang w:val="de-DE"/>
        </w:rPr>
        <w:t>Somit werden durch die Bemerkung 29 keine zusätzlichen Eintragungen oder Ergänzungen im Beförderungsdokument bewirkt.</w:t>
      </w:r>
      <w:r w:rsidR="00061329" w:rsidRPr="002D3FF9">
        <w:rPr>
          <w:sz w:val="20"/>
          <w:lang w:val="de-DE"/>
        </w:rPr>
        <w:t xml:space="preserve"> </w:t>
      </w:r>
    </w:p>
    <w:p w:rsidR="00061329" w:rsidRPr="002D3FF9" w:rsidRDefault="00061329" w:rsidP="00722970">
      <w:pPr>
        <w:spacing w:after="0"/>
        <w:ind w:right="566"/>
        <w:jc w:val="both"/>
        <w:rPr>
          <w:sz w:val="20"/>
          <w:lang w:val="de-DE"/>
        </w:rPr>
      </w:pPr>
    </w:p>
    <w:p w:rsidR="00061329" w:rsidRPr="002D3FF9" w:rsidRDefault="00061329" w:rsidP="00722970">
      <w:pPr>
        <w:spacing w:after="0"/>
        <w:ind w:right="566"/>
        <w:jc w:val="both"/>
        <w:rPr>
          <w:b/>
          <w:sz w:val="20"/>
          <w:u w:val="single"/>
          <w:lang w:val="de-DE"/>
        </w:rPr>
      </w:pPr>
      <w:r w:rsidRPr="002D3FF9">
        <w:rPr>
          <w:b/>
          <w:sz w:val="20"/>
          <w:u w:val="single"/>
          <w:lang w:val="de-DE"/>
        </w:rPr>
        <w:t>Vorschlag:</w:t>
      </w:r>
    </w:p>
    <w:p w:rsidR="00061329" w:rsidRPr="002D3FF9" w:rsidRDefault="00061329" w:rsidP="00722970">
      <w:pPr>
        <w:spacing w:after="0"/>
        <w:ind w:right="566"/>
        <w:jc w:val="both"/>
        <w:rPr>
          <w:sz w:val="20"/>
          <w:lang w:val="de-DE"/>
        </w:rPr>
      </w:pPr>
    </w:p>
    <w:p w:rsidR="00AF182B" w:rsidRPr="002D3FF9" w:rsidRDefault="00E33401" w:rsidP="002852DB">
      <w:pPr>
        <w:spacing w:after="0"/>
        <w:ind w:right="566"/>
        <w:jc w:val="both"/>
        <w:rPr>
          <w:sz w:val="20"/>
          <w:lang w:val="de-DE"/>
        </w:rPr>
      </w:pPr>
      <w:r w:rsidRPr="002D3FF9">
        <w:rPr>
          <w:sz w:val="20"/>
          <w:lang w:val="de-DE"/>
        </w:rPr>
        <w:t>21</w:t>
      </w:r>
      <w:r w:rsidR="00061329" w:rsidRPr="002D3FF9">
        <w:rPr>
          <w:sz w:val="20"/>
          <w:lang w:val="de-DE"/>
        </w:rPr>
        <w:t>.</w:t>
      </w:r>
      <w:r w:rsidR="00061329" w:rsidRPr="002D3FF9">
        <w:rPr>
          <w:sz w:val="20"/>
          <w:lang w:val="de-DE"/>
        </w:rPr>
        <w:tab/>
        <w:t xml:space="preserve">Die informelle Arbeitsgruppe schlägt deshalb vor, die Bemerkung 29 in 3.2.3.1 Erläuterungen zur Tabelle C, </w:t>
      </w:r>
      <w:r w:rsidR="00976A3A" w:rsidRPr="002D3FF9">
        <w:rPr>
          <w:sz w:val="20"/>
          <w:lang w:val="de-DE"/>
        </w:rPr>
        <w:t>in 3.2.3.3 „Entscheidungsdiagramm, Schemata und Kriterien für die Festlegung der anwendbaren besonderen Vorschriften (Spalten (6) bis (20) der Tabelle C)“, in 3.2.4.3 „Zuordnungskriterien für die Stoffe“</w:t>
      </w:r>
      <w:r w:rsidR="002852DB" w:rsidRPr="002D3FF9">
        <w:rPr>
          <w:sz w:val="20"/>
          <w:lang w:val="de-DE"/>
        </w:rPr>
        <w:t xml:space="preserve"> und bei allen Eintragungen in 3.2.3.2 Tabelle C zu löschen.</w:t>
      </w:r>
    </w:p>
    <w:p w:rsidR="009962C8" w:rsidRDefault="009962C8">
      <w:pPr>
        <w:spacing w:after="0"/>
        <w:rPr>
          <w:b/>
          <w:sz w:val="20"/>
          <w:lang w:val="de-DE"/>
        </w:rPr>
      </w:pPr>
    </w:p>
    <w:p w:rsidR="00A12DFF" w:rsidRPr="002D3FF9" w:rsidRDefault="00A12DFF">
      <w:pPr>
        <w:spacing w:after="0"/>
        <w:rPr>
          <w:b/>
          <w:sz w:val="20"/>
          <w:lang w:val="de-DE"/>
        </w:rPr>
      </w:pPr>
    </w:p>
    <w:p w:rsidR="005A6A70" w:rsidRPr="00552E59" w:rsidRDefault="005A6A70" w:rsidP="005A6A70">
      <w:pPr>
        <w:spacing w:after="0"/>
        <w:ind w:left="570" w:right="566" w:hanging="570"/>
        <w:jc w:val="both"/>
        <w:rPr>
          <w:b/>
          <w:szCs w:val="24"/>
          <w:lang w:val="de-DE"/>
        </w:rPr>
      </w:pPr>
      <w:r w:rsidRPr="00552E59">
        <w:rPr>
          <w:b/>
          <w:szCs w:val="24"/>
          <w:lang w:val="de-DE"/>
        </w:rPr>
        <w:t>D.</w:t>
      </w:r>
      <w:r w:rsidRPr="00552E59">
        <w:rPr>
          <w:b/>
          <w:szCs w:val="24"/>
          <w:lang w:val="de-DE"/>
        </w:rPr>
        <w:tab/>
        <w:t>Spalte (16): Bestimmung der Explosionsgruppe</w:t>
      </w:r>
    </w:p>
    <w:p w:rsidR="00AF182B" w:rsidRPr="002D3FF9" w:rsidRDefault="00AF182B" w:rsidP="002852DB">
      <w:pPr>
        <w:spacing w:after="0"/>
        <w:ind w:right="566"/>
        <w:jc w:val="both"/>
        <w:rPr>
          <w:sz w:val="20"/>
          <w:lang w:val="de-DE"/>
        </w:rPr>
      </w:pPr>
    </w:p>
    <w:p w:rsidR="00AF182B" w:rsidRPr="002D3FF9" w:rsidRDefault="00E33401" w:rsidP="002852DB">
      <w:pPr>
        <w:spacing w:after="0"/>
        <w:ind w:right="566"/>
        <w:jc w:val="both"/>
        <w:rPr>
          <w:sz w:val="20"/>
          <w:lang w:val="de-DE"/>
        </w:rPr>
      </w:pPr>
      <w:r w:rsidRPr="002D3FF9">
        <w:rPr>
          <w:sz w:val="20"/>
          <w:lang w:val="de-DE"/>
        </w:rPr>
        <w:t>22</w:t>
      </w:r>
      <w:r w:rsidR="00F67677" w:rsidRPr="002D3FF9">
        <w:rPr>
          <w:sz w:val="20"/>
          <w:lang w:val="de-DE"/>
        </w:rPr>
        <w:t>.</w:t>
      </w:r>
      <w:r w:rsidR="00F67677" w:rsidRPr="002D3FF9">
        <w:rPr>
          <w:sz w:val="20"/>
          <w:lang w:val="de-DE"/>
        </w:rPr>
        <w:tab/>
        <w:t>Der Sicherheitsausschuss ist in seiner letzten Sitzung den Vorschlägen der Unterarbeitsgruppe nicht gefolgt und hat die informelle Arbeitsgruppe gebeten, einen neuen Vorschlag zur Bestimmung der Explosionsgruppen vorzulegen, bei dem die Zuordnung der Explosionsgruppen und Untergruppen in zwei separaten Tabellen dargestellt ist.</w:t>
      </w:r>
      <w:r w:rsidR="00B91921" w:rsidRPr="002D3FF9">
        <w:rPr>
          <w:sz w:val="20"/>
          <w:lang w:val="de-DE"/>
        </w:rPr>
        <w:t xml:space="preserve"> Auf der Basis ein</w:t>
      </w:r>
      <w:r w:rsidR="006C0F50" w:rsidRPr="002D3FF9">
        <w:rPr>
          <w:sz w:val="20"/>
          <w:lang w:val="de-DE"/>
        </w:rPr>
        <w:t>er</w:t>
      </w:r>
      <w:r w:rsidR="00B91921" w:rsidRPr="002D3FF9">
        <w:rPr>
          <w:sz w:val="20"/>
          <w:lang w:val="de-DE"/>
        </w:rPr>
        <w:t xml:space="preserve"> Vorlage aus den Niederlanden einigte sich die Informelle Arbeitsgruppe auf folgende Änderungen:</w:t>
      </w:r>
    </w:p>
    <w:p w:rsidR="00F67677" w:rsidRPr="002D3FF9" w:rsidRDefault="00F67677" w:rsidP="002852DB">
      <w:pPr>
        <w:spacing w:after="0"/>
        <w:ind w:right="566"/>
        <w:jc w:val="both"/>
        <w:rPr>
          <w:sz w:val="20"/>
          <w:lang w:val="de-DE"/>
        </w:rPr>
      </w:pPr>
    </w:p>
    <w:p w:rsidR="00F67677" w:rsidRPr="002D3FF9" w:rsidRDefault="00F67677" w:rsidP="00F67677">
      <w:pPr>
        <w:spacing w:after="0"/>
        <w:ind w:right="566"/>
        <w:jc w:val="both"/>
        <w:rPr>
          <w:b/>
          <w:sz w:val="20"/>
          <w:u w:val="single"/>
          <w:lang w:val="de-DE"/>
        </w:rPr>
      </w:pPr>
      <w:r w:rsidRPr="002D3FF9">
        <w:rPr>
          <w:b/>
          <w:sz w:val="20"/>
          <w:u w:val="single"/>
          <w:lang w:val="de-DE"/>
        </w:rPr>
        <w:t>Vorschlag:</w:t>
      </w:r>
    </w:p>
    <w:p w:rsidR="00F67677" w:rsidRPr="002D3FF9" w:rsidRDefault="00F67677" w:rsidP="00F67677">
      <w:pPr>
        <w:spacing w:after="0"/>
        <w:ind w:right="566"/>
        <w:jc w:val="both"/>
        <w:rPr>
          <w:sz w:val="20"/>
          <w:lang w:val="de-DE"/>
        </w:rPr>
      </w:pPr>
    </w:p>
    <w:p w:rsidR="00F67677" w:rsidRPr="002D3FF9" w:rsidRDefault="00E33401" w:rsidP="00F67677">
      <w:pPr>
        <w:spacing w:after="0"/>
        <w:ind w:right="566"/>
        <w:jc w:val="both"/>
        <w:rPr>
          <w:sz w:val="20"/>
          <w:lang w:val="de-DE"/>
        </w:rPr>
      </w:pPr>
      <w:r w:rsidRPr="002D3FF9">
        <w:rPr>
          <w:sz w:val="20"/>
          <w:lang w:val="de-DE"/>
        </w:rPr>
        <w:t>23</w:t>
      </w:r>
      <w:r w:rsidR="00F67677" w:rsidRPr="002D3FF9">
        <w:rPr>
          <w:sz w:val="20"/>
          <w:lang w:val="de-DE"/>
        </w:rPr>
        <w:t>.</w:t>
      </w:r>
      <w:r w:rsidR="00F67677" w:rsidRPr="002D3FF9">
        <w:rPr>
          <w:sz w:val="20"/>
          <w:lang w:val="de-DE"/>
        </w:rPr>
        <w:tab/>
        <w:t>In 1.2.1 „Begriffsbestimmungen“ die Begriffsbestimmung für den Begriff „Explosionsgruppe:“ wie folgt neu formulieren (Änderungen zum bestehenden Text sind durch Unterstreichung kenntlich gemacht):</w:t>
      </w:r>
    </w:p>
    <w:p w:rsidR="00F67677" w:rsidRPr="002D3FF9" w:rsidRDefault="00F67677" w:rsidP="00F67677">
      <w:pPr>
        <w:spacing w:after="0"/>
        <w:ind w:right="566"/>
        <w:jc w:val="both"/>
        <w:rPr>
          <w:sz w:val="20"/>
          <w:lang w:val="de-DE"/>
        </w:rPr>
      </w:pPr>
    </w:p>
    <w:p w:rsidR="00AF182B" w:rsidRPr="002D3FF9" w:rsidRDefault="00F67677" w:rsidP="00F67677">
      <w:pPr>
        <w:spacing w:after="0"/>
        <w:ind w:right="566"/>
        <w:jc w:val="both"/>
        <w:rPr>
          <w:sz w:val="20"/>
          <w:lang w:val="de-DE"/>
        </w:rPr>
      </w:pPr>
      <w:r w:rsidRPr="002D3FF9">
        <w:rPr>
          <w:sz w:val="20"/>
          <w:lang w:val="de-DE"/>
        </w:rPr>
        <w:t>„</w:t>
      </w:r>
      <w:r w:rsidRPr="002D3FF9">
        <w:rPr>
          <w:b/>
          <w:i/>
          <w:sz w:val="20"/>
          <w:lang w:val="de-DE"/>
        </w:rPr>
        <w:t>Explosionsgruppe</w:t>
      </w:r>
      <w:r w:rsidRPr="002D3FF9">
        <w:rPr>
          <w:b/>
          <w:i/>
          <w:sz w:val="20"/>
          <w:u w:val="single"/>
          <w:lang w:val="de-DE"/>
        </w:rPr>
        <w:t>/Untergruppe</w:t>
      </w:r>
      <w:r w:rsidRPr="002D3FF9">
        <w:rPr>
          <w:b/>
          <w:i/>
          <w:sz w:val="20"/>
          <w:lang w:val="de-DE"/>
        </w:rPr>
        <w:t>:</w:t>
      </w:r>
      <w:r w:rsidRPr="002D3FF9">
        <w:rPr>
          <w:sz w:val="20"/>
          <w:lang w:val="de-DE"/>
        </w:rPr>
        <w:t xml:space="preserve"> Einteilung der brennbaren Gase und Dämpfe nach ihrer Zünddurchschlagfähigkeit durch Spalte (Normspaltweite, bestimmt nach festgelegten Bedingungen) und/oder nach dem Mindestzündstromverhältnis sowie der zum Einsatz in explosionsgefährdeten Bereichen zugelassenen Betriebsmitteln (siehe EN IEC 60079-0:2012)</w:t>
      </w:r>
      <w:r w:rsidR="00976A3A" w:rsidRPr="002D3FF9">
        <w:rPr>
          <w:sz w:val="20"/>
          <w:lang w:val="de-DE"/>
        </w:rPr>
        <w:t>,</w:t>
      </w:r>
      <w:r w:rsidRPr="002D3FF9">
        <w:rPr>
          <w:sz w:val="20"/>
          <w:lang w:val="de-DE"/>
        </w:rPr>
        <w:t xml:space="preserve"> </w:t>
      </w:r>
      <w:r w:rsidRPr="002D3FF9">
        <w:rPr>
          <w:sz w:val="20"/>
          <w:u w:val="single"/>
          <w:lang w:val="de-DE"/>
        </w:rPr>
        <w:t>Anlagen, Geräte und autonomen Schutzsysteme. Für autonome Schutzsysteme erfolgt eine Unterteilung der Explosionsgruppe II B in Untergruppen</w:t>
      </w:r>
      <w:r w:rsidRPr="002D3FF9">
        <w:rPr>
          <w:sz w:val="20"/>
          <w:lang w:val="de-DE"/>
        </w:rPr>
        <w:t>.“.</w:t>
      </w:r>
    </w:p>
    <w:p w:rsidR="00AF182B" w:rsidRPr="002D3FF9" w:rsidRDefault="00AF182B" w:rsidP="002852DB">
      <w:pPr>
        <w:spacing w:after="0"/>
        <w:ind w:right="566"/>
        <w:jc w:val="both"/>
        <w:rPr>
          <w:sz w:val="20"/>
          <w:lang w:val="de-DE"/>
        </w:rPr>
      </w:pPr>
    </w:p>
    <w:p w:rsidR="00F67677" w:rsidRPr="002D3FF9" w:rsidRDefault="00F67677" w:rsidP="00F67677">
      <w:pPr>
        <w:spacing w:after="0"/>
        <w:ind w:right="566"/>
        <w:jc w:val="both"/>
        <w:rPr>
          <w:b/>
          <w:sz w:val="20"/>
          <w:u w:val="single"/>
          <w:lang w:val="de-DE"/>
        </w:rPr>
      </w:pPr>
      <w:r w:rsidRPr="002D3FF9">
        <w:rPr>
          <w:b/>
          <w:sz w:val="20"/>
          <w:u w:val="single"/>
          <w:lang w:val="de-DE"/>
        </w:rPr>
        <w:t>Vorschlag:</w:t>
      </w:r>
    </w:p>
    <w:p w:rsidR="00F67677" w:rsidRPr="002D3FF9" w:rsidRDefault="00F67677" w:rsidP="00F67677">
      <w:pPr>
        <w:spacing w:after="0"/>
        <w:ind w:right="566"/>
        <w:jc w:val="both"/>
        <w:rPr>
          <w:sz w:val="20"/>
          <w:lang w:val="de-DE"/>
        </w:rPr>
      </w:pPr>
    </w:p>
    <w:p w:rsidR="00F67677" w:rsidRPr="002D3FF9" w:rsidRDefault="00E33401" w:rsidP="00F67677">
      <w:pPr>
        <w:pStyle w:val="SingleTxtG"/>
        <w:tabs>
          <w:tab w:val="left" w:pos="567"/>
        </w:tabs>
        <w:ind w:left="0" w:right="566"/>
        <w:rPr>
          <w:lang w:val="de-DE"/>
        </w:rPr>
      </w:pPr>
      <w:r w:rsidRPr="002D3FF9">
        <w:rPr>
          <w:lang w:val="de-DE"/>
        </w:rPr>
        <w:t>24</w:t>
      </w:r>
      <w:r w:rsidR="00F67677" w:rsidRPr="002D3FF9">
        <w:rPr>
          <w:lang w:val="de-DE"/>
        </w:rPr>
        <w:t>.</w:t>
      </w:r>
      <w:r w:rsidR="00F67677" w:rsidRPr="002D3FF9">
        <w:rPr>
          <w:lang w:val="de-DE"/>
        </w:rPr>
        <w:tab/>
        <w:t xml:space="preserve">Die </w:t>
      </w:r>
      <w:r w:rsidR="00B91921" w:rsidRPr="002D3FF9">
        <w:rPr>
          <w:lang w:val="de-DE"/>
        </w:rPr>
        <w:t xml:space="preserve">Formulierungen </w:t>
      </w:r>
      <w:r w:rsidR="00F67677" w:rsidRPr="002D3FF9">
        <w:rPr>
          <w:lang w:val="de-DE"/>
        </w:rPr>
        <w:t>in 3.2.3.3 „Entscheidungsdiagramm, Schemata und Kriterien für die Festlegung der anwendbaren besonderen Vorschriften (Spalten (6) bis (20) der Tabelle C)“ „Spalte (16): Bestimmung der Explosionsgruppe“ und in 3.2.4.3 „Zuordnungskriterien für die Stoffe“ „H.</w:t>
      </w:r>
      <w:r w:rsidR="00534C16" w:rsidRPr="002D3FF9">
        <w:rPr>
          <w:lang w:val="de-DE"/>
        </w:rPr>
        <w:t> </w:t>
      </w:r>
      <w:r w:rsidR="00F67677" w:rsidRPr="002D3FF9">
        <w:rPr>
          <w:lang w:val="de-DE"/>
        </w:rPr>
        <w:t>Spalte (16): Bestimmung der Explosionsgruppe“ jeweils ersetzen durch:</w:t>
      </w:r>
    </w:p>
    <w:p w:rsidR="00B91921" w:rsidRPr="002D3FF9" w:rsidRDefault="00301CFC" w:rsidP="00B91921">
      <w:pPr>
        <w:widowControl w:val="0"/>
        <w:suppressAutoHyphens/>
        <w:autoSpaceDN w:val="0"/>
        <w:spacing w:after="0" w:line="240" w:lineRule="exact"/>
        <w:textAlignment w:val="baseline"/>
        <w:rPr>
          <w:rFonts w:eastAsia="DejaVu Sans"/>
          <w:kern w:val="3"/>
          <w:sz w:val="20"/>
          <w:lang w:val="de-DE" w:eastAsia="zh-CN" w:bidi="hi-IN"/>
        </w:rPr>
      </w:pPr>
      <w:r w:rsidRPr="002D3FF9">
        <w:rPr>
          <w:rFonts w:eastAsia="DejaVu Sans"/>
          <w:kern w:val="3"/>
          <w:sz w:val="20"/>
          <w:lang w:val="de-DE" w:eastAsia="zh-CN" w:bidi="hi-IN"/>
        </w:rPr>
        <w:t>“</w:t>
      </w:r>
      <w:r w:rsidR="00B91921" w:rsidRPr="002D3FF9">
        <w:rPr>
          <w:rFonts w:eastAsia="DejaVu Sans"/>
          <w:kern w:val="3"/>
          <w:sz w:val="20"/>
          <w:lang w:val="de-DE" w:eastAsia="zh-CN" w:bidi="hi-IN"/>
        </w:rPr>
        <w:t>Die entzündbaren Stoffe werden auf der Grundlage ihrer Normspaltweite der jeweiligen Explosionsgruppe</w:t>
      </w:r>
    </w:p>
    <w:p w:rsidR="00B91921" w:rsidRPr="002D3FF9" w:rsidRDefault="00B91921" w:rsidP="00B91921">
      <w:pPr>
        <w:widowControl w:val="0"/>
        <w:suppressAutoHyphens/>
        <w:autoSpaceDN w:val="0"/>
        <w:spacing w:after="0" w:line="240" w:lineRule="exact"/>
        <w:textAlignment w:val="baseline"/>
        <w:rPr>
          <w:rFonts w:eastAsia="DejaVu Sans"/>
          <w:kern w:val="3"/>
          <w:sz w:val="20"/>
          <w:lang w:val="de-DE" w:eastAsia="zh-CN" w:bidi="hi-IN"/>
        </w:rPr>
      </w:pPr>
      <w:r w:rsidRPr="002D3FF9">
        <w:rPr>
          <w:rFonts w:eastAsia="DejaVu Sans"/>
          <w:kern w:val="3"/>
          <w:sz w:val="20"/>
          <w:lang w:val="de-DE" w:eastAsia="zh-CN" w:bidi="hi-IN"/>
        </w:rPr>
        <w:t>zugeordnet. Die Ermittlung der Normspaltweite erfolgt nach IEC 60079-20-1.</w:t>
      </w:r>
    </w:p>
    <w:p w:rsidR="00B91921" w:rsidRPr="002D3FF9" w:rsidRDefault="00B91921" w:rsidP="00B91921">
      <w:pPr>
        <w:widowControl w:val="0"/>
        <w:suppressAutoHyphens/>
        <w:autoSpaceDN w:val="0"/>
        <w:spacing w:after="0" w:line="240" w:lineRule="exact"/>
        <w:textAlignment w:val="baseline"/>
        <w:rPr>
          <w:rFonts w:eastAsia="DejaVu Sans"/>
          <w:kern w:val="3"/>
          <w:sz w:val="20"/>
          <w:lang w:val="de-DE" w:eastAsia="zh-CN" w:bidi="hi-IN"/>
        </w:rPr>
      </w:pPr>
    </w:p>
    <w:p w:rsidR="00A12DFF" w:rsidRDefault="00A12DFF">
      <w:pPr>
        <w:spacing w:after="0"/>
        <w:rPr>
          <w:rFonts w:eastAsia="DejaVu Sans"/>
          <w:kern w:val="3"/>
          <w:sz w:val="20"/>
          <w:lang w:val="en-US" w:eastAsia="zh-CN" w:bidi="hi-IN"/>
        </w:rPr>
      </w:pPr>
      <w:r>
        <w:rPr>
          <w:rFonts w:eastAsia="DejaVu Sans"/>
          <w:kern w:val="3"/>
          <w:sz w:val="20"/>
          <w:lang w:val="en-US" w:eastAsia="zh-CN" w:bidi="hi-IN"/>
        </w:rPr>
        <w:br w:type="page"/>
      </w:r>
    </w:p>
    <w:p w:rsidR="00F67677" w:rsidRPr="002D3FF9" w:rsidRDefault="00B91921" w:rsidP="00B91921">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lastRenderedPageBreak/>
        <w:t>Folgende Explosionsgruppen werden unterschieden:</w:t>
      </w:r>
    </w:p>
    <w:p w:rsidR="00B91921" w:rsidRPr="002D3FF9" w:rsidRDefault="00B91921" w:rsidP="00B91921">
      <w:pPr>
        <w:widowControl w:val="0"/>
        <w:suppressAutoHyphens/>
        <w:autoSpaceDN w:val="0"/>
        <w:spacing w:after="0" w:line="240" w:lineRule="exact"/>
        <w:textAlignment w:val="baseline"/>
        <w:rPr>
          <w:rFonts w:eastAsia="DejaVu Sans"/>
          <w:kern w:val="3"/>
          <w:sz w:val="20"/>
          <w:lang w:val="en-US" w:eastAsia="zh-CN" w:bidi="hi-IN"/>
        </w:rPr>
      </w:pPr>
    </w:p>
    <w:tbl>
      <w:tblPr>
        <w:tblStyle w:val="Tabellenraster1"/>
        <w:tblW w:w="0" w:type="auto"/>
        <w:tblInd w:w="1101" w:type="dxa"/>
        <w:tblLook w:val="04A0" w:firstRow="1" w:lastRow="0" w:firstColumn="1" w:lastColumn="0" w:noHBand="0" w:noVBand="1"/>
      </w:tblPr>
      <w:tblGrid>
        <w:gridCol w:w="2738"/>
        <w:gridCol w:w="2506"/>
      </w:tblGrid>
      <w:tr w:rsidR="002D3FF9" w:rsidRPr="002D3FF9" w:rsidTr="00301CFC">
        <w:tc>
          <w:tcPr>
            <w:tcW w:w="2738"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fr-FR" w:eastAsia="zh-CN" w:bidi="hi-IN"/>
              </w:rPr>
            </w:pPr>
            <w:r w:rsidRPr="002D3FF9">
              <w:rPr>
                <w:rFonts w:eastAsia="DejaVu Sans"/>
                <w:kern w:val="3"/>
                <w:sz w:val="20"/>
                <w:lang w:val="fr-FR" w:eastAsia="zh-CN" w:bidi="hi-IN"/>
              </w:rPr>
              <w:t>Explosio</w:t>
            </w:r>
            <w:r w:rsidR="00301CFC" w:rsidRPr="002D3FF9">
              <w:rPr>
                <w:rFonts w:eastAsia="DejaVu Sans"/>
                <w:kern w:val="3"/>
                <w:sz w:val="20"/>
                <w:lang w:val="fr-FR" w:eastAsia="zh-CN" w:bidi="hi-IN"/>
              </w:rPr>
              <w:t>n</w:t>
            </w:r>
            <w:r w:rsidRPr="002D3FF9">
              <w:rPr>
                <w:rFonts w:eastAsia="DejaVu Sans"/>
                <w:kern w:val="3"/>
                <w:sz w:val="20"/>
                <w:lang w:val="fr-FR" w:eastAsia="zh-CN" w:bidi="hi-IN"/>
              </w:rPr>
              <w:t>sgruppe</w:t>
            </w:r>
          </w:p>
        </w:tc>
        <w:tc>
          <w:tcPr>
            <w:tcW w:w="2506"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Normspaltweite in mm</w:t>
            </w:r>
          </w:p>
        </w:tc>
      </w:tr>
      <w:tr w:rsidR="002D3FF9" w:rsidRPr="002D3FF9" w:rsidTr="00301CFC">
        <w:tc>
          <w:tcPr>
            <w:tcW w:w="2738"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fr-FR" w:eastAsia="zh-CN" w:bidi="hi-IN"/>
              </w:rPr>
            </w:pPr>
            <w:r w:rsidRPr="002D3FF9">
              <w:rPr>
                <w:rFonts w:eastAsia="DejaVu Sans"/>
                <w:kern w:val="3"/>
                <w:sz w:val="20"/>
                <w:lang w:val="fr-FR" w:eastAsia="zh-CN" w:bidi="hi-IN"/>
              </w:rPr>
              <w:t>II A</w:t>
            </w:r>
          </w:p>
        </w:tc>
        <w:tc>
          <w:tcPr>
            <w:tcW w:w="2506"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&gt; 0.9</w:t>
            </w:r>
          </w:p>
        </w:tc>
      </w:tr>
      <w:tr w:rsidR="002D3FF9" w:rsidRPr="002D3FF9" w:rsidTr="00301CFC">
        <w:tc>
          <w:tcPr>
            <w:tcW w:w="2738"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II B</w:t>
            </w:r>
          </w:p>
        </w:tc>
        <w:tc>
          <w:tcPr>
            <w:tcW w:w="2506" w:type="dxa"/>
          </w:tcPr>
          <w:p w:rsidR="00F67677" w:rsidRPr="002D3FF9" w:rsidRDefault="00F67677" w:rsidP="00552E59">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fr-FR" w:eastAsia="zh-CN" w:bidi="hi-IN"/>
              </w:rPr>
              <w:sym w:font="Symbol" w:char="F0B3"/>
            </w:r>
            <w:r w:rsidRPr="002D3FF9">
              <w:rPr>
                <w:rFonts w:eastAsia="DejaVu Sans"/>
                <w:kern w:val="3"/>
                <w:sz w:val="20"/>
                <w:lang w:val="fr-FR" w:eastAsia="zh-CN" w:bidi="hi-IN"/>
              </w:rPr>
              <w:t xml:space="preserve"> 0.5 </w:t>
            </w:r>
            <w:r w:rsidR="00552E59">
              <w:rPr>
                <w:rFonts w:eastAsia="DejaVu Sans"/>
                <w:kern w:val="3"/>
                <w:sz w:val="20"/>
                <w:lang w:val="fr-FR" w:eastAsia="zh-CN" w:bidi="hi-IN"/>
              </w:rPr>
              <w:t>bis</w:t>
            </w:r>
            <w:r w:rsidRPr="002D3FF9">
              <w:rPr>
                <w:rFonts w:eastAsia="DejaVu Sans"/>
                <w:kern w:val="3"/>
                <w:sz w:val="20"/>
                <w:lang w:val="fr-FR" w:eastAsia="zh-CN" w:bidi="hi-IN"/>
              </w:rPr>
              <w:t xml:space="preserve"> </w:t>
            </w:r>
            <w:r w:rsidRPr="002D3FF9">
              <w:rPr>
                <w:rFonts w:eastAsia="DejaVu Sans"/>
                <w:kern w:val="3"/>
                <w:sz w:val="20"/>
                <w:lang w:val="fr-FR" w:eastAsia="zh-CN" w:bidi="hi-IN"/>
              </w:rPr>
              <w:sym w:font="Symbol" w:char="F0A3"/>
            </w:r>
            <w:r w:rsidRPr="002D3FF9">
              <w:rPr>
                <w:rFonts w:eastAsia="DejaVu Sans"/>
                <w:kern w:val="3"/>
                <w:sz w:val="20"/>
                <w:lang w:val="fr-FR" w:eastAsia="zh-CN" w:bidi="hi-IN"/>
              </w:rPr>
              <w:t xml:space="preserve"> 0.9</w:t>
            </w:r>
          </w:p>
        </w:tc>
      </w:tr>
      <w:tr w:rsidR="00F67677" w:rsidRPr="002D3FF9" w:rsidTr="00301CFC">
        <w:tc>
          <w:tcPr>
            <w:tcW w:w="2738"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II C</w:t>
            </w:r>
          </w:p>
        </w:tc>
        <w:tc>
          <w:tcPr>
            <w:tcW w:w="2506"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&lt; 0.5</w:t>
            </w:r>
          </w:p>
        </w:tc>
      </w:tr>
    </w:tbl>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p>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p>
    <w:p w:rsidR="00F67677" w:rsidRPr="002D3FF9" w:rsidRDefault="00301CFC" w:rsidP="00F67677">
      <w:pPr>
        <w:widowControl w:val="0"/>
        <w:suppressAutoHyphens/>
        <w:autoSpaceDN w:val="0"/>
        <w:spacing w:after="0" w:line="240" w:lineRule="exact"/>
        <w:textAlignment w:val="baseline"/>
        <w:rPr>
          <w:rFonts w:eastAsia="DejaVu Sans"/>
          <w:kern w:val="3"/>
          <w:sz w:val="20"/>
          <w:lang w:val="de-DE" w:eastAsia="zh-CN" w:bidi="hi-IN"/>
        </w:rPr>
      </w:pPr>
      <w:r w:rsidRPr="002D3FF9">
        <w:rPr>
          <w:rFonts w:eastAsia="DejaVu Sans"/>
          <w:kern w:val="3"/>
          <w:sz w:val="20"/>
          <w:lang w:val="de-DE" w:eastAsia="zh-CN" w:bidi="hi-IN"/>
        </w:rPr>
        <w:t xml:space="preserve">Bei autonomen Schutzsystemen werden </w:t>
      </w:r>
      <w:r w:rsidR="00B91921" w:rsidRPr="002D3FF9">
        <w:rPr>
          <w:rFonts w:eastAsia="DejaVu Sans"/>
          <w:kern w:val="3"/>
          <w:sz w:val="20"/>
          <w:lang w:val="de-DE" w:eastAsia="zh-CN" w:bidi="hi-IN"/>
        </w:rPr>
        <w:t xml:space="preserve">zusätzlich </w:t>
      </w:r>
      <w:r w:rsidRPr="002D3FF9">
        <w:rPr>
          <w:rFonts w:eastAsia="DejaVu Sans"/>
          <w:kern w:val="3"/>
          <w:sz w:val="20"/>
          <w:lang w:val="de-DE" w:eastAsia="zh-CN" w:bidi="hi-IN"/>
        </w:rPr>
        <w:t>für die E</w:t>
      </w:r>
      <w:r w:rsidR="00F67677" w:rsidRPr="002D3FF9">
        <w:rPr>
          <w:rFonts w:eastAsia="DejaVu Sans"/>
          <w:kern w:val="3"/>
          <w:sz w:val="20"/>
          <w:lang w:val="de-DE" w:eastAsia="zh-CN" w:bidi="hi-IN"/>
        </w:rPr>
        <w:t>xplosion</w:t>
      </w:r>
      <w:r w:rsidRPr="002D3FF9">
        <w:rPr>
          <w:rFonts w:eastAsia="DejaVu Sans"/>
          <w:kern w:val="3"/>
          <w:sz w:val="20"/>
          <w:lang w:val="de-DE" w:eastAsia="zh-CN" w:bidi="hi-IN"/>
        </w:rPr>
        <w:t>s</w:t>
      </w:r>
      <w:r w:rsidR="00F67677" w:rsidRPr="002D3FF9">
        <w:rPr>
          <w:rFonts w:eastAsia="DejaVu Sans"/>
          <w:kern w:val="3"/>
          <w:sz w:val="20"/>
          <w:lang w:val="de-DE" w:eastAsia="zh-CN" w:bidi="hi-IN"/>
        </w:rPr>
        <w:t>grup</w:t>
      </w:r>
      <w:r w:rsidRPr="002D3FF9">
        <w:rPr>
          <w:rFonts w:eastAsia="DejaVu Sans"/>
          <w:kern w:val="3"/>
          <w:sz w:val="20"/>
          <w:lang w:val="de-DE" w:eastAsia="zh-CN" w:bidi="hi-IN"/>
        </w:rPr>
        <w:t>pe II B</w:t>
      </w:r>
      <w:r w:rsidR="00F67677" w:rsidRPr="002D3FF9">
        <w:rPr>
          <w:rFonts w:eastAsia="DejaVu Sans"/>
          <w:kern w:val="3"/>
          <w:sz w:val="20"/>
          <w:lang w:val="de-DE" w:eastAsia="zh-CN" w:bidi="hi-IN"/>
        </w:rPr>
        <w:t xml:space="preserve"> </w:t>
      </w:r>
      <w:r w:rsidR="00B91921" w:rsidRPr="002D3FF9">
        <w:rPr>
          <w:rFonts w:eastAsia="DejaVu Sans"/>
          <w:kern w:val="3"/>
          <w:sz w:val="20"/>
          <w:lang w:val="de-DE" w:eastAsia="zh-CN" w:bidi="hi-IN"/>
        </w:rPr>
        <w:t xml:space="preserve">folgende </w:t>
      </w:r>
      <w:r w:rsidRPr="002D3FF9">
        <w:rPr>
          <w:rFonts w:eastAsia="DejaVu Sans"/>
          <w:kern w:val="3"/>
          <w:sz w:val="20"/>
          <w:lang w:val="de-DE" w:eastAsia="zh-CN" w:bidi="hi-IN"/>
        </w:rPr>
        <w:t>Untergruppen unterschieden</w:t>
      </w:r>
      <w:r w:rsidR="00B91921" w:rsidRPr="002D3FF9">
        <w:rPr>
          <w:rFonts w:eastAsia="DejaVu Sans"/>
          <w:kern w:val="3"/>
          <w:sz w:val="20"/>
          <w:lang w:val="de-DE" w:eastAsia="zh-CN" w:bidi="hi-IN"/>
        </w:rPr>
        <w:t>:</w:t>
      </w:r>
    </w:p>
    <w:p w:rsidR="00F67677" w:rsidRPr="002D3FF9" w:rsidRDefault="00F67677" w:rsidP="00F67677">
      <w:pPr>
        <w:widowControl w:val="0"/>
        <w:suppressAutoHyphens/>
        <w:autoSpaceDN w:val="0"/>
        <w:spacing w:after="0" w:line="240" w:lineRule="exact"/>
        <w:textAlignment w:val="baseline"/>
        <w:rPr>
          <w:rFonts w:eastAsia="DejaVu Sans"/>
          <w:kern w:val="3"/>
          <w:sz w:val="20"/>
          <w:lang w:val="de-DE" w:eastAsia="zh-CN" w:bidi="hi-IN"/>
        </w:rPr>
      </w:pPr>
    </w:p>
    <w:tbl>
      <w:tblPr>
        <w:tblStyle w:val="Tabellenraster1"/>
        <w:tblW w:w="0" w:type="auto"/>
        <w:tblInd w:w="1101" w:type="dxa"/>
        <w:tblLook w:val="04A0" w:firstRow="1" w:lastRow="0" w:firstColumn="1" w:lastColumn="0" w:noHBand="0" w:noVBand="1"/>
      </w:tblPr>
      <w:tblGrid>
        <w:gridCol w:w="2738"/>
        <w:gridCol w:w="2506"/>
      </w:tblGrid>
      <w:tr w:rsidR="002D3FF9" w:rsidRPr="002D3FF9" w:rsidTr="00301CFC">
        <w:tc>
          <w:tcPr>
            <w:tcW w:w="2738" w:type="dxa"/>
          </w:tcPr>
          <w:p w:rsidR="00F67677" w:rsidRPr="002D3FF9" w:rsidRDefault="00301CFC" w:rsidP="00976A3A">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fr-FR" w:eastAsia="zh-CN" w:bidi="hi-IN"/>
              </w:rPr>
              <w:t>Explosions(</w:t>
            </w:r>
            <w:r w:rsidR="00976A3A" w:rsidRPr="002D3FF9">
              <w:rPr>
                <w:rFonts w:eastAsia="DejaVu Sans"/>
                <w:kern w:val="3"/>
                <w:sz w:val="20"/>
                <w:lang w:val="fr-FR" w:eastAsia="zh-CN" w:bidi="hi-IN"/>
              </w:rPr>
              <w:t>u</w:t>
            </w:r>
            <w:r w:rsidRPr="002D3FF9">
              <w:rPr>
                <w:rFonts w:eastAsia="DejaVu Sans"/>
                <w:kern w:val="3"/>
                <w:sz w:val="20"/>
                <w:lang w:val="fr-FR" w:eastAsia="zh-CN" w:bidi="hi-IN"/>
              </w:rPr>
              <w:t>nter)gruppe</w:t>
            </w:r>
          </w:p>
        </w:tc>
        <w:tc>
          <w:tcPr>
            <w:tcW w:w="2506" w:type="dxa"/>
          </w:tcPr>
          <w:p w:rsidR="00F67677" w:rsidRPr="002D3FF9" w:rsidRDefault="00301CFC"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Normspaltweite in mm</w:t>
            </w:r>
          </w:p>
        </w:tc>
      </w:tr>
      <w:tr w:rsidR="002D3FF9" w:rsidRPr="002D3FF9" w:rsidTr="00301CFC">
        <w:tc>
          <w:tcPr>
            <w:tcW w:w="2738"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II B1</w:t>
            </w:r>
          </w:p>
        </w:tc>
        <w:tc>
          <w:tcPr>
            <w:tcW w:w="2506" w:type="dxa"/>
          </w:tcPr>
          <w:p w:rsidR="00F67677" w:rsidRPr="002D3FF9" w:rsidRDefault="00F67677" w:rsidP="00552E59">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fr-FR" w:eastAsia="zh-CN" w:bidi="hi-IN"/>
              </w:rPr>
              <w:t xml:space="preserve">&gt; 0.85 </w:t>
            </w:r>
            <w:r w:rsidR="00552E59">
              <w:rPr>
                <w:rFonts w:eastAsia="DejaVu Sans"/>
                <w:kern w:val="3"/>
                <w:sz w:val="20"/>
                <w:lang w:val="fr-FR" w:eastAsia="zh-CN" w:bidi="hi-IN"/>
              </w:rPr>
              <w:t>bis</w:t>
            </w:r>
            <w:r w:rsidRPr="002D3FF9">
              <w:rPr>
                <w:rFonts w:eastAsia="DejaVu Sans"/>
                <w:kern w:val="3"/>
                <w:sz w:val="20"/>
                <w:lang w:val="fr-FR" w:eastAsia="zh-CN" w:bidi="hi-IN"/>
              </w:rPr>
              <w:t xml:space="preserve"> </w:t>
            </w:r>
            <w:r w:rsidRPr="002D3FF9">
              <w:rPr>
                <w:rFonts w:eastAsia="DejaVu Sans"/>
                <w:kern w:val="3"/>
                <w:sz w:val="20"/>
                <w:lang w:val="fr-FR" w:eastAsia="zh-CN" w:bidi="hi-IN"/>
              </w:rPr>
              <w:sym w:font="Symbol" w:char="F0A3"/>
            </w:r>
            <w:r w:rsidRPr="002D3FF9">
              <w:rPr>
                <w:rFonts w:eastAsia="DejaVu Sans"/>
                <w:kern w:val="3"/>
                <w:sz w:val="20"/>
                <w:lang w:val="fr-FR" w:eastAsia="zh-CN" w:bidi="hi-IN"/>
              </w:rPr>
              <w:t xml:space="preserve"> 0.9</w:t>
            </w:r>
          </w:p>
        </w:tc>
      </w:tr>
      <w:tr w:rsidR="002D3FF9" w:rsidRPr="002D3FF9" w:rsidTr="00301CFC">
        <w:tc>
          <w:tcPr>
            <w:tcW w:w="2738"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II B2</w:t>
            </w:r>
          </w:p>
        </w:tc>
        <w:tc>
          <w:tcPr>
            <w:tcW w:w="2506" w:type="dxa"/>
          </w:tcPr>
          <w:p w:rsidR="00F67677" w:rsidRPr="002D3FF9" w:rsidRDefault="00F67677" w:rsidP="00552E59">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fr-FR" w:eastAsia="zh-CN" w:bidi="hi-IN"/>
              </w:rPr>
              <w:t xml:space="preserve">&gt; 0.75 </w:t>
            </w:r>
            <w:r w:rsidR="00552E59">
              <w:rPr>
                <w:rFonts w:eastAsia="DejaVu Sans"/>
                <w:kern w:val="3"/>
                <w:sz w:val="20"/>
                <w:lang w:val="fr-FR" w:eastAsia="zh-CN" w:bidi="hi-IN"/>
              </w:rPr>
              <w:t>bis</w:t>
            </w:r>
            <w:r w:rsidRPr="002D3FF9">
              <w:rPr>
                <w:rFonts w:eastAsia="DejaVu Sans"/>
                <w:kern w:val="3"/>
                <w:sz w:val="20"/>
                <w:lang w:val="fr-FR" w:eastAsia="zh-CN" w:bidi="hi-IN"/>
              </w:rPr>
              <w:t xml:space="preserve"> </w:t>
            </w:r>
            <w:r w:rsidRPr="002D3FF9">
              <w:rPr>
                <w:rFonts w:eastAsia="DejaVu Sans"/>
                <w:kern w:val="3"/>
                <w:sz w:val="20"/>
                <w:lang w:val="fr-FR" w:eastAsia="zh-CN" w:bidi="hi-IN"/>
              </w:rPr>
              <w:sym w:font="Symbol" w:char="F0A3"/>
            </w:r>
            <w:r w:rsidRPr="002D3FF9">
              <w:rPr>
                <w:rFonts w:eastAsia="DejaVu Sans"/>
                <w:kern w:val="3"/>
                <w:sz w:val="20"/>
                <w:lang w:val="fr-FR" w:eastAsia="zh-CN" w:bidi="hi-IN"/>
              </w:rPr>
              <w:t xml:space="preserve"> 0.85</w:t>
            </w:r>
          </w:p>
        </w:tc>
      </w:tr>
      <w:tr w:rsidR="002D3FF9" w:rsidRPr="002D3FF9" w:rsidTr="00301CFC">
        <w:tc>
          <w:tcPr>
            <w:tcW w:w="2738"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II B3</w:t>
            </w:r>
          </w:p>
        </w:tc>
        <w:tc>
          <w:tcPr>
            <w:tcW w:w="2506" w:type="dxa"/>
          </w:tcPr>
          <w:p w:rsidR="00F67677" w:rsidRPr="002D3FF9" w:rsidRDefault="00F67677" w:rsidP="00552E59">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fr-FR" w:eastAsia="zh-CN" w:bidi="hi-IN"/>
              </w:rPr>
              <w:t xml:space="preserve">&gt; 0.65 </w:t>
            </w:r>
            <w:r w:rsidR="00552E59">
              <w:rPr>
                <w:rFonts w:eastAsia="DejaVu Sans"/>
                <w:kern w:val="3"/>
                <w:sz w:val="20"/>
                <w:lang w:val="fr-FR" w:eastAsia="zh-CN" w:bidi="hi-IN"/>
              </w:rPr>
              <w:t xml:space="preserve">bis </w:t>
            </w:r>
            <w:r w:rsidRPr="002D3FF9">
              <w:rPr>
                <w:rFonts w:eastAsia="DejaVu Sans"/>
                <w:kern w:val="3"/>
                <w:sz w:val="20"/>
                <w:lang w:val="fr-FR" w:eastAsia="zh-CN" w:bidi="hi-IN"/>
              </w:rPr>
              <w:sym w:font="Symbol" w:char="F0A3"/>
            </w:r>
            <w:r w:rsidRPr="002D3FF9">
              <w:rPr>
                <w:rFonts w:eastAsia="DejaVu Sans"/>
                <w:kern w:val="3"/>
                <w:sz w:val="20"/>
                <w:lang w:val="fr-FR" w:eastAsia="zh-CN" w:bidi="hi-IN"/>
              </w:rPr>
              <w:t xml:space="preserve"> 0.75</w:t>
            </w:r>
          </w:p>
        </w:tc>
      </w:tr>
      <w:tr w:rsidR="00F67677" w:rsidRPr="002D3FF9" w:rsidTr="00301CFC">
        <w:tc>
          <w:tcPr>
            <w:tcW w:w="2738" w:type="dxa"/>
          </w:tcPr>
          <w:p w:rsidR="00F67677" w:rsidRPr="002D3FF9" w:rsidRDefault="00F67677" w:rsidP="00F67677">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en-US" w:eastAsia="zh-CN" w:bidi="hi-IN"/>
              </w:rPr>
              <w:t>II B</w:t>
            </w:r>
          </w:p>
        </w:tc>
        <w:tc>
          <w:tcPr>
            <w:tcW w:w="2506" w:type="dxa"/>
          </w:tcPr>
          <w:p w:rsidR="00F67677" w:rsidRPr="002D3FF9" w:rsidRDefault="00F67677" w:rsidP="00552E59">
            <w:pPr>
              <w:widowControl w:val="0"/>
              <w:suppressAutoHyphens/>
              <w:autoSpaceDN w:val="0"/>
              <w:spacing w:after="0" w:line="240" w:lineRule="exact"/>
              <w:textAlignment w:val="baseline"/>
              <w:rPr>
                <w:rFonts w:eastAsia="DejaVu Sans"/>
                <w:kern w:val="3"/>
                <w:sz w:val="20"/>
                <w:lang w:val="en-US" w:eastAsia="zh-CN" w:bidi="hi-IN"/>
              </w:rPr>
            </w:pPr>
            <w:r w:rsidRPr="002D3FF9">
              <w:rPr>
                <w:rFonts w:eastAsia="DejaVu Sans"/>
                <w:kern w:val="3"/>
                <w:sz w:val="20"/>
                <w:lang w:val="fr-FR" w:eastAsia="zh-CN" w:bidi="hi-IN"/>
              </w:rPr>
              <w:sym w:font="Symbol" w:char="F0B3"/>
            </w:r>
            <w:r w:rsidRPr="002D3FF9">
              <w:rPr>
                <w:rFonts w:eastAsia="DejaVu Sans"/>
                <w:kern w:val="3"/>
                <w:sz w:val="20"/>
                <w:lang w:val="fr-FR" w:eastAsia="zh-CN" w:bidi="hi-IN"/>
              </w:rPr>
              <w:t xml:space="preserve"> 0.5 </w:t>
            </w:r>
            <w:r w:rsidR="00552E59">
              <w:rPr>
                <w:rFonts w:eastAsia="DejaVu Sans"/>
                <w:kern w:val="3"/>
                <w:sz w:val="20"/>
                <w:lang w:val="fr-FR" w:eastAsia="zh-CN" w:bidi="hi-IN"/>
              </w:rPr>
              <w:t>bis</w:t>
            </w:r>
            <w:r w:rsidRPr="002D3FF9">
              <w:rPr>
                <w:rFonts w:eastAsia="DejaVu Sans"/>
                <w:kern w:val="3"/>
                <w:sz w:val="20"/>
                <w:lang w:val="fr-FR" w:eastAsia="zh-CN" w:bidi="hi-IN"/>
              </w:rPr>
              <w:t xml:space="preserve"> </w:t>
            </w:r>
            <w:r w:rsidRPr="002D3FF9">
              <w:rPr>
                <w:rFonts w:eastAsia="DejaVu Sans"/>
                <w:kern w:val="3"/>
                <w:sz w:val="20"/>
                <w:lang w:val="fr-FR" w:eastAsia="zh-CN" w:bidi="hi-IN"/>
              </w:rPr>
              <w:sym w:font="Symbol" w:char="F0A3"/>
            </w:r>
            <w:r w:rsidRPr="002D3FF9">
              <w:rPr>
                <w:rFonts w:eastAsia="DejaVu Sans"/>
                <w:kern w:val="3"/>
                <w:sz w:val="20"/>
                <w:lang w:val="fr-FR" w:eastAsia="zh-CN" w:bidi="hi-IN"/>
              </w:rPr>
              <w:t xml:space="preserve"> 0.65</w:t>
            </w:r>
          </w:p>
        </w:tc>
      </w:tr>
    </w:tbl>
    <w:p w:rsidR="00B91921" w:rsidRPr="002D3FF9" w:rsidRDefault="00B91921" w:rsidP="00F67677">
      <w:pPr>
        <w:widowControl w:val="0"/>
        <w:suppressAutoHyphens/>
        <w:autoSpaceDN w:val="0"/>
        <w:spacing w:after="0" w:line="240" w:lineRule="exact"/>
        <w:textAlignment w:val="baseline"/>
        <w:rPr>
          <w:rFonts w:eastAsia="DejaVu Sans"/>
          <w:kern w:val="3"/>
          <w:sz w:val="20"/>
          <w:lang w:val="en-US" w:eastAsia="zh-CN" w:bidi="hi-IN"/>
        </w:rPr>
      </w:pPr>
    </w:p>
    <w:p w:rsidR="009962C8" w:rsidRPr="002D3FF9" w:rsidRDefault="00B91921" w:rsidP="00B91921">
      <w:pPr>
        <w:widowControl w:val="0"/>
        <w:suppressAutoHyphens/>
        <w:autoSpaceDN w:val="0"/>
        <w:spacing w:after="0" w:line="240" w:lineRule="exact"/>
        <w:textAlignment w:val="baseline"/>
        <w:rPr>
          <w:rFonts w:eastAsia="DejaVu Sans"/>
          <w:kern w:val="3"/>
          <w:sz w:val="20"/>
          <w:lang w:val="de-DE" w:eastAsia="zh-CN" w:bidi="hi-IN"/>
        </w:rPr>
      </w:pPr>
      <w:r w:rsidRPr="002D3FF9">
        <w:rPr>
          <w:rFonts w:eastAsia="DejaVu Sans"/>
          <w:kern w:val="3"/>
          <w:sz w:val="20"/>
          <w:lang w:val="de-DE" w:eastAsia="zh-CN" w:bidi="hi-IN"/>
        </w:rPr>
        <w:t>Falls Explosionsschutz erforderlich ist und die Daten bezüglich Explosionsschutz nicht vorliegen, muss die als sicher geschätzte Explosionsgruppe II B eingetragen werden.</w:t>
      </w:r>
      <w:r w:rsidR="00301CFC" w:rsidRPr="002D3FF9">
        <w:rPr>
          <w:rFonts w:eastAsia="DejaVu Sans"/>
          <w:kern w:val="3"/>
          <w:sz w:val="20"/>
          <w:lang w:val="de-DE" w:eastAsia="zh-CN" w:bidi="hi-IN"/>
        </w:rPr>
        <w:t>“.</w:t>
      </w:r>
    </w:p>
    <w:p w:rsidR="009962C8" w:rsidRDefault="009962C8">
      <w:pPr>
        <w:spacing w:after="0"/>
        <w:rPr>
          <w:rFonts w:eastAsia="DejaVu Sans"/>
          <w:kern w:val="3"/>
          <w:sz w:val="20"/>
          <w:lang w:val="de-DE" w:eastAsia="zh-CN" w:bidi="hi-IN"/>
        </w:rPr>
      </w:pPr>
    </w:p>
    <w:p w:rsidR="00A12DFF" w:rsidRPr="002D3FF9" w:rsidRDefault="00A12DFF">
      <w:pPr>
        <w:spacing w:after="0"/>
        <w:rPr>
          <w:rFonts w:eastAsia="DejaVu Sans"/>
          <w:kern w:val="3"/>
          <w:sz w:val="20"/>
          <w:lang w:val="de-DE" w:eastAsia="zh-CN" w:bidi="hi-IN"/>
        </w:rPr>
      </w:pPr>
    </w:p>
    <w:p w:rsidR="00F67677" w:rsidRPr="00552E59" w:rsidRDefault="00B91921" w:rsidP="00F554C7">
      <w:pPr>
        <w:spacing w:after="0"/>
        <w:ind w:right="566"/>
        <w:jc w:val="both"/>
        <w:rPr>
          <w:szCs w:val="24"/>
          <w:lang w:val="de-DE"/>
        </w:rPr>
      </w:pPr>
      <w:r w:rsidRPr="00552E59">
        <w:rPr>
          <w:b/>
          <w:szCs w:val="24"/>
          <w:lang w:val="de-DE"/>
        </w:rPr>
        <w:t>E.</w:t>
      </w:r>
      <w:r w:rsidRPr="00552E59">
        <w:rPr>
          <w:b/>
          <w:szCs w:val="24"/>
          <w:lang w:val="de-DE"/>
        </w:rPr>
        <w:tab/>
        <w:t>Zur Beförderung zugelassene Güter - Ölschlamm</w:t>
      </w:r>
    </w:p>
    <w:p w:rsidR="00F67677" w:rsidRPr="002D3FF9" w:rsidRDefault="00F67677" w:rsidP="00F554C7">
      <w:pPr>
        <w:spacing w:after="0"/>
        <w:ind w:right="566"/>
        <w:jc w:val="both"/>
        <w:rPr>
          <w:sz w:val="20"/>
          <w:lang w:val="de-DE"/>
        </w:rPr>
      </w:pPr>
    </w:p>
    <w:p w:rsidR="00F67677" w:rsidRPr="002D3FF9" w:rsidRDefault="00E33401" w:rsidP="00F554C7">
      <w:pPr>
        <w:spacing w:after="0"/>
        <w:ind w:right="566"/>
        <w:jc w:val="both"/>
        <w:rPr>
          <w:sz w:val="20"/>
          <w:lang w:val="de-DE"/>
        </w:rPr>
      </w:pPr>
      <w:r w:rsidRPr="002D3FF9">
        <w:rPr>
          <w:sz w:val="20"/>
          <w:lang w:val="de-DE"/>
        </w:rPr>
        <w:t>25</w:t>
      </w:r>
      <w:r w:rsidR="00B91921" w:rsidRPr="002D3FF9">
        <w:rPr>
          <w:sz w:val="20"/>
          <w:lang w:val="de-DE"/>
        </w:rPr>
        <w:t>.</w:t>
      </w:r>
      <w:r w:rsidR="00B91921" w:rsidRPr="002D3FF9">
        <w:rPr>
          <w:sz w:val="20"/>
          <w:lang w:val="de-DE"/>
        </w:rPr>
        <w:tab/>
      </w:r>
      <w:r w:rsidR="006C0F50" w:rsidRPr="002D3FF9">
        <w:rPr>
          <w:sz w:val="20"/>
          <w:lang w:val="de-DE"/>
        </w:rPr>
        <w:t xml:space="preserve">Für die Diskussion standen das </w:t>
      </w:r>
      <w:r w:rsidR="00A12DFF">
        <w:rPr>
          <w:sz w:val="20"/>
          <w:lang w:val="de-DE"/>
        </w:rPr>
        <w:t xml:space="preserve">informelle Dokument </w:t>
      </w:r>
      <w:r w:rsidR="006C0F50" w:rsidRPr="002D3FF9">
        <w:rPr>
          <w:sz w:val="20"/>
          <w:lang w:val="de-DE"/>
        </w:rPr>
        <w:t xml:space="preserve">INF.4 aus der 32. Sicherheitsausschuss-Sitzung sowie ein Vorlage von den Niederlanden zur Verfügung. </w:t>
      </w:r>
      <w:r w:rsidR="00F33B57" w:rsidRPr="002D3FF9">
        <w:rPr>
          <w:sz w:val="20"/>
          <w:lang w:val="de-DE"/>
        </w:rPr>
        <w:t xml:space="preserve">Die informelle Arbeitsgruppe erzielte Konsens darüber, dass neben dem vorgeschlagenen neuen Eintrag für die Tabelle C auch eine möglichst präzise Definition </w:t>
      </w:r>
      <w:r w:rsidR="00534C16" w:rsidRPr="002D3FF9">
        <w:rPr>
          <w:sz w:val="20"/>
          <w:lang w:val="de-DE"/>
        </w:rPr>
        <w:t>für „Ölschlamm</w:t>
      </w:r>
      <w:r w:rsidR="00712D66" w:rsidRPr="002D3FF9">
        <w:rPr>
          <w:sz w:val="20"/>
          <w:lang w:val="de-DE"/>
        </w:rPr>
        <w:t xml:space="preserve">“ </w:t>
      </w:r>
      <w:r w:rsidR="00F33B57" w:rsidRPr="002D3FF9">
        <w:rPr>
          <w:sz w:val="20"/>
          <w:lang w:val="de-DE"/>
        </w:rPr>
        <w:t xml:space="preserve">in Anlehnung an die Begriffsbestimmung in MARPOL </w:t>
      </w:r>
      <w:r w:rsidR="00712D66" w:rsidRPr="002D3FF9">
        <w:rPr>
          <w:sz w:val="20"/>
          <w:lang w:val="de-DE"/>
        </w:rPr>
        <w:t>erforderlich ist.</w:t>
      </w:r>
    </w:p>
    <w:p w:rsidR="00712D66" w:rsidRPr="002D3FF9" w:rsidRDefault="00712D66" w:rsidP="00F554C7">
      <w:pPr>
        <w:spacing w:after="0"/>
        <w:ind w:right="566"/>
        <w:jc w:val="both"/>
        <w:rPr>
          <w:sz w:val="20"/>
          <w:lang w:val="de-DE"/>
        </w:rPr>
      </w:pPr>
    </w:p>
    <w:p w:rsidR="00712D66" w:rsidRPr="002D3FF9" w:rsidRDefault="00E33401" w:rsidP="00F554C7">
      <w:pPr>
        <w:spacing w:after="0"/>
        <w:ind w:right="566"/>
        <w:jc w:val="both"/>
        <w:rPr>
          <w:sz w:val="20"/>
          <w:lang w:val="de-DE"/>
        </w:rPr>
      </w:pPr>
      <w:r w:rsidRPr="002D3FF9">
        <w:rPr>
          <w:sz w:val="20"/>
          <w:lang w:val="de-DE"/>
        </w:rPr>
        <w:t>26</w:t>
      </w:r>
      <w:r w:rsidR="00712D66" w:rsidRPr="002D3FF9">
        <w:rPr>
          <w:sz w:val="20"/>
          <w:lang w:val="de-DE"/>
        </w:rPr>
        <w:t>.</w:t>
      </w:r>
      <w:r w:rsidR="00712D66" w:rsidRPr="002D3FF9">
        <w:rPr>
          <w:sz w:val="20"/>
          <w:lang w:val="de-DE"/>
        </w:rPr>
        <w:tab/>
      </w:r>
      <w:r w:rsidR="002E26AB" w:rsidRPr="002D3FF9">
        <w:rPr>
          <w:sz w:val="20"/>
          <w:lang w:val="de-DE"/>
        </w:rPr>
        <w:t>Im Zuge der Diskussion stellte sich heraus, dass der Begriff „</w:t>
      </w:r>
      <w:r w:rsidR="00EA0EFB" w:rsidRPr="002D3FF9">
        <w:rPr>
          <w:sz w:val="20"/>
          <w:lang w:val="de-DE"/>
        </w:rPr>
        <w:t>Ölschlamm</w:t>
      </w:r>
      <w:r w:rsidR="002E26AB" w:rsidRPr="002D3FF9">
        <w:rPr>
          <w:sz w:val="20"/>
          <w:lang w:val="de-DE"/>
        </w:rPr>
        <w:t>“ im Rahmen des ADN auch auf die Reste aus der Aufbereitung von Bilgenwasser bei Seeschiffen erweitert werden sollte.</w:t>
      </w:r>
    </w:p>
    <w:p w:rsidR="002E26AB" w:rsidRPr="002D3FF9" w:rsidRDefault="002E26AB" w:rsidP="00F554C7">
      <w:pPr>
        <w:spacing w:after="0"/>
        <w:ind w:right="566"/>
        <w:jc w:val="both"/>
        <w:rPr>
          <w:sz w:val="20"/>
          <w:lang w:val="de-DE"/>
        </w:rPr>
      </w:pPr>
    </w:p>
    <w:p w:rsidR="002E26AB" w:rsidRPr="002D3FF9" w:rsidRDefault="00E33401" w:rsidP="00F554C7">
      <w:pPr>
        <w:spacing w:after="0"/>
        <w:ind w:right="566"/>
        <w:jc w:val="both"/>
        <w:rPr>
          <w:sz w:val="20"/>
          <w:lang w:val="de-DE"/>
        </w:rPr>
      </w:pPr>
      <w:r w:rsidRPr="002D3FF9">
        <w:rPr>
          <w:sz w:val="20"/>
          <w:lang w:val="de-DE"/>
        </w:rPr>
        <w:t>27</w:t>
      </w:r>
      <w:r w:rsidR="002E26AB" w:rsidRPr="002D3FF9">
        <w:rPr>
          <w:sz w:val="20"/>
          <w:lang w:val="de-DE"/>
        </w:rPr>
        <w:t>.</w:t>
      </w:r>
      <w:r w:rsidR="002E26AB" w:rsidRPr="002D3FF9">
        <w:rPr>
          <w:sz w:val="20"/>
          <w:lang w:val="de-DE"/>
        </w:rPr>
        <w:tab/>
      </w:r>
      <w:r w:rsidR="00C8428C" w:rsidRPr="002D3FF9">
        <w:rPr>
          <w:sz w:val="20"/>
          <w:lang w:val="de-DE"/>
        </w:rPr>
        <w:t>Im Vorschlag für einen neuen Eintrag in Tabelle C kam die informelle Arbeitsgruppe darin überein, dass bei den Gefahren neben „9 + CMR“ auch „N1“ als worst case mit angegeben werden sollte. Die Angabe zu Floater oder Sinker sollte nach Auffassung der informellen Arbeitsgruppe entfallen, da in der Praxis die erforderlichen Daten für diese Entscheidungen nicht zur Verfügung stehen und auch keine weiteren gesonderten Beförderungsbedingungen daraus resultieren.</w:t>
      </w:r>
    </w:p>
    <w:p w:rsidR="00C8428C" w:rsidRPr="002D3FF9" w:rsidRDefault="00C8428C" w:rsidP="00F554C7">
      <w:pPr>
        <w:spacing w:after="0"/>
        <w:ind w:right="566"/>
        <w:jc w:val="both"/>
        <w:rPr>
          <w:sz w:val="20"/>
          <w:lang w:val="de-DE"/>
        </w:rPr>
      </w:pPr>
    </w:p>
    <w:p w:rsidR="00C8428C" w:rsidRPr="002D3FF9" w:rsidRDefault="00E33401" w:rsidP="00F554C7">
      <w:pPr>
        <w:spacing w:after="0"/>
        <w:ind w:right="566"/>
        <w:jc w:val="both"/>
        <w:rPr>
          <w:sz w:val="20"/>
          <w:lang w:val="de-DE"/>
        </w:rPr>
      </w:pPr>
      <w:r w:rsidRPr="002D3FF9">
        <w:rPr>
          <w:sz w:val="20"/>
          <w:lang w:val="de-DE"/>
        </w:rPr>
        <w:t>28</w:t>
      </w:r>
      <w:r w:rsidR="00C8428C" w:rsidRPr="002D3FF9">
        <w:rPr>
          <w:sz w:val="20"/>
          <w:lang w:val="de-DE"/>
        </w:rPr>
        <w:t>.</w:t>
      </w:r>
      <w:r w:rsidR="00C8428C" w:rsidRPr="002D3FF9">
        <w:rPr>
          <w:sz w:val="20"/>
          <w:lang w:val="de-DE"/>
        </w:rPr>
        <w:tab/>
        <w:t xml:space="preserve">Die informelle Arbeitsgruppe möchte den Sicherheitsausschuss darauf hinweisen, dass in der englischen Sprachfassung des ADN das Wort „Sludge“ in der Begriffsbestimmung für „Slops“ verwendet wird, </w:t>
      </w:r>
      <w:r w:rsidR="001919B1" w:rsidRPr="002D3FF9">
        <w:rPr>
          <w:sz w:val="20"/>
          <w:lang w:val="de-DE"/>
        </w:rPr>
        <w:t>allerdings mit einer anderen Bedeutung als für die hier in Rede stehenden Ölschlämme.</w:t>
      </w:r>
    </w:p>
    <w:p w:rsidR="00B91921" w:rsidRPr="002D3FF9" w:rsidRDefault="00B91921" w:rsidP="00F554C7">
      <w:pPr>
        <w:spacing w:after="0"/>
        <w:ind w:right="566"/>
        <w:jc w:val="both"/>
        <w:rPr>
          <w:sz w:val="20"/>
          <w:lang w:val="de-DE"/>
        </w:rPr>
      </w:pPr>
    </w:p>
    <w:p w:rsidR="00B91921" w:rsidRPr="002D3FF9" w:rsidRDefault="00E33401" w:rsidP="00F554C7">
      <w:pPr>
        <w:spacing w:after="0"/>
        <w:ind w:right="566"/>
        <w:jc w:val="both"/>
        <w:rPr>
          <w:sz w:val="20"/>
          <w:lang w:val="de-DE"/>
        </w:rPr>
      </w:pPr>
      <w:r w:rsidRPr="002D3FF9">
        <w:rPr>
          <w:sz w:val="20"/>
          <w:lang w:val="de-DE"/>
        </w:rPr>
        <w:t>29</w:t>
      </w:r>
      <w:r w:rsidR="001919B1" w:rsidRPr="002D3FF9">
        <w:rPr>
          <w:sz w:val="20"/>
          <w:lang w:val="de-DE"/>
        </w:rPr>
        <w:t>.</w:t>
      </w:r>
      <w:r w:rsidR="001919B1" w:rsidRPr="002D3FF9">
        <w:rPr>
          <w:sz w:val="20"/>
          <w:lang w:val="de-DE"/>
        </w:rPr>
        <w:tab/>
        <w:t xml:space="preserve">Vor dem Hintergrund dass bei Binnenschiffen hauptsächlich Gasöl als Treibstoff zum Einsatz kommt, bei Seeschiffen hingegen schweres Heizöl, regt die informelle Arbeitsgruppe an, dass sich der Sicherheitsausschuss mit dieser Frage beschäftigt. Dabei sollte geprüft werden, ob es bei einem </w:t>
      </w:r>
      <w:r w:rsidR="002C5D21" w:rsidRPr="002D3FF9">
        <w:rPr>
          <w:sz w:val="20"/>
          <w:lang w:val="de-DE"/>
        </w:rPr>
        <w:t xml:space="preserve">einzelnen </w:t>
      </w:r>
      <w:r w:rsidR="001919B1" w:rsidRPr="002D3FF9">
        <w:rPr>
          <w:sz w:val="20"/>
          <w:lang w:val="de-DE"/>
        </w:rPr>
        <w:t xml:space="preserve">Eintrag für Bilgenwasser in Tabelle C bleiben soll oder ob es für Bilgenwasser aus Binnen- bzw. Seeschiffen getrennte Einträge </w:t>
      </w:r>
      <w:r w:rsidR="001F7B38" w:rsidRPr="002D3FF9">
        <w:rPr>
          <w:sz w:val="20"/>
          <w:lang w:val="de-DE"/>
        </w:rPr>
        <w:t>geben sollte.</w:t>
      </w:r>
    </w:p>
    <w:p w:rsidR="00B91921" w:rsidRPr="002D3FF9" w:rsidRDefault="00B91921" w:rsidP="00F554C7">
      <w:pPr>
        <w:spacing w:after="0"/>
        <w:ind w:right="566"/>
        <w:jc w:val="both"/>
        <w:rPr>
          <w:sz w:val="20"/>
          <w:lang w:val="de-DE"/>
        </w:rPr>
      </w:pPr>
    </w:p>
    <w:p w:rsidR="00B91921" w:rsidRPr="002D3FF9" w:rsidRDefault="00CC4250" w:rsidP="00F554C7">
      <w:pPr>
        <w:spacing w:after="0"/>
        <w:ind w:right="566"/>
        <w:jc w:val="both"/>
        <w:rPr>
          <w:b/>
          <w:sz w:val="20"/>
          <w:u w:val="single"/>
          <w:lang w:val="de-DE"/>
        </w:rPr>
      </w:pPr>
      <w:r w:rsidRPr="002D3FF9">
        <w:rPr>
          <w:b/>
          <w:sz w:val="20"/>
          <w:u w:val="single"/>
          <w:lang w:val="de-DE"/>
        </w:rPr>
        <w:t>Vorschlag:</w:t>
      </w:r>
    </w:p>
    <w:p w:rsidR="00CC4250" w:rsidRPr="002D3FF9" w:rsidRDefault="00CC4250" w:rsidP="00F554C7">
      <w:pPr>
        <w:spacing w:after="0"/>
        <w:ind w:right="566"/>
        <w:jc w:val="both"/>
        <w:rPr>
          <w:sz w:val="20"/>
          <w:lang w:val="de-DE"/>
        </w:rPr>
      </w:pPr>
    </w:p>
    <w:p w:rsidR="00CC4250" w:rsidRPr="002D3FF9" w:rsidRDefault="00E33401" w:rsidP="00F554C7">
      <w:pPr>
        <w:spacing w:after="0"/>
        <w:ind w:right="566"/>
        <w:jc w:val="both"/>
        <w:rPr>
          <w:sz w:val="20"/>
          <w:lang w:val="de-DE"/>
        </w:rPr>
      </w:pPr>
      <w:r w:rsidRPr="002D3FF9">
        <w:rPr>
          <w:sz w:val="20"/>
          <w:lang w:val="de-DE"/>
        </w:rPr>
        <w:t>30</w:t>
      </w:r>
      <w:r w:rsidR="00CC4250" w:rsidRPr="002D3FF9">
        <w:rPr>
          <w:sz w:val="20"/>
          <w:lang w:val="de-DE"/>
        </w:rPr>
        <w:t>.</w:t>
      </w:r>
      <w:r w:rsidR="00CC4250" w:rsidRPr="002D3FF9">
        <w:rPr>
          <w:sz w:val="20"/>
          <w:lang w:val="de-DE"/>
        </w:rPr>
        <w:tab/>
        <w:t>In 1.2.1 „Begriffsbestimmungen“ eine Begriffsbestimmung für den Begriff „</w:t>
      </w:r>
      <w:r w:rsidR="00EA0EFB" w:rsidRPr="002D3FF9">
        <w:rPr>
          <w:sz w:val="20"/>
          <w:lang w:val="de-DE"/>
        </w:rPr>
        <w:t>Ölschlamm</w:t>
      </w:r>
      <w:r w:rsidR="00CC4250" w:rsidRPr="002D3FF9">
        <w:rPr>
          <w:sz w:val="20"/>
          <w:lang w:val="de-DE"/>
        </w:rPr>
        <w:t>“ aufnehmen, die wie folgt lautet:</w:t>
      </w:r>
    </w:p>
    <w:p w:rsidR="00B91921" w:rsidRPr="002D3FF9" w:rsidRDefault="00B91921" w:rsidP="00F554C7">
      <w:pPr>
        <w:spacing w:after="0"/>
        <w:ind w:right="566"/>
        <w:jc w:val="both"/>
        <w:rPr>
          <w:sz w:val="20"/>
          <w:lang w:val="de-DE"/>
        </w:rPr>
      </w:pPr>
    </w:p>
    <w:p w:rsidR="006B6840" w:rsidRPr="002D3FF9" w:rsidRDefault="00CC4250" w:rsidP="00CC4250">
      <w:pPr>
        <w:spacing w:after="0"/>
        <w:ind w:right="566"/>
        <w:jc w:val="both"/>
        <w:rPr>
          <w:sz w:val="20"/>
          <w:lang w:val="de-DE"/>
        </w:rPr>
      </w:pPr>
      <w:r w:rsidRPr="002D3FF9">
        <w:rPr>
          <w:sz w:val="20"/>
          <w:lang w:val="de-DE"/>
        </w:rPr>
        <w:t>„</w:t>
      </w:r>
      <w:r w:rsidR="00EA0EFB" w:rsidRPr="002D3FF9">
        <w:rPr>
          <w:b/>
          <w:i/>
          <w:sz w:val="20"/>
          <w:lang w:val="de-DE"/>
        </w:rPr>
        <w:t>Ölschlamm</w:t>
      </w:r>
      <w:r w:rsidRPr="002D3FF9">
        <w:rPr>
          <w:b/>
          <w:i/>
          <w:sz w:val="20"/>
          <w:lang w:val="de-DE"/>
        </w:rPr>
        <w:t>:</w:t>
      </w:r>
      <w:r w:rsidRPr="002D3FF9">
        <w:rPr>
          <w:sz w:val="20"/>
          <w:lang w:val="de-DE"/>
        </w:rPr>
        <w:t xml:space="preserve"> Restölprodukte, die während des normalen Betriebs von Seeschiff</w:t>
      </w:r>
      <w:r w:rsidR="00976A3A" w:rsidRPr="002D3FF9">
        <w:rPr>
          <w:sz w:val="20"/>
          <w:lang w:val="de-DE"/>
        </w:rPr>
        <w:t>en</w:t>
      </w:r>
      <w:r w:rsidRPr="002D3FF9">
        <w:rPr>
          <w:sz w:val="20"/>
          <w:lang w:val="de-DE"/>
        </w:rPr>
        <w:t xml:space="preserve"> anfallen, z. B. die Rückstände bei der Aufbereitung von Brennstoff und Schmierölen für die Haupt- oder Hilfsantriebsanlage, getrennte Ölrückstände aus den Ölfilteranlagen, in Auffangwannen aufgefangene Ölrückstände und Hydraulik- und Schmierölrückstände.</w:t>
      </w:r>
    </w:p>
    <w:p w:rsidR="006B6840" w:rsidRPr="002D3FF9" w:rsidRDefault="006B6840" w:rsidP="00CC4250">
      <w:pPr>
        <w:spacing w:after="0"/>
        <w:ind w:right="566"/>
        <w:jc w:val="both"/>
        <w:rPr>
          <w:sz w:val="20"/>
          <w:lang w:val="de-DE"/>
        </w:rPr>
      </w:pPr>
    </w:p>
    <w:p w:rsidR="00CC4250" w:rsidRPr="002D3FF9" w:rsidRDefault="006B6840" w:rsidP="006B6840">
      <w:pPr>
        <w:spacing w:after="0"/>
        <w:ind w:left="567" w:right="566" w:hanging="567"/>
        <w:jc w:val="both"/>
        <w:rPr>
          <w:sz w:val="20"/>
          <w:lang w:val="de-DE"/>
        </w:rPr>
      </w:pPr>
      <w:r w:rsidRPr="002D3FF9">
        <w:rPr>
          <w:b/>
          <w:sz w:val="20"/>
          <w:lang w:val="de-DE"/>
        </w:rPr>
        <w:lastRenderedPageBreak/>
        <w:t>Bem.</w:t>
      </w:r>
      <w:r w:rsidRPr="002D3FF9">
        <w:rPr>
          <w:sz w:val="20"/>
          <w:lang w:val="de-DE"/>
        </w:rPr>
        <w:tab/>
        <w:t xml:space="preserve">In Erweiterung der Definition aus MARPOL werden im ADN die Rückstände </w:t>
      </w:r>
      <w:r w:rsidR="00DF07B9" w:rsidRPr="002D3FF9">
        <w:rPr>
          <w:sz w:val="20"/>
          <w:lang w:val="de-DE"/>
        </w:rPr>
        <w:t>aus</w:t>
      </w:r>
      <w:r w:rsidRPr="002D3FF9">
        <w:rPr>
          <w:sz w:val="20"/>
          <w:lang w:val="de-DE"/>
        </w:rPr>
        <w:t xml:space="preserve"> der Aufbereitung von Bilgenwasser </w:t>
      </w:r>
      <w:r w:rsidR="004B14EA" w:rsidRPr="002D3FF9">
        <w:rPr>
          <w:sz w:val="20"/>
          <w:lang w:val="de-DE"/>
        </w:rPr>
        <w:t xml:space="preserve">an Bord von Seeschiffen </w:t>
      </w:r>
      <w:r w:rsidRPr="002D3FF9">
        <w:rPr>
          <w:sz w:val="20"/>
          <w:lang w:val="de-DE"/>
        </w:rPr>
        <w:t>mit eingeschlossen.</w:t>
      </w:r>
      <w:r w:rsidR="00CC4250" w:rsidRPr="002D3FF9">
        <w:rPr>
          <w:sz w:val="20"/>
          <w:lang w:val="de-DE"/>
        </w:rPr>
        <w:t>“.</w:t>
      </w:r>
    </w:p>
    <w:p w:rsidR="00F67677" w:rsidRPr="002D3FF9" w:rsidRDefault="00F67677" w:rsidP="00F554C7">
      <w:pPr>
        <w:spacing w:after="0"/>
        <w:ind w:right="566"/>
        <w:jc w:val="both"/>
        <w:rPr>
          <w:sz w:val="20"/>
          <w:lang w:val="de-DE"/>
        </w:rPr>
      </w:pPr>
    </w:p>
    <w:p w:rsidR="00D43EA3" w:rsidRPr="002D3FF9" w:rsidRDefault="00D43EA3" w:rsidP="00D43EA3">
      <w:pPr>
        <w:tabs>
          <w:tab w:val="left" w:pos="1418"/>
          <w:tab w:val="left" w:pos="1985"/>
          <w:tab w:val="left" w:pos="2552"/>
          <w:tab w:val="left" w:pos="3119"/>
          <w:tab w:val="left" w:pos="3686"/>
        </w:tabs>
        <w:spacing w:after="0"/>
        <w:ind w:right="566"/>
        <w:jc w:val="both"/>
        <w:rPr>
          <w:sz w:val="20"/>
          <w:lang w:val="de-DE"/>
        </w:rPr>
        <w:sectPr w:rsidR="00D43EA3" w:rsidRPr="002D3FF9" w:rsidSect="000366B7">
          <w:headerReference w:type="even" r:id="rId9"/>
          <w:headerReference w:type="default" r:id="rId10"/>
          <w:footerReference w:type="even" r:id="rId11"/>
          <w:footerReference w:type="default" r:id="rId12"/>
          <w:endnotePr>
            <w:numFmt w:val="decimal"/>
          </w:endnotePr>
          <w:type w:val="continuous"/>
          <w:pgSz w:w="11907" w:h="16840" w:code="9"/>
          <w:pgMar w:top="1418" w:right="1418" w:bottom="1418" w:left="1418" w:header="680" w:footer="680" w:gutter="0"/>
          <w:cols w:space="720"/>
          <w:titlePg/>
          <w:docGrid w:linePitch="326"/>
        </w:sectPr>
      </w:pPr>
    </w:p>
    <w:p w:rsidR="00D43EA3" w:rsidRPr="002D3FF9" w:rsidRDefault="00D43EA3" w:rsidP="00D43EA3">
      <w:pPr>
        <w:tabs>
          <w:tab w:val="left" w:pos="1418"/>
          <w:tab w:val="left" w:pos="1985"/>
          <w:tab w:val="left" w:pos="2552"/>
          <w:tab w:val="left" w:pos="3119"/>
          <w:tab w:val="left" w:pos="3686"/>
        </w:tabs>
        <w:spacing w:after="0"/>
        <w:ind w:right="566"/>
        <w:jc w:val="both"/>
        <w:rPr>
          <w:sz w:val="20"/>
          <w:lang w:val="de-DE"/>
        </w:rPr>
      </w:pPr>
    </w:p>
    <w:p w:rsidR="006B6840" w:rsidRPr="002D3FF9" w:rsidRDefault="006B6840" w:rsidP="006B6840">
      <w:pPr>
        <w:spacing w:after="0"/>
        <w:ind w:right="566"/>
        <w:jc w:val="both"/>
        <w:rPr>
          <w:b/>
          <w:sz w:val="20"/>
          <w:u w:val="single"/>
          <w:lang w:val="de-DE"/>
        </w:rPr>
      </w:pPr>
      <w:r w:rsidRPr="002D3FF9">
        <w:rPr>
          <w:b/>
          <w:sz w:val="20"/>
          <w:u w:val="single"/>
          <w:lang w:val="de-DE"/>
        </w:rPr>
        <w:t>Vorschlag:</w:t>
      </w:r>
    </w:p>
    <w:p w:rsidR="00D43EA3" w:rsidRPr="002D3FF9" w:rsidRDefault="00D43EA3" w:rsidP="00D43EA3">
      <w:pPr>
        <w:tabs>
          <w:tab w:val="left" w:pos="1418"/>
          <w:tab w:val="left" w:pos="1985"/>
          <w:tab w:val="left" w:pos="2552"/>
          <w:tab w:val="left" w:pos="3119"/>
          <w:tab w:val="left" w:pos="3686"/>
        </w:tabs>
        <w:spacing w:after="0"/>
        <w:ind w:right="566"/>
        <w:jc w:val="both"/>
        <w:rPr>
          <w:sz w:val="20"/>
          <w:lang w:val="de-DE"/>
        </w:rPr>
      </w:pPr>
    </w:p>
    <w:p w:rsidR="00D43EA3" w:rsidRPr="002D3FF9" w:rsidRDefault="00E33401" w:rsidP="00D43EA3">
      <w:pPr>
        <w:spacing w:after="0"/>
        <w:rPr>
          <w:rFonts w:cs="Arial"/>
          <w:sz w:val="20"/>
          <w:lang w:val="de-DE"/>
        </w:rPr>
      </w:pPr>
      <w:r w:rsidRPr="002D3FF9">
        <w:rPr>
          <w:rFonts w:cs="Arial"/>
          <w:sz w:val="20"/>
          <w:lang w:val="de-DE"/>
        </w:rPr>
        <w:t>31</w:t>
      </w:r>
      <w:r w:rsidR="00D43EA3" w:rsidRPr="002D3FF9">
        <w:rPr>
          <w:rFonts w:cs="Arial"/>
          <w:sz w:val="20"/>
          <w:lang w:val="de-DE"/>
        </w:rPr>
        <w:t>.</w:t>
      </w:r>
      <w:r w:rsidR="00D43EA3" w:rsidRPr="002D3FF9">
        <w:rPr>
          <w:rFonts w:cs="Arial"/>
          <w:sz w:val="20"/>
          <w:lang w:val="de-DE"/>
        </w:rPr>
        <w:tab/>
        <w:t>Die Tabelle C um folgende Zeile erweitern:</w:t>
      </w:r>
    </w:p>
    <w:p w:rsidR="00D43EA3" w:rsidRPr="002D3FF9" w:rsidRDefault="00D43EA3" w:rsidP="00D43EA3">
      <w:pPr>
        <w:tabs>
          <w:tab w:val="left" w:pos="1418"/>
          <w:tab w:val="left" w:pos="1985"/>
          <w:tab w:val="left" w:pos="2552"/>
          <w:tab w:val="left" w:pos="3119"/>
          <w:tab w:val="left" w:pos="3686"/>
        </w:tabs>
        <w:spacing w:after="0"/>
        <w:ind w:right="566"/>
        <w:jc w:val="both"/>
        <w:rPr>
          <w:sz w:val="20"/>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443"/>
        <w:gridCol w:w="425"/>
        <w:gridCol w:w="452"/>
        <w:gridCol w:w="400"/>
        <w:gridCol w:w="1440"/>
        <w:gridCol w:w="400"/>
        <w:gridCol w:w="400"/>
        <w:gridCol w:w="400"/>
        <w:gridCol w:w="400"/>
        <w:gridCol w:w="524"/>
        <w:gridCol w:w="524"/>
        <w:gridCol w:w="700"/>
        <w:gridCol w:w="524"/>
        <w:gridCol w:w="524"/>
        <w:gridCol w:w="500"/>
        <w:gridCol w:w="500"/>
        <w:gridCol w:w="524"/>
        <w:gridCol w:w="660"/>
        <w:gridCol w:w="440"/>
        <w:gridCol w:w="1240"/>
      </w:tblGrid>
      <w:tr w:rsidR="002D3FF9" w:rsidRPr="002D3FF9" w:rsidTr="0046029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w:t>
            </w:r>
          </w:p>
        </w:tc>
        <w:tc>
          <w:tcPr>
            <w:tcW w:w="3443" w:type="dxa"/>
            <w:tcBorders>
              <w:top w:val="single" w:sz="4" w:space="0" w:color="auto"/>
              <w:left w:val="nil"/>
              <w:bottom w:val="single" w:sz="4" w:space="0" w:color="auto"/>
              <w:right w:val="single" w:sz="4" w:space="0" w:color="auto"/>
            </w:tcBorders>
            <w:shd w:val="clear" w:color="auto" w:fill="auto"/>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(20)</w:t>
            </w:r>
          </w:p>
        </w:tc>
      </w:tr>
      <w:tr w:rsidR="002D3FF9" w:rsidRPr="002D3FF9" w:rsidTr="00460297">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 xml:space="preserve">UN-Nummer </w:t>
            </w:r>
            <w:r w:rsidRPr="002D3FF9">
              <w:rPr>
                <w:rFonts w:ascii="Arial" w:hAnsi="Arial" w:cs="Arial"/>
                <w:sz w:val="16"/>
                <w:szCs w:val="16"/>
                <w:lang w:val="de-DE" w:eastAsia="de-DE"/>
              </w:rPr>
              <w:br/>
              <w:t>oder Stoffnummer</w:t>
            </w:r>
          </w:p>
        </w:tc>
        <w:tc>
          <w:tcPr>
            <w:tcW w:w="3443" w:type="dxa"/>
            <w:tcBorders>
              <w:top w:val="nil"/>
              <w:left w:val="nil"/>
              <w:bottom w:val="single" w:sz="4" w:space="0" w:color="auto"/>
              <w:right w:val="single" w:sz="4" w:space="0" w:color="auto"/>
            </w:tcBorders>
            <w:shd w:val="clear" w:color="auto" w:fill="auto"/>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Ladetankausrüstung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Öffnungsdruck des</w:t>
            </w:r>
            <w:r w:rsidRPr="002D3FF9">
              <w:rPr>
                <w:rFonts w:ascii="Arial" w:hAnsi="Arial" w:cs="Arial"/>
                <w:sz w:val="16"/>
                <w:szCs w:val="16"/>
                <w:lang w:val="de-DE" w:eastAsia="de-DE"/>
              </w:rPr>
              <w:br/>
              <w:t>H.-J.-Ventils in kPa</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max. zul. Tankfüllungsgrad</w:t>
            </w:r>
            <w:r w:rsidRPr="002D3FF9">
              <w:rPr>
                <w:rFonts w:ascii="Arial" w:hAnsi="Arial" w:cs="Arial"/>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relative Dichte bei 20 ºC</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Art der</w:t>
            </w:r>
            <w:r w:rsidRPr="002D3FF9">
              <w:rPr>
                <w:rFonts w:ascii="Arial" w:hAnsi="Arial" w:cs="Arial"/>
                <w:sz w:val="16"/>
                <w:szCs w:val="16"/>
                <w:lang w:val="de-DE" w:eastAsia="de-DE"/>
              </w:rPr>
              <w:br/>
              <w:t>Probeentnahmeeinrichtung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Pumpenraum unter Deck</w:t>
            </w:r>
            <w:r w:rsidRPr="002D3FF9">
              <w:rPr>
                <w:rFonts w:ascii="Arial" w:hAnsi="Arial" w:cs="Arial"/>
                <w:sz w:val="16"/>
                <w:szCs w:val="16"/>
                <w:lang w:val="de-DE" w:eastAsia="de-DE"/>
              </w:rPr>
              <w:br/>
              <w:t>erlaubt</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Temperaturklasse</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Explosionsgruppe</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Explosionsschutz</w:t>
            </w:r>
            <w:r w:rsidRPr="002D3FF9">
              <w:rPr>
                <w:rFonts w:ascii="Arial" w:hAnsi="Arial" w:cs="Arial"/>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Ausrüstung</w:t>
            </w:r>
            <w:r w:rsidRPr="002D3FF9">
              <w:rPr>
                <w:rFonts w:ascii="Arial" w:hAnsi="Arial" w:cs="Arial"/>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D43EA3" w:rsidRPr="002D3FF9" w:rsidRDefault="00D43EA3" w:rsidP="00460297">
            <w:pPr>
              <w:spacing w:after="0"/>
              <w:jc w:val="center"/>
              <w:rPr>
                <w:rFonts w:ascii="Arial" w:hAnsi="Arial" w:cs="Arial"/>
                <w:sz w:val="16"/>
                <w:szCs w:val="16"/>
                <w:lang w:val="de-DE" w:eastAsia="de-DE"/>
              </w:rPr>
            </w:pPr>
            <w:r w:rsidRPr="002D3FF9">
              <w:rPr>
                <w:rFonts w:ascii="Arial" w:hAnsi="Arial" w:cs="Arial"/>
                <w:sz w:val="16"/>
                <w:szCs w:val="16"/>
                <w:lang w:val="de-DE" w:eastAsia="de-DE"/>
              </w:rPr>
              <w:t>zusätzliche Anforderungen</w:t>
            </w:r>
            <w:r w:rsidRPr="002D3FF9">
              <w:rPr>
                <w:rFonts w:ascii="Arial" w:hAnsi="Arial" w:cs="Arial"/>
                <w:sz w:val="16"/>
                <w:szCs w:val="16"/>
                <w:lang w:val="de-DE" w:eastAsia="de-DE"/>
              </w:rPr>
              <w:br/>
              <w:t>oder Bemerkungen</w:t>
            </w:r>
          </w:p>
        </w:tc>
      </w:tr>
      <w:tr w:rsidR="002D3FF9" w:rsidRPr="002D3FF9" w:rsidTr="00460297">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D43EA3" w:rsidRPr="002D3FF9" w:rsidRDefault="00EA0EFB" w:rsidP="00460297">
            <w:pPr>
              <w:rPr>
                <w:rFonts w:ascii="Arial" w:hAnsi="Arial" w:cs="Arial"/>
                <w:sz w:val="16"/>
                <w:szCs w:val="16"/>
              </w:rPr>
            </w:pPr>
            <w:r w:rsidRPr="002D3FF9">
              <w:rPr>
                <w:rFonts w:ascii="Arial" w:hAnsi="Arial" w:cs="Arial"/>
                <w:sz w:val="16"/>
                <w:szCs w:val="16"/>
              </w:rPr>
              <w:t>3082</w:t>
            </w:r>
          </w:p>
        </w:tc>
        <w:tc>
          <w:tcPr>
            <w:tcW w:w="3443" w:type="dxa"/>
            <w:tcBorders>
              <w:top w:val="nil"/>
              <w:left w:val="nil"/>
              <w:bottom w:val="single" w:sz="4" w:space="0" w:color="auto"/>
              <w:right w:val="single" w:sz="4" w:space="0" w:color="auto"/>
            </w:tcBorders>
            <w:shd w:val="clear" w:color="auto" w:fill="auto"/>
            <w:hideMark/>
          </w:tcPr>
          <w:p w:rsidR="00D43EA3" w:rsidRPr="002D3FF9" w:rsidRDefault="006B6840" w:rsidP="006B6840">
            <w:pPr>
              <w:rPr>
                <w:rFonts w:ascii="Arial" w:hAnsi="Arial" w:cs="Arial"/>
                <w:sz w:val="16"/>
                <w:szCs w:val="16"/>
                <w:lang w:val="de-DE"/>
              </w:rPr>
            </w:pPr>
            <w:r w:rsidRPr="002D3FF9">
              <w:rPr>
                <w:rFonts w:ascii="Arial" w:hAnsi="Arial" w:cs="Arial"/>
                <w:sz w:val="16"/>
                <w:szCs w:val="16"/>
                <w:lang w:val="de-DE"/>
              </w:rPr>
              <w:t>UMWELTGEFÄHRDENDER STOFF, FLÜSSIG, N.A.G. (ÖLSCHLAMM)</w:t>
            </w:r>
          </w:p>
        </w:tc>
        <w:tc>
          <w:tcPr>
            <w:tcW w:w="425" w:type="dxa"/>
            <w:tcBorders>
              <w:top w:val="nil"/>
              <w:left w:val="nil"/>
              <w:bottom w:val="single" w:sz="4" w:space="0" w:color="auto"/>
              <w:right w:val="single" w:sz="4" w:space="0" w:color="auto"/>
            </w:tcBorders>
            <w:shd w:val="clear" w:color="auto" w:fill="auto"/>
            <w:noWrap/>
            <w:hideMark/>
          </w:tcPr>
          <w:p w:rsidR="00D43EA3" w:rsidRPr="002D3FF9" w:rsidRDefault="00EA0EFB" w:rsidP="00460297">
            <w:pPr>
              <w:rPr>
                <w:rFonts w:ascii="Arial" w:hAnsi="Arial" w:cs="Arial"/>
                <w:sz w:val="16"/>
                <w:szCs w:val="16"/>
              </w:rPr>
            </w:pPr>
            <w:r w:rsidRPr="002D3FF9">
              <w:rPr>
                <w:rFonts w:ascii="Arial" w:hAnsi="Arial" w:cs="Arial"/>
                <w:sz w:val="16"/>
                <w:szCs w:val="16"/>
              </w:rPr>
              <w:t>9</w:t>
            </w:r>
          </w:p>
        </w:tc>
        <w:tc>
          <w:tcPr>
            <w:tcW w:w="452" w:type="dxa"/>
            <w:tcBorders>
              <w:top w:val="nil"/>
              <w:left w:val="nil"/>
              <w:bottom w:val="single" w:sz="4" w:space="0" w:color="auto"/>
              <w:right w:val="single" w:sz="4" w:space="0" w:color="auto"/>
            </w:tcBorders>
            <w:shd w:val="clear" w:color="auto" w:fill="auto"/>
            <w:noWrap/>
            <w:hideMark/>
          </w:tcPr>
          <w:p w:rsidR="00D43EA3" w:rsidRPr="002D3FF9" w:rsidRDefault="00EA0EFB" w:rsidP="00460297">
            <w:pPr>
              <w:rPr>
                <w:rFonts w:ascii="Arial" w:hAnsi="Arial" w:cs="Arial"/>
                <w:sz w:val="16"/>
                <w:szCs w:val="16"/>
              </w:rPr>
            </w:pPr>
            <w:r w:rsidRPr="002D3FF9">
              <w:rPr>
                <w:rFonts w:ascii="Arial" w:hAnsi="Arial" w:cs="Arial"/>
                <w:sz w:val="16"/>
                <w:szCs w:val="16"/>
              </w:rPr>
              <w:t>M6</w:t>
            </w:r>
          </w:p>
        </w:tc>
        <w:tc>
          <w:tcPr>
            <w:tcW w:w="400" w:type="dxa"/>
            <w:tcBorders>
              <w:top w:val="nil"/>
              <w:left w:val="nil"/>
              <w:bottom w:val="single" w:sz="4" w:space="0" w:color="auto"/>
              <w:right w:val="single" w:sz="4" w:space="0" w:color="auto"/>
            </w:tcBorders>
            <w:shd w:val="clear" w:color="auto" w:fill="auto"/>
            <w:noWrap/>
            <w:hideMark/>
          </w:tcPr>
          <w:p w:rsidR="00D43EA3" w:rsidRPr="002D3FF9" w:rsidRDefault="00D43EA3" w:rsidP="00460297">
            <w:pPr>
              <w:rPr>
                <w:rFonts w:ascii="Arial" w:hAnsi="Arial" w:cs="Arial"/>
                <w:sz w:val="16"/>
                <w:szCs w:val="16"/>
              </w:rPr>
            </w:pPr>
            <w:r w:rsidRPr="002D3FF9">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D43EA3" w:rsidRPr="002D3FF9" w:rsidRDefault="00EA0EFB" w:rsidP="00460297">
            <w:pPr>
              <w:rPr>
                <w:rFonts w:ascii="Arial" w:hAnsi="Arial" w:cs="Arial"/>
                <w:sz w:val="16"/>
                <w:szCs w:val="16"/>
              </w:rPr>
            </w:pPr>
            <w:r w:rsidRPr="002D3FF9">
              <w:rPr>
                <w:rFonts w:ascii="Arial" w:hAnsi="Arial" w:cs="Arial"/>
                <w:sz w:val="16"/>
                <w:szCs w:val="16"/>
              </w:rPr>
              <w:t>9+CMR+N1</w:t>
            </w:r>
          </w:p>
        </w:tc>
        <w:tc>
          <w:tcPr>
            <w:tcW w:w="400" w:type="dxa"/>
            <w:tcBorders>
              <w:top w:val="nil"/>
              <w:left w:val="nil"/>
              <w:bottom w:val="single" w:sz="4" w:space="0" w:color="auto"/>
              <w:right w:val="single" w:sz="4" w:space="0" w:color="auto"/>
            </w:tcBorders>
            <w:shd w:val="clear" w:color="auto" w:fill="auto"/>
            <w:noWrap/>
            <w:hideMark/>
          </w:tcPr>
          <w:p w:rsidR="00D43EA3" w:rsidRPr="002D3FF9" w:rsidRDefault="00D43EA3" w:rsidP="00460297">
            <w:pPr>
              <w:rPr>
                <w:rFonts w:ascii="Arial" w:hAnsi="Arial" w:cs="Arial"/>
                <w:sz w:val="16"/>
                <w:szCs w:val="16"/>
              </w:rPr>
            </w:pPr>
            <w:r w:rsidRPr="002D3FF9">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hideMark/>
          </w:tcPr>
          <w:p w:rsidR="00D43EA3" w:rsidRPr="002D3FF9" w:rsidRDefault="00EA0EFB" w:rsidP="00460297">
            <w:pPr>
              <w:rPr>
                <w:rFonts w:ascii="Arial" w:hAnsi="Arial" w:cs="Arial"/>
                <w:sz w:val="16"/>
                <w:szCs w:val="16"/>
              </w:rPr>
            </w:pPr>
            <w:r w:rsidRPr="002D3FF9">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hideMark/>
          </w:tcPr>
          <w:p w:rsidR="00D43EA3" w:rsidRPr="002D3FF9" w:rsidRDefault="00EA0EFB" w:rsidP="00460297">
            <w:pPr>
              <w:rPr>
                <w:rFonts w:ascii="Arial" w:hAnsi="Arial" w:cs="Arial"/>
                <w:sz w:val="16"/>
                <w:szCs w:val="16"/>
              </w:rPr>
            </w:pPr>
            <w:r w:rsidRPr="002D3FF9">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hideMark/>
          </w:tcPr>
          <w:p w:rsidR="00D43EA3" w:rsidRPr="002D3FF9" w:rsidRDefault="00D43EA3" w:rsidP="00460297">
            <w:pPr>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hideMark/>
          </w:tcPr>
          <w:p w:rsidR="00D43EA3" w:rsidRPr="002D3FF9" w:rsidRDefault="00EA0EFB" w:rsidP="00460297">
            <w:pPr>
              <w:rPr>
                <w:rFonts w:ascii="Arial" w:hAnsi="Arial" w:cs="Arial"/>
                <w:sz w:val="16"/>
                <w:szCs w:val="16"/>
              </w:rPr>
            </w:pPr>
            <w:r w:rsidRPr="002D3FF9">
              <w:rPr>
                <w:rFonts w:ascii="Arial" w:hAnsi="Arial" w:cs="Arial"/>
                <w:sz w:val="16"/>
                <w:szCs w:val="16"/>
              </w:rPr>
              <w:t>10</w:t>
            </w:r>
          </w:p>
        </w:tc>
        <w:tc>
          <w:tcPr>
            <w:tcW w:w="524" w:type="dxa"/>
            <w:tcBorders>
              <w:top w:val="nil"/>
              <w:left w:val="nil"/>
              <w:bottom w:val="single" w:sz="4" w:space="0" w:color="auto"/>
              <w:right w:val="single" w:sz="4" w:space="0" w:color="auto"/>
            </w:tcBorders>
            <w:shd w:val="clear" w:color="auto" w:fill="auto"/>
            <w:hideMark/>
          </w:tcPr>
          <w:p w:rsidR="00D43EA3" w:rsidRPr="002D3FF9" w:rsidRDefault="00D43EA3" w:rsidP="00460297">
            <w:pPr>
              <w:rPr>
                <w:rFonts w:ascii="Arial" w:hAnsi="Arial" w:cs="Arial"/>
                <w:sz w:val="16"/>
                <w:szCs w:val="16"/>
              </w:rPr>
            </w:pPr>
            <w:r w:rsidRPr="002D3FF9">
              <w:rPr>
                <w:rFonts w:ascii="Arial" w:hAnsi="Arial" w:cs="Arial"/>
                <w:sz w:val="16"/>
                <w:szCs w:val="16"/>
              </w:rPr>
              <w:t>97</w:t>
            </w:r>
          </w:p>
        </w:tc>
        <w:tc>
          <w:tcPr>
            <w:tcW w:w="700" w:type="dxa"/>
            <w:tcBorders>
              <w:top w:val="nil"/>
              <w:left w:val="nil"/>
              <w:bottom w:val="single" w:sz="4" w:space="0" w:color="auto"/>
              <w:right w:val="single" w:sz="4" w:space="0" w:color="auto"/>
            </w:tcBorders>
            <w:shd w:val="clear" w:color="auto" w:fill="auto"/>
            <w:hideMark/>
          </w:tcPr>
          <w:p w:rsidR="00D43EA3" w:rsidRPr="002D3FF9" w:rsidRDefault="00D43EA3" w:rsidP="00460297">
            <w:pPr>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noWrap/>
            <w:hideMark/>
          </w:tcPr>
          <w:p w:rsidR="00D43EA3" w:rsidRPr="002D3FF9" w:rsidRDefault="00EA0EFB" w:rsidP="00460297">
            <w:pPr>
              <w:rPr>
                <w:rFonts w:ascii="Arial" w:hAnsi="Arial" w:cs="Arial"/>
                <w:sz w:val="16"/>
                <w:szCs w:val="16"/>
              </w:rPr>
            </w:pPr>
            <w:r w:rsidRPr="002D3FF9">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noWrap/>
            <w:hideMark/>
          </w:tcPr>
          <w:p w:rsidR="00D43EA3" w:rsidRPr="002D3FF9" w:rsidRDefault="00D43EA3" w:rsidP="00460297">
            <w:pPr>
              <w:rPr>
                <w:rFonts w:ascii="Arial" w:hAnsi="Arial" w:cs="Arial"/>
                <w:sz w:val="16"/>
                <w:szCs w:val="16"/>
              </w:rPr>
            </w:pPr>
            <w:r w:rsidRPr="002D3FF9">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D43EA3" w:rsidRPr="002D3FF9" w:rsidRDefault="00D43EA3" w:rsidP="00460297">
            <w:pPr>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hideMark/>
          </w:tcPr>
          <w:p w:rsidR="00D43EA3" w:rsidRPr="002D3FF9" w:rsidRDefault="00D43EA3" w:rsidP="00460297">
            <w:pPr>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noWrap/>
            <w:hideMark/>
          </w:tcPr>
          <w:p w:rsidR="00D43EA3" w:rsidRPr="002D3FF9" w:rsidRDefault="00EA0EFB" w:rsidP="00460297">
            <w:pPr>
              <w:rPr>
                <w:rFonts w:ascii="Arial" w:hAnsi="Arial" w:cs="Arial"/>
                <w:sz w:val="16"/>
                <w:szCs w:val="16"/>
              </w:rPr>
            </w:pPr>
            <w:r w:rsidRPr="002D3FF9">
              <w:rPr>
                <w:rFonts w:ascii="Arial" w:hAnsi="Arial" w:cs="Arial"/>
                <w:sz w:val="16"/>
                <w:szCs w:val="16"/>
              </w:rPr>
              <w:t>nein</w:t>
            </w:r>
          </w:p>
        </w:tc>
        <w:tc>
          <w:tcPr>
            <w:tcW w:w="660" w:type="dxa"/>
            <w:tcBorders>
              <w:top w:val="nil"/>
              <w:left w:val="nil"/>
              <w:bottom w:val="single" w:sz="4" w:space="0" w:color="auto"/>
              <w:right w:val="single" w:sz="4" w:space="0" w:color="auto"/>
            </w:tcBorders>
            <w:shd w:val="clear" w:color="auto" w:fill="auto"/>
            <w:hideMark/>
          </w:tcPr>
          <w:p w:rsidR="00D43EA3" w:rsidRPr="002D3FF9" w:rsidRDefault="00D43EA3" w:rsidP="00EA0EFB">
            <w:pPr>
              <w:rPr>
                <w:rFonts w:ascii="Arial" w:hAnsi="Arial" w:cs="Arial"/>
                <w:sz w:val="16"/>
                <w:szCs w:val="16"/>
              </w:rPr>
            </w:pPr>
            <w:r w:rsidRPr="002D3FF9">
              <w:rPr>
                <w:rFonts w:ascii="Arial" w:hAnsi="Arial" w:cs="Arial"/>
                <w:sz w:val="16"/>
                <w:szCs w:val="16"/>
              </w:rPr>
              <w:t>PP, E</w:t>
            </w:r>
            <w:r w:rsidR="00EA0EFB" w:rsidRPr="002D3FF9">
              <w:rPr>
                <w:rFonts w:ascii="Arial" w:hAnsi="Arial" w:cs="Arial"/>
                <w:sz w:val="16"/>
                <w:szCs w:val="16"/>
              </w:rPr>
              <w:t>P</w:t>
            </w:r>
            <w:r w:rsidRPr="002D3FF9">
              <w:rPr>
                <w:rFonts w:ascii="Arial" w:hAnsi="Arial" w:cs="Arial"/>
                <w:sz w:val="16"/>
                <w:szCs w:val="16"/>
              </w:rPr>
              <w:t xml:space="preserve">, </w:t>
            </w:r>
            <w:r w:rsidR="00EA0EFB" w:rsidRPr="002D3FF9">
              <w:rPr>
                <w:rFonts w:ascii="Arial" w:hAnsi="Arial" w:cs="Arial"/>
                <w:sz w:val="16"/>
                <w:szCs w:val="16"/>
              </w:rPr>
              <w:t xml:space="preserve">TOX, </w:t>
            </w:r>
            <w:r w:rsidRPr="002D3FF9">
              <w:rPr>
                <w:rFonts w:ascii="Arial" w:hAnsi="Arial" w:cs="Arial"/>
                <w:sz w:val="16"/>
                <w:szCs w:val="16"/>
              </w:rPr>
              <w:t>A</w:t>
            </w:r>
          </w:p>
        </w:tc>
        <w:tc>
          <w:tcPr>
            <w:tcW w:w="440" w:type="dxa"/>
            <w:tcBorders>
              <w:top w:val="nil"/>
              <w:left w:val="nil"/>
              <w:bottom w:val="single" w:sz="4" w:space="0" w:color="auto"/>
              <w:right w:val="single" w:sz="4" w:space="0" w:color="auto"/>
            </w:tcBorders>
            <w:shd w:val="clear" w:color="auto" w:fill="auto"/>
            <w:noWrap/>
            <w:hideMark/>
          </w:tcPr>
          <w:p w:rsidR="00D43EA3" w:rsidRPr="002D3FF9" w:rsidRDefault="00D43EA3" w:rsidP="00460297">
            <w:pPr>
              <w:rPr>
                <w:rFonts w:ascii="Arial" w:hAnsi="Arial" w:cs="Arial"/>
                <w:sz w:val="16"/>
                <w:szCs w:val="16"/>
              </w:rPr>
            </w:pPr>
            <w:r w:rsidRPr="002D3FF9">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D43EA3" w:rsidRPr="002D3FF9" w:rsidRDefault="00D43EA3" w:rsidP="00460297">
            <w:pPr>
              <w:rPr>
                <w:rFonts w:ascii="Arial" w:hAnsi="Arial" w:cs="Arial"/>
                <w:sz w:val="16"/>
                <w:szCs w:val="16"/>
              </w:rPr>
            </w:pPr>
          </w:p>
        </w:tc>
      </w:tr>
    </w:tbl>
    <w:p w:rsidR="00D43EA3" w:rsidRPr="002D3FF9" w:rsidRDefault="00D43EA3" w:rsidP="00D43EA3">
      <w:pPr>
        <w:tabs>
          <w:tab w:val="left" w:pos="1418"/>
          <w:tab w:val="left" w:pos="1985"/>
          <w:tab w:val="left" w:pos="2552"/>
          <w:tab w:val="left" w:pos="3119"/>
          <w:tab w:val="left" w:pos="3686"/>
        </w:tabs>
        <w:spacing w:after="0"/>
        <w:ind w:right="566"/>
        <w:jc w:val="both"/>
        <w:rPr>
          <w:sz w:val="20"/>
          <w:lang w:val="de-DE"/>
        </w:rPr>
      </w:pPr>
    </w:p>
    <w:p w:rsidR="00D43EA3" w:rsidRPr="002D3FF9" w:rsidRDefault="00D43EA3" w:rsidP="00D43EA3">
      <w:pPr>
        <w:spacing w:after="0"/>
        <w:ind w:right="566"/>
        <w:jc w:val="both"/>
        <w:rPr>
          <w:sz w:val="20"/>
          <w:lang w:val="de-DE"/>
        </w:rPr>
        <w:sectPr w:rsidR="00D43EA3" w:rsidRPr="002D3FF9" w:rsidSect="00D43EA3">
          <w:headerReference w:type="first" r:id="rId13"/>
          <w:footerReference w:type="first" r:id="rId14"/>
          <w:endnotePr>
            <w:numFmt w:val="decimal"/>
          </w:endnotePr>
          <w:pgSz w:w="16840" w:h="11907" w:orient="landscape" w:code="9"/>
          <w:pgMar w:top="1418" w:right="1418" w:bottom="1418" w:left="1418" w:header="680" w:footer="680" w:gutter="0"/>
          <w:cols w:space="720"/>
          <w:titlePg/>
          <w:docGrid w:linePitch="326"/>
        </w:sectPr>
      </w:pPr>
    </w:p>
    <w:p w:rsidR="00643488" w:rsidRPr="002D3FF9" w:rsidRDefault="00643488" w:rsidP="00652372">
      <w:pPr>
        <w:spacing w:after="0"/>
        <w:ind w:right="566"/>
        <w:jc w:val="both"/>
        <w:rPr>
          <w:b/>
          <w:sz w:val="20"/>
          <w:lang w:val="de-DE"/>
        </w:rPr>
      </w:pPr>
    </w:p>
    <w:p w:rsidR="00643488" w:rsidRPr="002D3FF9" w:rsidRDefault="00643488" w:rsidP="00652372">
      <w:pPr>
        <w:spacing w:after="0"/>
        <w:ind w:right="566"/>
        <w:jc w:val="both"/>
        <w:rPr>
          <w:b/>
          <w:sz w:val="20"/>
          <w:lang w:val="de-DE"/>
        </w:rPr>
      </w:pPr>
    </w:p>
    <w:p w:rsidR="00652372" w:rsidRPr="00552E59" w:rsidRDefault="00652372" w:rsidP="00652372">
      <w:pPr>
        <w:spacing w:after="0"/>
        <w:ind w:right="566"/>
        <w:jc w:val="both"/>
        <w:rPr>
          <w:szCs w:val="24"/>
          <w:lang w:val="de-DE"/>
        </w:rPr>
      </w:pPr>
      <w:r w:rsidRPr="00552E59">
        <w:rPr>
          <w:b/>
          <w:szCs w:val="24"/>
          <w:lang w:val="de-DE"/>
        </w:rPr>
        <w:t>F.</w:t>
      </w:r>
      <w:r w:rsidRPr="00552E59">
        <w:rPr>
          <w:b/>
          <w:szCs w:val="24"/>
          <w:lang w:val="de-DE"/>
        </w:rPr>
        <w:tab/>
        <w:t>Multilaterale Vereinbarung M 018 und Bemerkung 44</w:t>
      </w:r>
    </w:p>
    <w:p w:rsidR="00652372" w:rsidRPr="002D3FF9" w:rsidRDefault="00652372" w:rsidP="00652372">
      <w:pPr>
        <w:spacing w:after="0"/>
        <w:ind w:right="566"/>
        <w:jc w:val="both"/>
        <w:rPr>
          <w:sz w:val="20"/>
          <w:lang w:val="de-DE"/>
        </w:rPr>
      </w:pPr>
    </w:p>
    <w:p w:rsidR="0071130B" w:rsidRPr="002D3FF9" w:rsidRDefault="00E33401" w:rsidP="00DA4AA5">
      <w:pPr>
        <w:spacing w:after="0"/>
        <w:ind w:right="566"/>
        <w:jc w:val="both"/>
        <w:rPr>
          <w:bCs/>
          <w:sz w:val="20"/>
          <w:lang w:val="de-DE"/>
        </w:rPr>
      </w:pPr>
      <w:r w:rsidRPr="002D3FF9">
        <w:rPr>
          <w:bCs/>
          <w:sz w:val="20"/>
          <w:lang w:val="de-DE"/>
        </w:rPr>
        <w:t>32</w:t>
      </w:r>
      <w:r w:rsidR="00390BB7" w:rsidRPr="002D3FF9">
        <w:rPr>
          <w:bCs/>
          <w:sz w:val="20"/>
          <w:lang w:val="de-DE"/>
        </w:rPr>
        <w:t>.</w:t>
      </w:r>
      <w:r w:rsidR="00390BB7" w:rsidRPr="002D3FF9">
        <w:rPr>
          <w:bCs/>
          <w:sz w:val="20"/>
          <w:lang w:val="de-DE"/>
        </w:rPr>
        <w:tab/>
      </w:r>
      <w:r w:rsidR="00F0149D" w:rsidRPr="002D3FF9">
        <w:rPr>
          <w:bCs/>
          <w:sz w:val="20"/>
          <w:lang w:val="de-DE"/>
        </w:rPr>
        <w:t>Die Multilaterale Vereinbarung M 018 gestattet es Tankschiffen, deren Stoffliste Stoffe umfasst, die der Explosionsgruppe II B zugeordnet sind, diese Stoffe bis zur Erneuerung des Zulassungszeugnisses nach dem 31. Dezember 2018 weiterhin zu befördern, auch wenn die</w:t>
      </w:r>
      <w:r w:rsidR="00DA4AA5" w:rsidRPr="002D3FF9">
        <w:rPr>
          <w:bCs/>
          <w:sz w:val="20"/>
          <w:lang w:val="de-DE"/>
        </w:rPr>
        <w:t>se</w:t>
      </w:r>
      <w:r w:rsidR="00F0149D" w:rsidRPr="002D3FF9">
        <w:rPr>
          <w:bCs/>
          <w:sz w:val="20"/>
          <w:lang w:val="de-DE"/>
        </w:rPr>
        <w:t xml:space="preserve"> Tankschiffe nur mit Flammendurschlagsicherungen für die Explosionsgruppe II B3 ausgerüstet sind. Schiffe, die </w:t>
      </w:r>
      <w:r w:rsidR="00DA4AA5" w:rsidRPr="002D3FF9">
        <w:rPr>
          <w:bCs/>
          <w:sz w:val="20"/>
          <w:lang w:val="de-DE"/>
        </w:rPr>
        <w:t>bis zum</w:t>
      </w:r>
      <w:r w:rsidR="00F0149D" w:rsidRPr="002D3FF9">
        <w:rPr>
          <w:bCs/>
          <w:sz w:val="20"/>
          <w:lang w:val="de-DE"/>
        </w:rPr>
        <w:t xml:space="preserve"> 31.</w:t>
      </w:r>
      <w:r w:rsidR="00DA4AA5" w:rsidRPr="002D3FF9">
        <w:rPr>
          <w:bCs/>
          <w:sz w:val="20"/>
          <w:lang w:val="de-DE"/>
        </w:rPr>
        <w:t> </w:t>
      </w:r>
      <w:r w:rsidR="00F0149D" w:rsidRPr="002D3FF9">
        <w:rPr>
          <w:bCs/>
          <w:sz w:val="20"/>
          <w:lang w:val="de-DE"/>
        </w:rPr>
        <w:t>Dezember 2018 ihr Zulassungszeugnis erneuern müssen</w:t>
      </w:r>
      <w:r w:rsidR="00DA4AA5" w:rsidRPr="002D3FF9">
        <w:rPr>
          <w:bCs/>
          <w:sz w:val="20"/>
          <w:lang w:val="de-DE"/>
        </w:rPr>
        <w:t>, erhalten eine Stoffliste auf Basis des ADN</w:t>
      </w:r>
      <w:r w:rsidR="00534C16" w:rsidRPr="002D3FF9">
        <w:rPr>
          <w:bCs/>
          <w:sz w:val="20"/>
          <w:lang w:val="de-DE"/>
        </w:rPr>
        <w:t> </w:t>
      </w:r>
      <w:r w:rsidR="00DA4AA5" w:rsidRPr="002D3FF9">
        <w:rPr>
          <w:bCs/>
          <w:sz w:val="20"/>
          <w:lang w:val="de-DE"/>
        </w:rPr>
        <w:t xml:space="preserve">2017, das heißt ohne Stoffe der Explosionsgruppe II B. Mit 1. Januar 2019 wird eine neue Stoffliste beantragt, in der auf Basis des ADN 2019 Stoffe der Explosionsgruppe II A sowie der Explosionsuntergruppen II B1, </w:t>
      </w:r>
      <w:r w:rsidR="00AE7A02" w:rsidRPr="002D3FF9">
        <w:rPr>
          <w:bCs/>
          <w:sz w:val="20"/>
          <w:lang w:val="de-DE"/>
        </w:rPr>
        <w:t>II B2 und II B3 enthalten sind.</w:t>
      </w:r>
    </w:p>
    <w:p w:rsidR="00DA4AA5" w:rsidRPr="002D3FF9" w:rsidRDefault="00DA4AA5" w:rsidP="00DA4AA5">
      <w:pPr>
        <w:spacing w:after="0"/>
        <w:ind w:right="566"/>
        <w:jc w:val="both"/>
        <w:rPr>
          <w:bCs/>
          <w:sz w:val="20"/>
          <w:lang w:val="de-DE"/>
        </w:rPr>
      </w:pPr>
    </w:p>
    <w:p w:rsidR="00DA4AA5" w:rsidRPr="002D3FF9" w:rsidRDefault="00E33401" w:rsidP="00DA4AA5">
      <w:pPr>
        <w:spacing w:after="0"/>
        <w:ind w:right="566"/>
        <w:jc w:val="both"/>
        <w:rPr>
          <w:bCs/>
          <w:sz w:val="20"/>
          <w:lang w:val="de-DE"/>
        </w:rPr>
      </w:pPr>
      <w:r w:rsidRPr="002D3FF9">
        <w:rPr>
          <w:bCs/>
          <w:sz w:val="20"/>
          <w:lang w:val="de-DE"/>
        </w:rPr>
        <w:t>33</w:t>
      </w:r>
      <w:r w:rsidR="00DA4AA5" w:rsidRPr="002D3FF9">
        <w:rPr>
          <w:bCs/>
          <w:sz w:val="20"/>
          <w:lang w:val="de-DE"/>
        </w:rPr>
        <w:t>.</w:t>
      </w:r>
      <w:r w:rsidR="00DA4AA5" w:rsidRPr="002D3FF9">
        <w:rPr>
          <w:bCs/>
          <w:sz w:val="20"/>
          <w:lang w:val="de-DE"/>
        </w:rPr>
        <w:tab/>
        <w:t>Da sowohl die Anzahl der betroffenen Schiffe als auch der in Rede stehende Zeitraum, in dem durch die Betroffenen Schiffe keine Stoffe der Explosionsuntergruppen II B1, II B2 und II B3 befördert werden können, überschaubar sind, wird eine kurzfristige Änderung der Multilateralen Vereinbarung nicht für erforderlich gehalten.</w:t>
      </w:r>
    </w:p>
    <w:p w:rsidR="00DA4AA5" w:rsidRPr="002D3FF9" w:rsidRDefault="00DA4AA5" w:rsidP="00DA4AA5">
      <w:pPr>
        <w:spacing w:after="0"/>
        <w:ind w:right="566"/>
        <w:jc w:val="both"/>
        <w:rPr>
          <w:bCs/>
          <w:sz w:val="20"/>
          <w:lang w:val="de-DE"/>
        </w:rPr>
      </w:pPr>
    </w:p>
    <w:p w:rsidR="005D6AB2" w:rsidRPr="002D3FF9" w:rsidRDefault="00E33401" w:rsidP="005D6AB2">
      <w:pPr>
        <w:spacing w:after="0"/>
        <w:ind w:right="566"/>
        <w:jc w:val="both"/>
        <w:rPr>
          <w:bCs/>
          <w:sz w:val="20"/>
          <w:lang w:val="de-DE"/>
        </w:rPr>
      </w:pPr>
      <w:r w:rsidRPr="002D3FF9">
        <w:rPr>
          <w:bCs/>
          <w:sz w:val="20"/>
          <w:lang w:val="de-DE"/>
        </w:rPr>
        <w:t>34</w:t>
      </w:r>
      <w:r w:rsidR="005D6AB2" w:rsidRPr="002D3FF9">
        <w:rPr>
          <w:bCs/>
          <w:sz w:val="20"/>
          <w:lang w:val="de-DE"/>
        </w:rPr>
        <w:t>.</w:t>
      </w:r>
      <w:r w:rsidR="005D6AB2" w:rsidRPr="002D3FF9">
        <w:rPr>
          <w:bCs/>
          <w:sz w:val="20"/>
          <w:lang w:val="de-DE"/>
        </w:rPr>
        <w:tab/>
        <w:t>Im Vorfeld der Sitzung sind der informellen Arbeitsgruppe eine Reihe von Messergebnissen zur Bestimmung von Normspaltweiten bis hin zur Ankündigung von solchen Messungen zugegangen. Aus diesem Anlass erfolgte in der informellen Arbeitsgruppe ein Austausch über den Umgang mit solchen Prüfergebnissen sowie das Verfahren, nach dem diese Ergebnisse in die Vorschriften des ADN Eingang finden sollen.</w:t>
      </w:r>
    </w:p>
    <w:p w:rsidR="005D6AB2" w:rsidRPr="002D3FF9" w:rsidRDefault="005D6AB2" w:rsidP="005D6AB2">
      <w:pPr>
        <w:spacing w:after="0"/>
        <w:ind w:right="566"/>
        <w:jc w:val="both"/>
        <w:rPr>
          <w:bCs/>
          <w:sz w:val="20"/>
          <w:lang w:val="de-DE"/>
        </w:rPr>
      </w:pPr>
    </w:p>
    <w:p w:rsidR="005D6AB2" w:rsidRPr="002D3FF9" w:rsidRDefault="00E33401" w:rsidP="005D6AB2">
      <w:pPr>
        <w:spacing w:after="0"/>
        <w:ind w:right="566"/>
        <w:jc w:val="both"/>
        <w:rPr>
          <w:bCs/>
          <w:sz w:val="20"/>
          <w:lang w:val="de-DE"/>
        </w:rPr>
      </w:pPr>
      <w:r w:rsidRPr="002D3FF9">
        <w:rPr>
          <w:bCs/>
          <w:sz w:val="20"/>
          <w:lang w:val="de-DE"/>
        </w:rPr>
        <w:t>35</w:t>
      </w:r>
      <w:r w:rsidR="005D6AB2" w:rsidRPr="002D3FF9">
        <w:rPr>
          <w:bCs/>
          <w:sz w:val="20"/>
          <w:lang w:val="de-DE"/>
        </w:rPr>
        <w:t>.</w:t>
      </w:r>
      <w:r w:rsidR="005D6AB2" w:rsidRPr="002D3FF9">
        <w:rPr>
          <w:bCs/>
          <w:sz w:val="20"/>
          <w:lang w:val="de-DE"/>
        </w:rPr>
        <w:tab/>
        <w:t>Mit Unverständnis nahm die informelle Arbeitsgruppe dabei zur Kenntnis, dass in einigen Fällen das schifffahrtstreibende Gewerbe in Pflicht genommen wird, für die Bestimmung der Normspaltweite der beförderten gefährlichen Güter und somit für die Zuordnung zu Explosionsgruppen zu sorgen. Diese Vorgehensweise ist nach Auffassung der informellen Arbeitsgruppe aus den geltenden Vorschriften für den Gefahrstoff- und Gefahrgutbereich nicht ableitbar.</w:t>
      </w:r>
    </w:p>
    <w:p w:rsidR="005D6AB2" w:rsidRPr="002D3FF9" w:rsidRDefault="005D6AB2" w:rsidP="005D6AB2">
      <w:pPr>
        <w:spacing w:after="0"/>
        <w:ind w:right="566"/>
        <w:jc w:val="both"/>
        <w:rPr>
          <w:bCs/>
          <w:sz w:val="20"/>
          <w:lang w:val="de-DE"/>
        </w:rPr>
      </w:pPr>
    </w:p>
    <w:p w:rsidR="005D6AB2" w:rsidRPr="002D3FF9" w:rsidRDefault="00E33401" w:rsidP="005D6AB2">
      <w:pPr>
        <w:spacing w:after="0"/>
        <w:ind w:right="566"/>
        <w:jc w:val="both"/>
        <w:rPr>
          <w:bCs/>
          <w:sz w:val="20"/>
          <w:lang w:val="de-DE"/>
        </w:rPr>
      </w:pPr>
      <w:r w:rsidRPr="002D3FF9">
        <w:rPr>
          <w:bCs/>
          <w:sz w:val="20"/>
          <w:lang w:val="de-DE"/>
        </w:rPr>
        <w:t>36</w:t>
      </w:r>
      <w:r w:rsidR="005D6AB2" w:rsidRPr="002D3FF9">
        <w:rPr>
          <w:bCs/>
          <w:sz w:val="20"/>
          <w:lang w:val="de-DE"/>
        </w:rPr>
        <w:t>.</w:t>
      </w:r>
      <w:r w:rsidR="005D6AB2" w:rsidRPr="002D3FF9">
        <w:rPr>
          <w:bCs/>
          <w:sz w:val="20"/>
          <w:lang w:val="de-DE"/>
        </w:rPr>
        <w:tab/>
        <w:t>Im Ergebnis der Diskussion kam die informelle Arbeitsgruppe zu folgenden grundlegenden Aussagen:</w:t>
      </w:r>
    </w:p>
    <w:p w:rsidR="005D6AB2" w:rsidRPr="002D3FF9" w:rsidRDefault="005D6AB2" w:rsidP="005D6AB2">
      <w:pPr>
        <w:spacing w:after="0"/>
        <w:ind w:right="566"/>
        <w:jc w:val="both"/>
        <w:rPr>
          <w:bCs/>
          <w:sz w:val="20"/>
          <w:lang w:val="de-DE"/>
        </w:rPr>
      </w:pPr>
    </w:p>
    <w:p w:rsidR="005D6AB2" w:rsidRPr="002D3FF9" w:rsidRDefault="005D6AB2" w:rsidP="00643488">
      <w:pPr>
        <w:pStyle w:val="ListParagraph"/>
        <w:numPr>
          <w:ilvl w:val="0"/>
          <w:numId w:val="26"/>
        </w:numPr>
        <w:spacing w:after="0"/>
        <w:ind w:left="1134" w:right="566" w:hanging="708"/>
        <w:jc w:val="both"/>
        <w:rPr>
          <w:bCs/>
          <w:sz w:val="20"/>
          <w:lang w:val="de-DE"/>
        </w:rPr>
      </w:pPr>
      <w:r w:rsidRPr="002D3FF9">
        <w:rPr>
          <w:bCs/>
          <w:sz w:val="20"/>
          <w:lang w:val="de-DE"/>
        </w:rPr>
        <w:t>Die Bestimmung der Normspaltweite ist völlig analog zu sehen wie die Bestimmung anderer physikalisch-chemischer Daten und sicherheitstechnischer Kenngrößen (z.B. Flammpunkt, Dampfdruck oder Siedebeginn). Das heißt, dass irgendwelche gesonderten Verfahren zur Autorisierung, Zertifizierung, Anerkennung oder Bewertung dieser Daten nicht vorgesehen sind. Insbesondere wenn Prüfergebnisse von Zuständigen Behörden vorliegen, sieht die informelle Arbeitsgruppe keine grundsätzliche Veranlassung, die Verwendung dieser Resultate von weiteren Prüfungen oder Bewertungen abhängig zu machen.</w:t>
      </w:r>
    </w:p>
    <w:p w:rsidR="005D6AB2" w:rsidRPr="002D3FF9" w:rsidRDefault="005D6AB2" w:rsidP="00643488">
      <w:pPr>
        <w:pStyle w:val="ListParagraph"/>
        <w:numPr>
          <w:ilvl w:val="0"/>
          <w:numId w:val="26"/>
        </w:numPr>
        <w:spacing w:after="0"/>
        <w:ind w:left="1134" w:right="566" w:hanging="708"/>
        <w:jc w:val="both"/>
        <w:rPr>
          <w:bCs/>
          <w:sz w:val="20"/>
          <w:lang w:val="de-DE"/>
        </w:rPr>
      </w:pPr>
      <w:r w:rsidRPr="002D3FF9">
        <w:rPr>
          <w:bCs/>
          <w:sz w:val="20"/>
          <w:lang w:val="de-DE"/>
        </w:rPr>
        <w:t>Sofern keine sicherheitstechnischen Defizite zu beseitigen sind</w:t>
      </w:r>
      <w:r w:rsidR="00976A3A" w:rsidRPr="002D3FF9">
        <w:rPr>
          <w:bCs/>
          <w:sz w:val="20"/>
          <w:lang w:val="de-DE"/>
        </w:rPr>
        <w:t>,</w:t>
      </w:r>
      <w:r w:rsidRPr="002D3FF9">
        <w:rPr>
          <w:bCs/>
          <w:sz w:val="20"/>
          <w:lang w:val="de-DE"/>
        </w:rPr>
        <w:t xml:space="preserve"> liegt es nach Meinung der informellen Arbeitsgruppe in der Zuständigkeit der Bedarfsträger</w:t>
      </w:r>
      <w:r w:rsidR="00643488" w:rsidRPr="002D3FF9">
        <w:rPr>
          <w:bCs/>
          <w:sz w:val="20"/>
          <w:lang w:val="de-DE"/>
        </w:rPr>
        <w:t>,</w:t>
      </w:r>
      <w:r w:rsidRPr="002D3FF9">
        <w:rPr>
          <w:bCs/>
          <w:sz w:val="20"/>
          <w:lang w:val="de-DE"/>
        </w:rPr>
        <w:t xml:space="preserve"> </w:t>
      </w:r>
      <w:r w:rsidR="00643488" w:rsidRPr="002D3FF9">
        <w:rPr>
          <w:bCs/>
          <w:sz w:val="20"/>
          <w:lang w:val="de-DE"/>
        </w:rPr>
        <w:t>Vorschriftenänderungen, die insbesondere zur Zuordnung weniger strenger Explosionsgruppen/-untergruppen und somit zu erleichterten Beförderungsbedingungen führen, über die entsprechenden Vertretungen beim ADN-Sicherheitsausschuss direkt zu beantragen.</w:t>
      </w:r>
    </w:p>
    <w:p w:rsidR="005D6AB2" w:rsidRPr="002D3FF9" w:rsidRDefault="005D6AB2" w:rsidP="005D6AB2">
      <w:pPr>
        <w:spacing w:after="0"/>
        <w:ind w:right="566"/>
        <w:jc w:val="both"/>
        <w:rPr>
          <w:bCs/>
          <w:sz w:val="20"/>
          <w:lang w:val="de-DE"/>
        </w:rPr>
      </w:pPr>
    </w:p>
    <w:p w:rsidR="00643488" w:rsidRPr="002D3FF9" w:rsidRDefault="00E33401" w:rsidP="00AE7A02">
      <w:pPr>
        <w:spacing w:after="0"/>
        <w:ind w:right="566"/>
        <w:jc w:val="both"/>
        <w:rPr>
          <w:bCs/>
          <w:sz w:val="20"/>
          <w:lang w:val="de-DE"/>
        </w:rPr>
      </w:pPr>
      <w:r w:rsidRPr="002D3FF9">
        <w:rPr>
          <w:bCs/>
          <w:sz w:val="20"/>
          <w:lang w:val="de-DE"/>
        </w:rPr>
        <w:t>37</w:t>
      </w:r>
      <w:r w:rsidR="00171BE7" w:rsidRPr="002D3FF9">
        <w:rPr>
          <w:bCs/>
          <w:sz w:val="20"/>
          <w:lang w:val="de-DE"/>
        </w:rPr>
        <w:t>.</w:t>
      </w:r>
      <w:r w:rsidR="00171BE7" w:rsidRPr="002D3FF9">
        <w:rPr>
          <w:bCs/>
          <w:sz w:val="20"/>
          <w:lang w:val="de-DE"/>
        </w:rPr>
        <w:tab/>
        <w:t xml:space="preserve">Die für das ADN 2019 beschlossene Bemerkung 44 besagt, dass ein Stoff </w:t>
      </w:r>
      <w:r w:rsidR="00DC627D" w:rsidRPr="002D3FF9">
        <w:rPr>
          <w:bCs/>
          <w:sz w:val="20"/>
          <w:lang w:val="de-DE"/>
        </w:rPr>
        <w:t xml:space="preserve">in Tabelle C </w:t>
      </w:r>
      <w:r w:rsidR="00171BE7" w:rsidRPr="002D3FF9">
        <w:rPr>
          <w:bCs/>
          <w:sz w:val="20"/>
          <w:lang w:val="de-DE"/>
        </w:rPr>
        <w:t xml:space="preserve">dem entsprechenden Eintrag </w:t>
      </w:r>
      <w:r w:rsidR="00DC627D" w:rsidRPr="002D3FF9">
        <w:rPr>
          <w:bCs/>
          <w:sz w:val="20"/>
          <w:lang w:val="de-DE"/>
        </w:rPr>
        <w:t>mit Explosionsgruppe II B3 in Spalte (16</w:t>
      </w:r>
      <w:r w:rsidR="00171BE7" w:rsidRPr="002D3FF9">
        <w:rPr>
          <w:bCs/>
          <w:sz w:val="20"/>
          <w:lang w:val="de-DE"/>
        </w:rPr>
        <w:t xml:space="preserve">) nur zugeordnet werden darf, wenn Messdaten oder verifizierte Informationen gemäß IEC 60079-20-1 oder vergleichbar vorliegen, die eine Zuordnung zur Untergruppe II B3 der Explosionsgruppe II B erlauben. Diese Formulierung bewirkt aber, dass Stoffe mit den Explosionsuntergruppen II B2 und II B1 sowie der Explosionsgruppe II A </w:t>
      </w:r>
      <w:r w:rsidR="00DC627D" w:rsidRPr="002D3FF9">
        <w:rPr>
          <w:bCs/>
          <w:sz w:val="20"/>
          <w:lang w:val="de-DE"/>
        </w:rPr>
        <w:t xml:space="preserve">weiterhin den Einträgen mit Explosionsgruppe II B in Spalte (16) </w:t>
      </w:r>
      <w:r w:rsidR="00171BE7" w:rsidRPr="002D3FF9">
        <w:rPr>
          <w:bCs/>
          <w:sz w:val="20"/>
          <w:lang w:val="de-DE"/>
        </w:rPr>
        <w:t>zugeordnet werden</w:t>
      </w:r>
      <w:r w:rsidR="00DC627D" w:rsidRPr="002D3FF9">
        <w:rPr>
          <w:bCs/>
          <w:sz w:val="20"/>
          <w:lang w:val="de-DE"/>
        </w:rPr>
        <w:t xml:space="preserve"> müssen.</w:t>
      </w:r>
    </w:p>
    <w:p w:rsidR="00064AC7" w:rsidRPr="002D3FF9" w:rsidRDefault="00064AC7">
      <w:pPr>
        <w:spacing w:after="0"/>
        <w:rPr>
          <w:bCs/>
          <w:sz w:val="20"/>
          <w:lang w:val="de-DE"/>
        </w:rPr>
      </w:pPr>
      <w:r w:rsidRPr="002D3FF9">
        <w:rPr>
          <w:bCs/>
          <w:sz w:val="20"/>
          <w:lang w:val="de-DE"/>
        </w:rPr>
        <w:br w:type="page"/>
      </w:r>
    </w:p>
    <w:p w:rsidR="00643488" w:rsidRPr="002D3FF9" w:rsidRDefault="00643488" w:rsidP="00DA4AA5">
      <w:pPr>
        <w:spacing w:after="0"/>
        <w:ind w:right="566"/>
        <w:jc w:val="both"/>
        <w:rPr>
          <w:bCs/>
          <w:sz w:val="20"/>
          <w:lang w:val="de-DE"/>
        </w:rPr>
      </w:pPr>
    </w:p>
    <w:p w:rsidR="00DC627D" w:rsidRPr="002D3FF9" w:rsidRDefault="00DC627D" w:rsidP="00DA4AA5">
      <w:pPr>
        <w:spacing w:after="0"/>
        <w:ind w:right="566"/>
        <w:jc w:val="both"/>
        <w:rPr>
          <w:b/>
          <w:bCs/>
          <w:sz w:val="20"/>
          <w:u w:val="single"/>
          <w:lang w:val="de-DE"/>
        </w:rPr>
      </w:pPr>
      <w:r w:rsidRPr="002D3FF9">
        <w:rPr>
          <w:b/>
          <w:bCs/>
          <w:sz w:val="20"/>
          <w:u w:val="single"/>
          <w:lang w:val="de-DE"/>
        </w:rPr>
        <w:t>Vorschlag:</w:t>
      </w:r>
    </w:p>
    <w:p w:rsidR="00DC627D" w:rsidRPr="002D3FF9" w:rsidRDefault="00DC627D" w:rsidP="00DA4AA5">
      <w:pPr>
        <w:spacing w:after="0"/>
        <w:ind w:right="566"/>
        <w:jc w:val="both"/>
        <w:rPr>
          <w:bCs/>
          <w:sz w:val="20"/>
          <w:lang w:val="de-DE"/>
        </w:rPr>
      </w:pPr>
    </w:p>
    <w:p w:rsidR="00DC627D" w:rsidRPr="002D3FF9" w:rsidRDefault="00E33401" w:rsidP="00DA4AA5">
      <w:pPr>
        <w:spacing w:after="0"/>
        <w:ind w:right="566"/>
        <w:jc w:val="both"/>
        <w:rPr>
          <w:bCs/>
          <w:sz w:val="20"/>
          <w:lang w:val="de-DE"/>
        </w:rPr>
      </w:pPr>
      <w:r w:rsidRPr="002D3FF9">
        <w:rPr>
          <w:bCs/>
          <w:sz w:val="20"/>
          <w:lang w:val="de-DE"/>
        </w:rPr>
        <w:t>38</w:t>
      </w:r>
      <w:r w:rsidR="00DC627D" w:rsidRPr="002D3FF9">
        <w:rPr>
          <w:bCs/>
          <w:sz w:val="20"/>
          <w:lang w:val="de-DE"/>
        </w:rPr>
        <w:t>.</w:t>
      </w:r>
      <w:r w:rsidR="00DC627D" w:rsidRPr="002D3FF9">
        <w:rPr>
          <w:bCs/>
          <w:sz w:val="20"/>
          <w:lang w:val="de-DE"/>
        </w:rPr>
        <w:tab/>
        <w:t>Die informelle Arbeitsgruppe schlägt deshalb vor, die Formulierung der Bemerkung 44 zu ergänzen, sodass sie wie folgt lautet (ergänzter Text ist unterstrichen):</w:t>
      </w:r>
    </w:p>
    <w:p w:rsidR="00DC627D" w:rsidRPr="002D3FF9" w:rsidRDefault="00DC627D" w:rsidP="00DA4AA5">
      <w:pPr>
        <w:spacing w:after="0"/>
        <w:ind w:right="566"/>
        <w:jc w:val="both"/>
        <w:rPr>
          <w:bCs/>
          <w:sz w:val="20"/>
          <w:lang w:val="de-DE"/>
        </w:rPr>
      </w:pPr>
    </w:p>
    <w:p w:rsidR="00643488" w:rsidRPr="002D3FF9" w:rsidRDefault="00DC627D" w:rsidP="00643488">
      <w:pPr>
        <w:spacing w:after="0"/>
        <w:ind w:left="567" w:right="566" w:hanging="567"/>
        <w:jc w:val="both"/>
        <w:rPr>
          <w:bCs/>
          <w:sz w:val="20"/>
          <w:lang w:val="de-DE"/>
        </w:rPr>
      </w:pPr>
      <w:r w:rsidRPr="002D3FF9">
        <w:rPr>
          <w:bCs/>
          <w:sz w:val="20"/>
          <w:lang w:val="de-DE"/>
        </w:rPr>
        <w:t>„44.</w:t>
      </w:r>
      <w:r w:rsidRPr="002D3FF9">
        <w:rPr>
          <w:bCs/>
          <w:sz w:val="20"/>
          <w:lang w:val="de-DE"/>
        </w:rPr>
        <w:tab/>
        <w:t xml:space="preserve">Ein Stoff darf diesem Eintrag nur zugeordnet werden, wenn Messdaten oder verifizierte Informationen gemäß IEC 60079-20-1 oder vergleichbar vorliegen, die eine Zuordnung zu den Untergruppen II B3, </w:t>
      </w:r>
      <w:r w:rsidRPr="002D3FF9">
        <w:rPr>
          <w:bCs/>
          <w:sz w:val="20"/>
          <w:u w:val="single"/>
          <w:lang w:val="de-DE"/>
        </w:rPr>
        <w:t>II B2 oder II B1 der Explosionsgruppe II B oder der Explosionsgruppe II A</w:t>
      </w:r>
      <w:r w:rsidRPr="002D3FF9">
        <w:rPr>
          <w:bCs/>
          <w:sz w:val="20"/>
          <w:lang w:val="de-DE"/>
        </w:rPr>
        <w:t xml:space="preserve"> erlauben.“.</w:t>
      </w:r>
    </w:p>
    <w:p w:rsidR="00D81755" w:rsidRPr="002D3FF9" w:rsidRDefault="0071130B" w:rsidP="00643488">
      <w:pPr>
        <w:spacing w:after="0"/>
        <w:ind w:left="567" w:right="566" w:hanging="567"/>
        <w:jc w:val="center"/>
        <w:rPr>
          <w:sz w:val="20"/>
          <w:lang w:val="de-DE"/>
        </w:rPr>
      </w:pPr>
      <w:r w:rsidRPr="002D3FF9">
        <w:rPr>
          <w:sz w:val="20"/>
          <w:lang w:val="de-DE"/>
        </w:rPr>
        <w:t>***</w:t>
      </w:r>
    </w:p>
    <w:sectPr w:rsidR="00D81755" w:rsidRPr="002D3FF9" w:rsidSect="003F343E">
      <w:headerReference w:type="first" r:id="rId15"/>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38E" w:rsidRDefault="00A8238E">
      <w:pPr>
        <w:pStyle w:val="Footer"/>
      </w:pPr>
    </w:p>
  </w:endnote>
  <w:endnote w:type="continuationSeparator" w:id="0">
    <w:p w:rsidR="00A8238E" w:rsidRDefault="00A8238E">
      <w:pPr>
        <w:spacing w:after="0"/>
      </w:pPr>
    </w:p>
  </w:endnote>
  <w:endnote w:type="continuationNotice" w:id="1">
    <w:p w:rsidR="00A8238E" w:rsidRDefault="00A823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ED" w:rsidRDefault="005379ED" w:rsidP="005A1DA4">
    <w:pPr>
      <w:tabs>
        <w:tab w:val="center" w:pos="4536"/>
        <w:tab w:val="right" w:pos="9072"/>
      </w:tabs>
      <w:spacing w:after="0"/>
      <w:jc w:val="right"/>
    </w:pPr>
    <w:r w:rsidRPr="00066C0F">
      <w:rPr>
        <w:rFonts w:ascii="Arial" w:hAnsi="Arial"/>
        <w:noProof/>
        <w:sz w:val="12"/>
        <w:szCs w:val="24"/>
        <w:lang w:val="en-US" w:eastAsia="fr-FR"/>
      </w:rPr>
      <w:t>mm/adn_wp15_ac2_201</w:t>
    </w:r>
    <w:r>
      <w:rPr>
        <w:rFonts w:ascii="Arial" w:hAnsi="Arial"/>
        <w:noProof/>
        <w:sz w:val="12"/>
        <w:szCs w:val="24"/>
        <w:lang w:val="en-US" w:eastAsia="fr-FR"/>
      </w:rPr>
      <w:t>8</w:t>
    </w:r>
    <w:r w:rsidRPr="00066C0F">
      <w:rPr>
        <w:rFonts w:ascii="Arial" w:hAnsi="Arial"/>
        <w:noProof/>
        <w:sz w:val="12"/>
        <w:szCs w:val="24"/>
        <w:lang w:val="en-US" w:eastAsia="fr-FR"/>
      </w:rPr>
      <w:t>_</w:t>
    </w:r>
    <w:r w:rsidR="002D3FF9">
      <w:rPr>
        <w:rFonts w:ascii="Arial" w:hAnsi="Arial"/>
        <w:noProof/>
        <w:sz w:val="12"/>
        <w:szCs w:val="24"/>
        <w:lang w:val="en-US" w:eastAsia="fr-FR"/>
      </w:rPr>
      <w:t>44</w:t>
    </w:r>
    <w:r w:rsidRPr="00066C0F">
      <w:rPr>
        <w:rFonts w:ascii="Arial" w:hAnsi="Arial"/>
        <w:noProof/>
        <w:sz w:val="12"/>
        <w:szCs w:val="24"/>
        <w:lang w:val="en-U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ED" w:rsidRDefault="005379ED" w:rsidP="005F4324">
    <w:pPr>
      <w:tabs>
        <w:tab w:val="center" w:pos="4536"/>
        <w:tab w:val="right" w:pos="9072"/>
      </w:tabs>
      <w:spacing w:after="0"/>
      <w:jc w:val="right"/>
    </w:pPr>
    <w:r w:rsidRPr="00066C0F">
      <w:rPr>
        <w:rFonts w:ascii="Arial" w:hAnsi="Arial"/>
        <w:noProof/>
        <w:sz w:val="12"/>
        <w:szCs w:val="24"/>
        <w:lang w:val="en-US" w:eastAsia="fr-FR"/>
      </w:rPr>
      <w:t>mm/adn_wp15_ac2_201</w:t>
    </w:r>
    <w:r>
      <w:rPr>
        <w:rFonts w:ascii="Arial" w:hAnsi="Arial"/>
        <w:noProof/>
        <w:sz w:val="12"/>
        <w:szCs w:val="24"/>
        <w:lang w:val="en-US" w:eastAsia="fr-FR"/>
      </w:rPr>
      <w:t>8</w:t>
    </w:r>
    <w:r w:rsidRPr="00066C0F">
      <w:rPr>
        <w:rFonts w:ascii="Arial" w:hAnsi="Arial"/>
        <w:noProof/>
        <w:sz w:val="12"/>
        <w:szCs w:val="24"/>
        <w:lang w:val="en-US" w:eastAsia="fr-FR"/>
      </w:rPr>
      <w:t>_</w:t>
    </w:r>
    <w:r w:rsidR="002D3FF9">
      <w:rPr>
        <w:rFonts w:ascii="Arial" w:hAnsi="Arial"/>
        <w:noProof/>
        <w:sz w:val="12"/>
        <w:szCs w:val="24"/>
        <w:lang w:val="en-US" w:eastAsia="fr-FR"/>
      </w:rPr>
      <w:t>44</w:t>
    </w:r>
    <w:r w:rsidRPr="00066C0F">
      <w:rPr>
        <w:rFonts w:ascii="Arial" w:hAnsi="Arial"/>
        <w:noProof/>
        <w:sz w:val="12"/>
        <w:szCs w:val="24"/>
        <w:lang w:val="en-US"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ED" w:rsidRDefault="005379ED" w:rsidP="001E55C3">
    <w:pPr>
      <w:tabs>
        <w:tab w:val="center" w:pos="4536"/>
        <w:tab w:val="right" w:pos="9072"/>
      </w:tabs>
      <w:spacing w:after="0"/>
      <w:jc w:val="right"/>
    </w:pPr>
    <w:r w:rsidRPr="00066C0F">
      <w:rPr>
        <w:rFonts w:ascii="Arial" w:hAnsi="Arial"/>
        <w:noProof/>
        <w:sz w:val="12"/>
        <w:szCs w:val="24"/>
        <w:lang w:val="en-US" w:eastAsia="fr-FR"/>
      </w:rPr>
      <w:t>mm/adn_wp15_ac2_201</w:t>
    </w:r>
    <w:r w:rsidR="00AE7A02">
      <w:rPr>
        <w:rFonts w:ascii="Arial" w:hAnsi="Arial"/>
        <w:noProof/>
        <w:sz w:val="12"/>
        <w:szCs w:val="24"/>
        <w:lang w:val="en-US" w:eastAsia="fr-FR"/>
      </w:rPr>
      <w:t>8</w:t>
    </w:r>
    <w:r w:rsidRPr="00066C0F">
      <w:rPr>
        <w:rFonts w:ascii="Arial" w:hAnsi="Arial"/>
        <w:noProof/>
        <w:sz w:val="12"/>
        <w:szCs w:val="24"/>
        <w:lang w:val="en-US" w:eastAsia="fr-FR"/>
      </w:rPr>
      <w:t>_</w:t>
    </w:r>
    <w:r w:rsidR="002D3FF9">
      <w:rPr>
        <w:rFonts w:ascii="Arial" w:hAnsi="Arial"/>
        <w:noProof/>
        <w:sz w:val="12"/>
        <w:szCs w:val="24"/>
        <w:lang w:val="en-US" w:eastAsia="fr-FR"/>
      </w:rPr>
      <w:t>44</w:t>
    </w:r>
    <w:r w:rsidRPr="00066C0F">
      <w:rPr>
        <w:rFonts w:ascii="Arial" w:hAnsi="Arial"/>
        <w:noProof/>
        <w:sz w:val="12"/>
        <w:szCs w:val="24"/>
        <w:lang w:val="en-US"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38E" w:rsidRDefault="00A8238E">
      <w:pPr>
        <w:spacing w:after="0"/>
      </w:pPr>
      <w:r>
        <w:separator/>
      </w:r>
    </w:p>
  </w:footnote>
  <w:footnote w:type="continuationSeparator" w:id="0">
    <w:p w:rsidR="00A8238E" w:rsidRDefault="00A8238E">
      <w:pPr>
        <w:spacing w:after="0"/>
        <w:rPr>
          <w:u w:val="single"/>
        </w:rPr>
      </w:pPr>
      <w:r>
        <w:rPr>
          <w:u w:val="single"/>
        </w:rPr>
        <w:tab/>
      </w:r>
      <w:r>
        <w:rPr>
          <w:u w:val="single"/>
        </w:rPr>
        <w:tab/>
      </w:r>
      <w:r>
        <w:rPr>
          <w:u w:val="single"/>
        </w:rPr>
        <w:tab/>
      </w:r>
      <w:r>
        <w:rPr>
          <w:u w:val="single"/>
        </w:rPr>
        <w:tab/>
      </w:r>
    </w:p>
  </w:footnote>
  <w:footnote w:type="continuationNotice" w:id="1">
    <w:p w:rsidR="00A8238E" w:rsidRDefault="00A8238E">
      <w:pPr>
        <w:spacing w:after="0"/>
      </w:pPr>
    </w:p>
  </w:footnote>
  <w:footnote w:id="2">
    <w:p w:rsidR="005379ED" w:rsidRPr="00420DC3" w:rsidRDefault="005379ED" w:rsidP="00096154">
      <w:pPr>
        <w:pStyle w:val="FootnoteText"/>
        <w:spacing w:after="0"/>
        <w:ind w:left="284" w:hanging="284"/>
        <w:rPr>
          <w:sz w:val="16"/>
          <w:szCs w:val="16"/>
          <w:lang w:val="de-DE"/>
        </w:rPr>
      </w:pPr>
      <w:r w:rsidRPr="00420DC3">
        <w:rPr>
          <w:rStyle w:val="FootnoteReference"/>
          <w:sz w:val="16"/>
          <w:szCs w:val="16"/>
        </w:rPr>
        <w:footnoteRef/>
      </w:r>
      <w:r w:rsidRPr="00420DC3">
        <w:rPr>
          <w:sz w:val="16"/>
          <w:szCs w:val="16"/>
          <w:lang w:val="de-DE"/>
        </w:rPr>
        <w:t xml:space="preserve"> </w:t>
      </w:r>
      <w:r w:rsidRPr="00420DC3">
        <w:rPr>
          <w:sz w:val="16"/>
          <w:szCs w:val="16"/>
          <w:lang w:val="de-DE"/>
        </w:rPr>
        <w:tab/>
        <w:t>Von der UN-ECE in Englisch, Französisch und Russisch unter dem Aktenzeichen ECE/TRANS/WP.15/AC.2/201</w:t>
      </w:r>
      <w:r>
        <w:rPr>
          <w:sz w:val="16"/>
          <w:szCs w:val="16"/>
          <w:lang w:val="de-DE"/>
        </w:rPr>
        <w:t>8</w:t>
      </w:r>
      <w:r w:rsidRPr="00420DC3">
        <w:rPr>
          <w:sz w:val="16"/>
          <w:szCs w:val="16"/>
          <w:lang w:val="de-DE"/>
        </w:rPr>
        <w:t>/</w:t>
      </w:r>
      <w:r w:rsidR="002D3FF9">
        <w:rPr>
          <w:sz w:val="16"/>
          <w:szCs w:val="16"/>
          <w:lang w:val="de-DE"/>
        </w:rPr>
        <w:t>44</w:t>
      </w:r>
      <w:r w:rsidRPr="00420DC3">
        <w:rPr>
          <w:sz w:val="16"/>
          <w:szCs w:val="16"/>
          <w:lang w:val="de-DE"/>
        </w:rPr>
        <w:t xml:space="preserve"> verteilt.</w:t>
      </w:r>
    </w:p>
  </w:footnote>
  <w:footnote w:id="3">
    <w:p w:rsidR="005379ED" w:rsidRPr="00420DC3" w:rsidRDefault="005379ED" w:rsidP="00096154">
      <w:pPr>
        <w:pStyle w:val="FootnoteText"/>
        <w:tabs>
          <w:tab w:val="left" w:pos="284"/>
        </w:tabs>
        <w:spacing w:after="0"/>
        <w:ind w:left="284" w:hanging="284"/>
        <w:rPr>
          <w:sz w:val="16"/>
          <w:szCs w:val="16"/>
          <w:lang w:val="de-DE"/>
        </w:rPr>
      </w:pPr>
      <w:r w:rsidRPr="00420DC3">
        <w:rPr>
          <w:rStyle w:val="FootnoteReference"/>
          <w:sz w:val="16"/>
          <w:szCs w:val="16"/>
        </w:rPr>
        <w:footnoteRef/>
      </w:r>
      <w:r w:rsidRPr="00420DC3">
        <w:rPr>
          <w:sz w:val="16"/>
          <w:szCs w:val="16"/>
          <w:lang w:val="de-DE"/>
        </w:rPr>
        <w:t xml:space="preserve"> </w:t>
      </w:r>
      <w:r w:rsidRPr="00420DC3">
        <w:rPr>
          <w:sz w:val="16"/>
          <w:szCs w:val="16"/>
          <w:lang w:val="de-DE"/>
        </w:rPr>
        <w:tab/>
        <w:t>Entsprechend dem Arbeitsprogramm des Binnenverkehrsausschusses für 201</w:t>
      </w:r>
      <w:r w:rsidR="002D3FF9">
        <w:rPr>
          <w:sz w:val="16"/>
          <w:szCs w:val="16"/>
          <w:lang w:val="de-DE"/>
        </w:rPr>
        <w:t>8</w:t>
      </w:r>
      <w:r w:rsidRPr="00420DC3">
        <w:rPr>
          <w:sz w:val="16"/>
          <w:szCs w:val="16"/>
          <w:lang w:val="de-DE"/>
        </w:rPr>
        <w:t>-201</w:t>
      </w:r>
      <w:r w:rsidR="002D3FF9">
        <w:rPr>
          <w:sz w:val="16"/>
          <w:szCs w:val="16"/>
          <w:lang w:val="de-DE"/>
        </w:rPr>
        <w:t>9</w:t>
      </w:r>
      <w:r w:rsidRPr="00420DC3">
        <w:rPr>
          <w:sz w:val="16"/>
          <w:szCs w:val="16"/>
          <w:lang w:val="de-DE"/>
        </w:rPr>
        <w:t xml:space="preserve"> (ECE/TRANS/</w:t>
      </w:r>
      <w:r w:rsidR="002D3FF9">
        <w:rPr>
          <w:sz w:val="16"/>
          <w:szCs w:val="16"/>
          <w:lang w:val="de-DE"/>
        </w:rPr>
        <w:t>2018/21/</w:t>
      </w:r>
      <w:r w:rsidRPr="00420DC3">
        <w:rPr>
          <w:sz w:val="16"/>
          <w:szCs w:val="16"/>
          <w:lang w:val="de-DE"/>
        </w:rPr>
        <w:t>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ED" w:rsidRPr="005E450E" w:rsidRDefault="005379ED" w:rsidP="000B697D">
    <w:pPr>
      <w:pStyle w:val="Header"/>
      <w:spacing w:after="0"/>
      <w:rPr>
        <w:rFonts w:ascii="Arial" w:hAnsi="Arial" w:cs="Arial"/>
        <w:sz w:val="16"/>
        <w:szCs w:val="16"/>
        <w:lang w:val="en-US"/>
      </w:rPr>
    </w:pPr>
    <w:r w:rsidRPr="005E450E">
      <w:rPr>
        <w:rFonts w:ascii="Arial" w:hAnsi="Arial" w:cs="Arial"/>
        <w:sz w:val="16"/>
        <w:szCs w:val="16"/>
        <w:lang w:val="en-US"/>
      </w:rPr>
      <w:t>CCNR-ZKR/ADN/WP.15/AC.2/201</w:t>
    </w:r>
    <w:r>
      <w:rPr>
        <w:rFonts w:ascii="Arial" w:hAnsi="Arial" w:cs="Arial"/>
        <w:sz w:val="16"/>
        <w:szCs w:val="16"/>
        <w:lang w:val="en-US"/>
      </w:rPr>
      <w:t>8</w:t>
    </w:r>
    <w:r w:rsidRPr="005E450E">
      <w:rPr>
        <w:rFonts w:ascii="Arial" w:hAnsi="Arial" w:cs="Arial"/>
        <w:sz w:val="16"/>
        <w:szCs w:val="16"/>
        <w:lang w:val="en-US"/>
      </w:rPr>
      <w:t>/</w:t>
    </w:r>
    <w:r w:rsidR="002D3FF9">
      <w:rPr>
        <w:rFonts w:ascii="Arial" w:hAnsi="Arial" w:cs="Arial"/>
        <w:sz w:val="16"/>
        <w:szCs w:val="16"/>
        <w:lang w:val="en-US"/>
      </w:rPr>
      <w:t>44</w:t>
    </w:r>
  </w:p>
  <w:p w:rsidR="005379ED" w:rsidRPr="00226EA3" w:rsidRDefault="005379ED" w:rsidP="000B697D">
    <w:pPr>
      <w:pStyle w:val="Header"/>
      <w:spacing w:after="0"/>
      <w:rPr>
        <w:rFonts w:ascii="Arial" w:hAnsi="Arial" w:cs="Arial"/>
        <w:sz w:val="16"/>
        <w:szCs w:val="16"/>
      </w:rPr>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55008E">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ED" w:rsidRPr="005E450E" w:rsidRDefault="005379ED" w:rsidP="0071130B">
    <w:pPr>
      <w:pStyle w:val="Header"/>
      <w:spacing w:after="0"/>
      <w:jc w:val="right"/>
      <w:rPr>
        <w:rFonts w:ascii="Arial" w:hAnsi="Arial" w:cs="Arial"/>
        <w:sz w:val="16"/>
        <w:szCs w:val="16"/>
        <w:lang w:val="en-US"/>
      </w:rPr>
    </w:pPr>
    <w:r w:rsidRPr="005E450E">
      <w:rPr>
        <w:rFonts w:ascii="Arial" w:hAnsi="Arial" w:cs="Arial"/>
        <w:sz w:val="16"/>
        <w:szCs w:val="16"/>
        <w:lang w:val="en-US"/>
      </w:rPr>
      <w:t>CCNR-ZKR/ADN/WP.15/AC.2/201</w:t>
    </w:r>
    <w:r>
      <w:rPr>
        <w:rFonts w:ascii="Arial" w:hAnsi="Arial" w:cs="Arial"/>
        <w:sz w:val="16"/>
        <w:szCs w:val="16"/>
        <w:lang w:val="en-US"/>
      </w:rPr>
      <w:t>8</w:t>
    </w:r>
    <w:r w:rsidRPr="005E450E">
      <w:rPr>
        <w:rFonts w:ascii="Arial" w:hAnsi="Arial" w:cs="Arial"/>
        <w:sz w:val="16"/>
        <w:szCs w:val="16"/>
        <w:lang w:val="en-US"/>
      </w:rPr>
      <w:t>/</w:t>
    </w:r>
    <w:r w:rsidR="002D3FF9">
      <w:rPr>
        <w:rFonts w:ascii="Arial" w:hAnsi="Arial" w:cs="Arial"/>
        <w:sz w:val="16"/>
        <w:szCs w:val="16"/>
        <w:lang w:val="en-US"/>
      </w:rPr>
      <w:t>44</w:t>
    </w:r>
  </w:p>
  <w:p w:rsidR="005379ED" w:rsidRPr="0071130B" w:rsidRDefault="005379ED" w:rsidP="0071130B">
    <w:pPr>
      <w:pStyle w:val="Header"/>
      <w:spacing w:after="0"/>
      <w:jc w:val="right"/>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55008E">
      <w:rPr>
        <w:rFonts w:ascii="Arial" w:hAnsi="Arial" w:cs="Arial"/>
        <w:noProof/>
        <w:sz w:val="16"/>
        <w:szCs w:val="16"/>
      </w:rPr>
      <w:t>7</w:t>
    </w:r>
    <w:r w:rsidRPr="00226EA3">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ED" w:rsidRPr="005E450E" w:rsidRDefault="005379ED" w:rsidP="001E55C3">
    <w:pPr>
      <w:pStyle w:val="Header"/>
      <w:spacing w:after="0"/>
      <w:rPr>
        <w:rFonts w:ascii="Arial" w:hAnsi="Arial" w:cs="Arial"/>
        <w:sz w:val="16"/>
        <w:szCs w:val="16"/>
        <w:lang w:val="en-US"/>
      </w:rPr>
    </w:pPr>
    <w:r w:rsidRPr="005E450E">
      <w:rPr>
        <w:rFonts w:ascii="Arial" w:hAnsi="Arial" w:cs="Arial"/>
        <w:sz w:val="16"/>
        <w:szCs w:val="16"/>
        <w:lang w:val="en-US"/>
      </w:rPr>
      <w:t>CCNR-ZKR/ADN/WP.15/AC.2/201</w:t>
    </w:r>
    <w:r w:rsidR="00AE7A02">
      <w:rPr>
        <w:rFonts w:ascii="Arial" w:hAnsi="Arial" w:cs="Arial"/>
        <w:sz w:val="16"/>
        <w:szCs w:val="16"/>
        <w:lang w:val="en-US"/>
      </w:rPr>
      <w:t>8</w:t>
    </w:r>
    <w:r w:rsidRPr="005E450E">
      <w:rPr>
        <w:rFonts w:ascii="Arial" w:hAnsi="Arial" w:cs="Arial"/>
        <w:sz w:val="16"/>
        <w:szCs w:val="16"/>
        <w:lang w:val="en-US"/>
      </w:rPr>
      <w:t>/</w:t>
    </w:r>
    <w:r w:rsidR="002D3FF9">
      <w:rPr>
        <w:rFonts w:ascii="Arial" w:hAnsi="Arial" w:cs="Arial"/>
        <w:sz w:val="16"/>
        <w:szCs w:val="16"/>
        <w:lang w:val="en-US"/>
      </w:rPr>
      <w:t>44</w:t>
    </w:r>
  </w:p>
  <w:p w:rsidR="005379ED" w:rsidRDefault="005379ED" w:rsidP="001E55C3">
    <w:pPr>
      <w:pStyle w:val="Header"/>
      <w:spacing w:after="0"/>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55008E">
      <w:rPr>
        <w:rFonts w:ascii="Arial" w:hAnsi="Arial" w:cs="Arial"/>
        <w:noProof/>
        <w:sz w:val="16"/>
        <w:szCs w:val="16"/>
      </w:rPr>
      <w:t>8</w:t>
    </w:r>
    <w:r w:rsidRPr="00226EA3">
      <w:rPr>
        <w:rFonts w:ascii="Arial" w:hAnsi="Arial" w:cs="Arial"/>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ED" w:rsidRPr="005E450E" w:rsidRDefault="005379ED" w:rsidP="0071130B">
    <w:pPr>
      <w:pStyle w:val="Header"/>
      <w:spacing w:after="0"/>
      <w:jc w:val="right"/>
      <w:rPr>
        <w:rFonts w:ascii="Arial" w:hAnsi="Arial" w:cs="Arial"/>
        <w:sz w:val="16"/>
        <w:szCs w:val="16"/>
        <w:lang w:val="en-US"/>
      </w:rPr>
    </w:pPr>
    <w:r w:rsidRPr="005E450E">
      <w:rPr>
        <w:rFonts w:ascii="Arial" w:hAnsi="Arial" w:cs="Arial"/>
        <w:sz w:val="16"/>
        <w:szCs w:val="16"/>
        <w:lang w:val="en-US"/>
      </w:rPr>
      <w:t>CCNR-ZKR/ADN/WP.15/AC.2/201</w:t>
    </w:r>
    <w:r w:rsidR="00AE7A02">
      <w:rPr>
        <w:rFonts w:ascii="Arial" w:hAnsi="Arial" w:cs="Arial"/>
        <w:sz w:val="16"/>
        <w:szCs w:val="16"/>
        <w:lang w:val="en-US"/>
      </w:rPr>
      <w:t>8</w:t>
    </w:r>
    <w:r w:rsidRPr="005E450E">
      <w:rPr>
        <w:rFonts w:ascii="Arial" w:hAnsi="Arial" w:cs="Arial"/>
        <w:sz w:val="16"/>
        <w:szCs w:val="16"/>
        <w:lang w:val="en-US"/>
      </w:rPr>
      <w:t>/</w:t>
    </w:r>
    <w:r w:rsidR="002D3FF9">
      <w:rPr>
        <w:rFonts w:ascii="Arial" w:hAnsi="Arial" w:cs="Arial"/>
        <w:sz w:val="16"/>
        <w:szCs w:val="16"/>
        <w:lang w:val="en-US"/>
      </w:rPr>
      <w:t>44</w:t>
    </w:r>
  </w:p>
  <w:p w:rsidR="005379ED" w:rsidRDefault="005379ED" w:rsidP="0071130B">
    <w:pPr>
      <w:pStyle w:val="Header"/>
      <w:spacing w:after="0"/>
      <w:jc w:val="right"/>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55008E">
      <w:rPr>
        <w:rFonts w:ascii="Arial" w:hAnsi="Arial" w:cs="Arial"/>
        <w:noProof/>
        <w:sz w:val="16"/>
        <w:szCs w:val="16"/>
      </w:rPr>
      <w:t>9</w:t>
    </w:r>
    <w:r w:rsidRPr="00226EA3">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97937"/>
    <w:multiLevelType w:val="hybridMultilevel"/>
    <w:tmpl w:val="171626F4"/>
    <w:lvl w:ilvl="0" w:tplc="040C0017">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1"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7"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0" w15:restartNumberingAfterBreak="0">
    <w:nsid w:val="5BEE07CF"/>
    <w:multiLevelType w:val="hybridMultilevel"/>
    <w:tmpl w:val="35FED9DC"/>
    <w:lvl w:ilvl="0" w:tplc="040C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2"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4"/>
  </w:num>
  <w:num w:numId="2">
    <w:abstractNumId w:val="10"/>
  </w:num>
  <w:num w:numId="3">
    <w:abstractNumId w:val="5"/>
  </w:num>
  <w:num w:numId="4">
    <w:abstractNumId w:val="12"/>
  </w:num>
  <w:num w:numId="5">
    <w:abstractNumId w:val="0"/>
  </w:num>
  <w:num w:numId="6">
    <w:abstractNumId w:val="25"/>
  </w:num>
  <w:num w:numId="7">
    <w:abstractNumId w:val="17"/>
  </w:num>
  <w:num w:numId="8">
    <w:abstractNumId w:val="6"/>
  </w:num>
  <w:num w:numId="9">
    <w:abstractNumId w:val="7"/>
  </w:num>
  <w:num w:numId="10">
    <w:abstractNumId w:val="9"/>
  </w:num>
  <w:num w:numId="11">
    <w:abstractNumId w:val="13"/>
  </w:num>
  <w:num w:numId="12">
    <w:abstractNumId w:val="23"/>
  </w:num>
  <w:num w:numId="13">
    <w:abstractNumId w:val="1"/>
  </w:num>
  <w:num w:numId="14">
    <w:abstractNumId w:val="8"/>
  </w:num>
  <w:num w:numId="15">
    <w:abstractNumId w:val="16"/>
  </w:num>
  <w:num w:numId="16">
    <w:abstractNumId w:val="15"/>
  </w:num>
  <w:num w:numId="17">
    <w:abstractNumId w:val="2"/>
  </w:num>
  <w:num w:numId="18">
    <w:abstractNumId w:val="24"/>
  </w:num>
  <w:num w:numId="19">
    <w:abstractNumId w:val="18"/>
  </w:num>
  <w:num w:numId="20">
    <w:abstractNumId w:val="11"/>
  </w:num>
  <w:num w:numId="21">
    <w:abstractNumId w:val="22"/>
  </w:num>
  <w:num w:numId="22">
    <w:abstractNumId w:val="21"/>
  </w:num>
  <w:num w:numId="23">
    <w:abstractNumId w:val="4"/>
  </w:num>
  <w:num w:numId="24">
    <w:abstractNumId w:val="19"/>
  </w:num>
  <w:num w:numId="25">
    <w:abstractNumId w:val="20"/>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146"/>
    <w:rsid w:val="0000299C"/>
    <w:rsid w:val="000038C0"/>
    <w:rsid w:val="00007F6A"/>
    <w:rsid w:val="000151E1"/>
    <w:rsid w:val="000217BA"/>
    <w:rsid w:val="0002700B"/>
    <w:rsid w:val="0002723B"/>
    <w:rsid w:val="00034366"/>
    <w:rsid w:val="000366B7"/>
    <w:rsid w:val="00037033"/>
    <w:rsid w:val="000400C4"/>
    <w:rsid w:val="00041312"/>
    <w:rsid w:val="0004300F"/>
    <w:rsid w:val="00044BFC"/>
    <w:rsid w:val="000500BF"/>
    <w:rsid w:val="00050114"/>
    <w:rsid w:val="000516AA"/>
    <w:rsid w:val="0005197F"/>
    <w:rsid w:val="00054A90"/>
    <w:rsid w:val="000558EB"/>
    <w:rsid w:val="0005758B"/>
    <w:rsid w:val="00057A93"/>
    <w:rsid w:val="00060CCD"/>
    <w:rsid w:val="00061329"/>
    <w:rsid w:val="00061AD3"/>
    <w:rsid w:val="00064AC7"/>
    <w:rsid w:val="000667CE"/>
    <w:rsid w:val="00067498"/>
    <w:rsid w:val="00067BD0"/>
    <w:rsid w:val="00070693"/>
    <w:rsid w:val="00070E56"/>
    <w:rsid w:val="00071B40"/>
    <w:rsid w:val="00072140"/>
    <w:rsid w:val="00073EA8"/>
    <w:rsid w:val="00073FB6"/>
    <w:rsid w:val="0007426C"/>
    <w:rsid w:val="00077405"/>
    <w:rsid w:val="0008020B"/>
    <w:rsid w:val="00082E74"/>
    <w:rsid w:val="00093086"/>
    <w:rsid w:val="00095DAD"/>
    <w:rsid w:val="00096154"/>
    <w:rsid w:val="000A3277"/>
    <w:rsid w:val="000A6F97"/>
    <w:rsid w:val="000B1DCB"/>
    <w:rsid w:val="000B25D0"/>
    <w:rsid w:val="000B2FCE"/>
    <w:rsid w:val="000B360C"/>
    <w:rsid w:val="000B3F5E"/>
    <w:rsid w:val="000B697D"/>
    <w:rsid w:val="000C0E49"/>
    <w:rsid w:val="000C100E"/>
    <w:rsid w:val="000C120B"/>
    <w:rsid w:val="000C3D08"/>
    <w:rsid w:val="000C618B"/>
    <w:rsid w:val="000D3032"/>
    <w:rsid w:val="000D4774"/>
    <w:rsid w:val="000D561F"/>
    <w:rsid w:val="000E06E4"/>
    <w:rsid w:val="000E5406"/>
    <w:rsid w:val="000E71CC"/>
    <w:rsid w:val="000F3523"/>
    <w:rsid w:val="000F3B3B"/>
    <w:rsid w:val="000F574C"/>
    <w:rsid w:val="00106C1B"/>
    <w:rsid w:val="00107DFC"/>
    <w:rsid w:val="00111B8A"/>
    <w:rsid w:val="00114C05"/>
    <w:rsid w:val="00115689"/>
    <w:rsid w:val="001162B6"/>
    <w:rsid w:val="001168E3"/>
    <w:rsid w:val="0012049D"/>
    <w:rsid w:val="00122163"/>
    <w:rsid w:val="0012596F"/>
    <w:rsid w:val="001309F5"/>
    <w:rsid w:val="00131898"/>
    <w:rsid w:val="00131BD6"/>
    <w:rsid w:val="0013308C"/>
    <w:rsid w:val="0013415E"/>
    <w:rsid w:val="001366D6"/>
    <w:rsid w:val="00137616"/>
    <w:rsid w:val="00141BE2"/>
    <w:rsid w:val="00143FA2"/>
    <w:rsid w:val="0014423E"/>
    <w:rsid w:val="00144311"/>
    <w:rsid w:val="00147198"/>
    <w:rsid w:val="00152AD7"/>
    <w:rsid w:val="00152E73"/>
    <w:rsid w:val="0015395A"/>
    <w:rsid w:val="0015581D"/>
    <w:rsid w:val="00160FD5"/>
    <w:rsid w:val="0016201E"/>
    <w:rsid w:val="00163706"/>
    <w:rsid w:val="00164C45"/>
    <w:rsid w:val="001665F2"/>
    <w:rsid w:val="001675D0"/>
    <w:rsid w:val="00171BE7"/>
    <w:rsid w:val="00171E75"/>
    <w:rsid w:val="00172BDF"/>
    <w:rsid w:val="00174FF1"/>
    <w:rsid w:val="001770A9"/>
    <w:rsid w:val="001811D0"/>
    <w:rsid w:val="001817AF"/>
    <w:rsid w:val="00181ECA"/>
    <w:rsid w:val="001824E1"/>
    <w:rsid w:val="001828CA"/>
    <w:rsid w:val="001853A3"/>
    <w:rsid w:val="00186BF8"/>
    <w:rsid w:val="00186CCD"/>
    <w:rsid w:val="00187038"/>
    <w:rsid w:val="001902EF"/>
    <w:rsid w:val="001919B1"/>
    <w:rsid w:val="00192271"/>
    <w:rsid w:val="00192DC1"/>
    <w:rsid w:val="001A04FA"/>
    <w:rsid w:val="001A1361"/>
    <w:rsid w:val="001A6F70"/>
    <w:rsid w:val="001A705C"/>
    <w:rsid w:val="001A727C"/>
    <w:rsid w:val="001B478E"/>
    <w:rsid w:val="001B5295"/>
    <w:rsid w:val="001B57CF"/>
    <w:rsid w:val="001B731A"/>
    <w:rsid w:val="001C024F"/>
    <w:rsid w:val="001C43FA"/>
    <w:rsid w:val="001C6029"/>
    <w:rsid w:val="001E55C3"/>
    <w:rsid w:val="001F09CC"/>
    <w:rsid w:val="001F1079"/>
    <w:rsid w:val="001F1F05"/>
    <w:rsid w:val="001F209B"/>
    <w:rsid w:val="001F42B0"/>
    <w:rsid w:val="001F4AD7"/>
    <w:rsid w:val="001F52BC"/>
    <w:rsid w:val="001F7B38"/>
    <w:rsid w:val="00201C24"/>
    <w:rsid w:val="00207C16"/>
    <w:rsid w:val="00211B4E"/>
    <w:rsid w:val="00211CEC"/>
    <w:rsid w:val="002169C7"/>
    <w:rsid w:val="00216D73"/>
    <w:rsid w:val="00217CBA"/>
    <w:rsid w:val="00222E79"/>
    <w:rsid w:val="00226EA3"/>
    <w:rsid w:val="00230BAD"/>
    <w:rsid w:val="00232F8C"/>
    <w:rsid w:val="0023654A"/>
    <w:rsid w:val="00240A17"/>
    <w:rsid w:val="00241778"/>
    <w:rsid w:val="0024315A"/>
    <w:rsid w:val="00243860"/>
    <w:rsid w:val="00245760"/>
    <w:rsid w:val="00245CD7"/>
    <w:rsid w:val="002471F5"/>
    <w:rsid w:val="00252C35"/>
    <w:rsid w:val="00256038"/>
    <w:rsid w:val="00256BE9"/>
    <w:rsid w:val="0025725D"/>
    <w:rsid w:val="002613AC"/>
    <w:rsid w:val="00262A49"/>
    <w:rsid w:val="002725E1"/>
    <w:rsid w:val="00273048"/>
    <w:rsid w:val="00273ECF"/>
    <w:rsid w:val="0028124B"/>
    <w:rsid w:val="002850A9"/>
    <w:rsid w:val="002852DB"/>
    <w:rsid w:val="002925CC"/>
    <w:rsid w:val="00292B45"/>
    <w:rsid w:val="00293062"/>
    <w:rsid w:val="00293A26"/>
    <w:rsid w:val="00294E58"/>
    <w:rsid w:val="002953F1"/>
    <w:rsid w:val="002959A3"/>
    <w:rsid w:val="00297B40"/>
    <w:rsid w:val="00297C02"/>
    <w:rsid w:val="002A00FC"/>
    <w:rsid w:val="002A26E5"/>
    <w:rsid w:val="002A5AC5"/>
    <w:rsid w:val="002B1104"/>
    <w:rsid w:val="002B335D"/>
    <w:rsid w:val="002B5575"/>
    <w:rsid w:val="002B75F4"/>
    <w:rsid w:val="002B7B77"/>
    <w:rsid w:val="002C34CD"/>
    <w:rsid w:val="002C5D21"/>
    <w:rsid w:val="002C6003"/>
    <w:rsid w:val="002C63BE"/>
    <w:rsid w:val="002C7555"/>
    <w:rsid w:val="002C758C"/>
    <w:rsid w:val="002D134D"/>
    <w:rsid w:val="002D13CC"/>
    <w:rsid w:val="002D3FF9"/>
    <w:rsid w:val="002D4BDB"/>
    <w:rsid w:val="002E12C4"/>
    <w:rsid w:val="002E1922"/>
    <w:rsid w:val="002E1B9C"/>
    <w:rsid w:val="002E26AB"/>
    <w:rsid w:val="002E274C"/>
    <w:rsid w:val="002E3B97"/>
    <w:rsid w:val="002E4C45"/>
    <w:rsid w:val="002E4E6B"/>
    <w:rsid w:val="002E5219"/>
    <w:rsid w:val="002E5FDC"/>
    <w:rsid w:val="002E62E4"/>
    <w:rsid w:val="002F0DAB"/>
    <w:rsid w:val="002F1015"/>
    <w:rsid w:val="002F2DBA"/>
    <w:rsid w:val="002F4582"/>
    <w:rsid w:val="002F46DA"/>
    <w:rsid w:val="002F5330"/>
    <w:rsid w:val="00300C0A"/>
    <w:rsid w:val="00300DC1"/>
    <w:rsid w:val="00301CFC"/>
    <w:rsid w:val="00301EB1"/>
    <w:rsid w:val="00302FCA"/>
    <w:rsid w:val="00303F98"/>
    <w:rsid w:val="00306640"/>
    <w:rsid w:val="00311520"/>
    <w:rsid w:val="003119F2"/>
    <w:rsid w:val="00311C72"/>
    <w:rsid w:val="0031257D"/>
    <w:rsid w:val="0031273A"/>
    <w:rsid w:val="003146BA"/>
    <w:rsid w:val="003148C5"/>
    <w:rsid w:val="00315C33"/>
    <w:rsid w:val="0031672F"/>
    <w:rsid w:val="0031701F"/>
    <w:rsid w:val="00321463"/>
    <w:rsid w:val="00321655"/>
    <w:rsid w:val="003240A1"/>
    <w:rsid w:val="003241E3"/>
    <w:rsid w:val="00325611"/>
    <w:rsid w:val="0033076D"/>
    <w:rsid w:val="00333327"/>
    <w:rsid w:val="0033405A"/>
    <w:rsid w:val="003371B3"/>
    <w:rsid w:val="003378C4"/>
    <w:rsid w:val="0034431A"/>
    <w:rsid w:val="0035078B"/>
    <w:rsid w:val="00350951"/>
    <w:rsid w:val="00352C95"/>
    <w:rsid w:val="00352F30"/>
    <w:rsid w:val="0035388D"/>
    <w:rsid w:val="00354FB0"/>
    <w:rsid w:val="00356BA4"/>
    <w:rsid w:val="00357395"/>
    <w:rsid w:val="00357FB2"/>
    <w:rsid w:val="00360661"/>
    <w:rsid w:val="00360945"/>
    <w:rsid w:val="00360A29"/>
    <w:rsid w:val="00361D58"/>
    <w:rsid w:val="0037285C"/>
    <w:rsid w:val="00372C33"/>
    <w:rsid w:val="00375625"/>
    <w:rsid w:val="00375E4E"/>
    <w:rsid w:val="003775F5"/>
    <w:rsid w:val="00377B53"/>
    <w:rsid w:val="00380FFA"/>
    <w:rsid w:val="00381EBE"/>
    <w:rsid w:val="00385969"/>
    <w:rsid w:val="00385C45"/>
    <w:rsid w:val="00385FB2"/>
    <w:rsid w:val="00387E5C"/>
    <w:rsid w:val="00390BB7"/>
    <w:rsid w:val="003913D5"/>
    <w:rsid w:val="003927D1"/>
    <w:rsid w:val="00392D80"/>
    <w:rsid w:val="0039615E"/>
    <w:rsid w:val="00396812"/>
    <w:rsid w:val="003968A0"/>
    <w:rsid w:val="00396BD5"/>
    <w:rsid w:val="00396E3E"/>
    <w:rsid w:val="003A103A"/>
    <w:rsid w:val="003A142E"/>
    <w:rsid w:val="003A2C42"/>
    <w:rsid w:val="003A410E"/>
    <w:rsid w:val="003A4137"/>
    <w:rsid w:val="003A5CB0"/>
    <w:rsid w:val="003A6B3B"/>
    <w:rsid w:val="003B2AD6"/>
    <w:rsid w:val="003B51D5"/>
    <w:rsid w:val="003B565E"/>
    <w:rsid w:val="003B5C47"/>
    <w:rsid w:val="003C1B4B"/>
    <w:rsid w:val="003C242B"/>
    <w:rsid w:val="003C2B9A"/>
    <w:rsid w:val="003D07DF"/>
    <w:rsid w:val="003D0C6D"/>
    <w:rsid w:val="003D1551"/>
    <w:rsid w:val="003D1A3C"/>
    <w:rsid w:val="003D2C72"/>
    <w:rsid w:val="003D3C1B"/>
    <w:rsid w:val="003D3D3B"/>
    <w:rsid w:val="003D55E0"/>
    <w:rsid w:val="003D605F"/>
    <w:rsid w:val="003D6093"/>
    <w:rsid w:val="003D6959"/>
    <w:rsid w:val="003E200E"/>
    <w:rsid w:val="003E2A6D"/>
    <w:rsid w:val="003E3EF1"/>
    <w:rsid w:val="003E4185"/>
    <w:rsid w:val="003E45A3"/>
    <w:rsid w:val="003E4BEE"/>
    <w:rsid w:val="003E4D2B"/>
    <w:rsid w:val="003E5C85"/>
    <w:rsid w:val="003F1078"/>
    <w:rsid w:val="003F343E"/>
    <w:rsid w:val="003F42D3"/>
    <w:rsid w:val="003F50EF"/>
    <w:rsid w:val="00400C64"/>
    <w:rsid w:val="00401556"/>
    <w:rsid w:val="004017B5"/>
    <w:rsid w:val="00403245"/>
    <w:rsid w:val="004047B2"/>
    <w:rsid w:val="00405582"/>
    <w:rsid w:val="00413D2B"/>
    <w:rsid w:val="0041550B"/>
    <w:rsid w:val="0041579A"/>
    <w:rsid w:val="00415FF4"/>
    <w:rsid w:val="0041778F"/>
    <w:rsid w:val="00424CC3"/>
    <w:rsid w:val="0042684E"/>
    <w:rsid w:val="004277C7"/>
    <w:rsid w:val="00431FD0"/>
    <w:rsid w:val="004320DB"/>
    <w:rsid w:val="00434780"/>
    <w:rsid w:val="00435FBA"/>
    <w:rsid w:val="00444CFD"/>
    <w:rsid w:val="0045185F"/>
    <w:rsid w:val="00451F3B"/>
    <w:rsid w:val="00452288"/>
    <w:rsid w:val="004525D6"/>
    <w:rsid w:val="00453FF2"/>
    <w:rsid w:val="00460297"/>
    <w:rsid w:val="00464E2F"/>
    <w:rsid w:val="004669B8"/>
    <w:rsid w:val="0046718F"/>
    <w:rsid w:val="00467EB8"/>
    <w:rsid w:val="0047033C"/>
    <w:rsid w:val="00470EAF"/>
    <w:rsid w:val="004721EA"/>
    <w:rsid w:val="00473011"/>
    <w:rsid w:val="0047312D"/>
    <w:rsid w:val="00475CAE"/>
    <w:rsid w:val="0048017F"/>
    <w:rsid w:val="00482795"/>
    <w:rsid w:val="00482CBF"/>
    <w:rsid w:val="0048327E"/>
    <w:rsid w:val="00483AB8"/>
    <w:rsid w:val="00484D3D"/>
    <w:rsid w:val="00485603"/>
    <w:rsid w:val="004867AC"/>
    <w:rsid w:val="0048680A"/>
    <w:rsid w:val="00491BBA"/>
    <w:rsid w:val="004931BA"/>
    <w:rsid w:val="00493F3A"/>
    <w:rsid w:val="00497080"/>
    <w:rsid w:val="004A5A4A"/>
    <w:rsid w:val="004A62A6"/>
    <w:rsid w:val="004A70B5"/>
    <w:rsid w:val="004B12C7"/>
    <w:rsid w:val="004B1341"/>
    <w:rsid w:val="004B14EA"/>
    <w:rsid w:val="004B71E1"/>
    <w:rsid w:val="004C1A89"/>
    <w:rsid w:val="004C6E8E"/>
    <w:rsid w:val="004C730B"/>
    <w:rsid w:val="004C7D3E"/>
    <w:rsid w:val="004C7D6F"/>
    <w:rsid w:val="004D0ECF"/>
    <w:rsid w:val="004D17C6"/>
    <w:rsid w:val="004D290A"/>
    <w:rsid w:val="004D2EAD"/>
    <w:rsid w:val="004D345F"/>
    <w:rsid w:val="004D682A"/>
    <w:rsid w:val="004D6CE9"/>
    <w:rsid w:val="004D74A8"/>
    <w:rsid w:val="004E0C85"/>
    <w:rsid w:val="004E1CB7"/>
    <w:rsid w:val="004E33F4"/>
    <w:rsid w:val="004E3467"/>
    <w:rsid w:val="004E3918"/>
    <w:rsid w:val="004E39CD"/>
    <w:rsid w:val="004E5AE9"/>
    <w:rsid w:val="004E609B"/>
    <w:rsid w:val="004F17AC"/>
    <w:rsid w:val="004F21B6"/>
    <w:rsid w:val="004F3218"/>
    <w:rsid w:val="004F44F6"/>
    <w:rsid w:val="004F669F"/>
    <w:rsid w:val="004F6F62"/>
    <w:rsid w:val="00501044"/>
    <w:rsid w:val="005028C1"/>
    <w:rsid w:val="00504561"/>
    <w:rsid w:val="00504FE6"/>
    <w:rsid w:val="00506EDE"/>
    <w:rsid w:val="00510DAE"/>
    <w:rsid w:val="0051579D"/>
    <w:rsid w:val="00520195"/>
    <w:rsid w:val="0052062B"/>
    <w:rsid w:val="005206AB"/>
    <w:rsid w:val="00521D94"/>
    <w:rsid w:val="00521F18"/>
    <w:rsid w:val="0052247E"/>
    <w:rsid w:val="005232E3"/>
    <w:rsid w:val="005241F0"/>
    <w:rsid w:val="00524311"/>
    <w:rsid w:val="00525173"/>
    <w:rsid w:val="00526388"/>
    <w:rsid w:val="005275C4"/>
    <w:rsid w:val="005302AD"/>
    <w:rsid w:val="0053272D"/>
    <w:rsid w:val="00532AFB"/>
    <w:rsid w:val="00532CD7"/>
    <w:rsid w:val="00534113"/>
    <w:rsid w:val="00534523"/>
    <w:rsid w:val="00534C16"/>
    <w:rsid w:val="00535D51"/>
    <w:rsid w:val="005379ED"/>
    <w:rsid w:val="00545E66"/>
    <w:rsid w:val="0055008E"/>
    <w:rsid w:val="00550ADC"/>
    <w:rsid w:val="00550D9B"/>
    <w:rsid w:val="005525CA"/>
    <w:rsid w:val="00552E59"/>
    <w:rsid w:val="00552F76"/>
    <w:rsid w:val="0055568E"/>
    <w:rsid w:val="00556D9C"/>
    <w:rsid w:val="00557099"/>
    <w:rsid w:val="00557DAC"/>
    <w:rsid w:val="00561CA6"/>
    <w:rsid w:val="00562BC7"/>
    <w:rsid w:val="0056334B"/>
    <w:rsid w:val="00563DCC"/>
    <w:rsid w:val="00564D7E"/>
    <w:rsid w:val="005664DA"/>
    <w:rsid w:val="00571CD2"/>
    <w:rsid w:val="00574037"/>
    <w:rsid w:val="00574306"/>
    <w:rsid w:val="00574F1F"/>
    <w:rsid w:val="00576A92"/>
    <w:rsid w:val="00580650"/>
    <w:rsid w:val="0058091D"/>
    <w:rsid w:val="00584634"/>
    <w:rsid w:val="00584873"/>
    <w:rsid w:val="0058574D"/>
    <w:rsid w:val="00593BD5"/>
    <w:rsid w:val="005948EF"/>
    <w:rsid w:val="005962CC"/>
    <w:rsid w:val="005A02C4"/>
    <w:rsid w:val="005A0A89"/>
    <w:rsid w:val="005A1286"/>
    <w:rsid w:val="005A1DA4"/>
    <w:rsid w:val="005A1ED0"/>
    <w:rsid w:val="005A24F3"/>
    <w:rsid w:val="005A5A3E"/>
    <w:rsid w:val="005A6A70"/>
    <w:rsid w:val="005A7D30"/>
    <w:rsid w:val="005A7E96"/>
    <w:rsid w:val="005B1DF1"/>
    <w:rsid w:val="005B7895"/>
    <w:rsid w:val="005B7ABF"/>
    <w:rsid w:val="005C042B"/>
    <w:rsid w:val="005C14F8"/>
    <w:rsid w:val="005C16F4"/>
    <w:rsid w:val="005C1C48"/>
    <w:rsid w:val="005C4896"/>
    <w:rsid w:val="005C742B"/>
    <w:rsid w:val="005D10B8"/>
    <w:rsid w:val="005D1B6E"/>
    <w:rsid w:val="005D23C3"/>
    <w:rsid w:val="005D462C"/>
    <w:rsid w:val="005D5010"/>
    <w:rsid w:val="005D6AB2"/>
    <w:rsid w:val="005D7A3F"/>
    <w:rsid w:val="005E0960"/>
    <w:rsid w:val="005E0ABD"/>
    <w:rsid w:val="005E450E"/>
    <w:rsid w:val="005E4558"/>
    <w:rsid w:val="005F4324"/>
    <w:rsid w:val="005F49E4"/>
    <w:rsid w:val="005F4F17"/>
    <w:rsid w:val="005F5A66"/>
    <w:rsid w:val="005F6C6E"/>
    <w:rsid w:val="005F7AFA"/>
    <w:rsid w:val="006010D9"/>
    <w:rsid w:val="00603538"/>
    <w:rsid w:val="006035A9"/>
    <w:rsid w:val="006071ED"/>
    <w:rsid w:val="00607392"/>
    <w:rsid w:val="0061282B"/>
    <w:rsid w:val="00615BE1"/>
    <w:rsid w:val="00616DFD"/>
    <w:rsid w:val="006177D0"/>
    <w:rsid w:val="00617821"/>
    <w:rsid w:val="006215A8"/>
    <w:rsid w:val="00623737"/>
    <w:rsid w:val="006237A3"/>
    <w:rsid w:val="00624AF3"/>
    <w:rsid w:val="006254A7"/>
    <w:rsid w:val="00632B6A"/>
    <w:rsid w:val="006346A6"/>
    <w:rsid w:val="0063521C"/>
    <w:rsid w:val="00636D08"/>
    <w:rsid w:val="006379E1"/>
    <w:rsid w:val="006403C8"/>
    <w:rsid w:val="006415D0"/>
    <w:rsid w:val="006427B4"/>
    <w:rsid w:val="00642D96"/>
    <w:rsid w:val="00642FC8"/>
    <w:rsid w:val="00643488"/>
    <w:rsid w:val="0064348A"/>
    <w:rsid w:val="0064425A"/>
    <w:rsid w:val="00645F99"/>
    <w:rsid w:val="0064737B"/>
    <w:rsid w:val="00647AEE"/>
    <w:rsid w:val="00651653"/>
    <w:rsid w:val="00652372"/>
    <w:rsid w:val="006550C1"/>
    <w:rsid w:val="00656F5A"/>
    <w:rsid w:val="00660D06"/>
    <w:rsid w:val="00661D83"/>
    <w:rsid w:val="00662DED"/>
    <w:rsid w:val="00665F81"/>
    <w:rsid w:val="00666408"/>
    <w:rsid w:val="00667E99"/>
    <w:rsid w:val="00670009"/>
    <w:rsid w:val="00670847"/>
    <w:rsid w:val="006710C1"/>
    <w:rsid w:val="00673E42"/>
    <w:rsid w:val="00676230"/>
    <w:rsid w:val="0068283F"/>
    <w:rsid w:val="00687361"/>
    <w:rsid w:val="00690ADA"/>
    <w:rsid w:val="00690BDD"/>
    <w:rsid w:val="006929E3"/>
    <w:rsid w:val="00695570"/>
    <w:rsid w:val="00697D8B"/>
    <w:rsid w:val="006A3505"/>
    <w:rsid w:val="006A37D9"/>
    <w:rsid w:val="006A4A5E"/>
    <w:rsid w:val="006A583B"/>
    <w:rsid w:val="006A73B5"/>
    <w:rsid w:val="006A7803"/>
    <w:rsid w:val="006B1A99"/>
    <w:rsid w:val="006B3A28"/>
    <w:rsid w:val="006B409D"/>
    <w:rsid w:val="006B439E"/>
    <w:rsid w:val="006B6840"/>
    <w:rsid w:val="006B74E9"/>
    <w:rsid w:val="006B7CD6"/>
    <w:rsid w:val="006C0F50"/>
    <w:rsid w:val="006C47D4"/>
    <w:rsid w:val="006C78BD"/>
    <w:rsid w:val="006C7BD1"/>
    <w:rsid w:val="006D04FB"/>
    <w:rsid w:val="006D07E9"/>
    <w:rsid w:val="006D1C95"/>
    <w:rsid w:val="006D375F"/>
    <w:rsid w:val="006D4D40"/>
    <w:rsid w:val="006D6CC3"/>
    <w:rsid w:val="006E0282"/>
    <w:rsid w:val="006E224E"/>
    <w:rsid w:val="006E2B98"/>
    <w:rsid w:val="006E4FB2"/>
    <w:rsid w:val="006E503C"/>
    <w:rsid w:val="006E5E0A"/>
    <w:rsid w:val="006E628C"/>
    <w:rsid w:val="006E6D0B"/>
    <w:rsid w:val="006F6522"/>
    <w:rsid w:val="006F6722"/>
    <w:rsid w:val="006F78EB"/>
    <w:rsid w:val="00703983"/>
    <w:rsid w:val="00705FBA"/>
    <w:rsid w:val="00707151"/>
    <w:rsid w:val="0071130B"/>
    <w:rsid w:val="00711C96"/>
    <w:rsid w:val="007124FA"/>
    <w:rsid w:val="00712D66"/>
    <w:rsid w:val="00713E8C"/>
    <w:rsid w:val="00714E16"/>
    <w:rsid w:val="00717656"/>
    <w:rsid w:val="007209DF"/>
    <w:rsid w:val="00720BC0"/>
    <w:rsid w:val="00720F7C"/>
    <w:rsid w:val="00721643"/>
    <w:rsid w:val="00722970"/>
    <w:rsid w:val="00723EB5"/>
    <w:rsid w:val="00723EE6"/>
    <w:rsid w:val="007242FE"/>
    <w:rsid w:val="007244CD"/>
    <w:rsid w:val="007249A6"/>
    <w:rsid w:val="0072642F"/>
    <w:rsid w:val="00730EC5"/>
    <w:rsid w:val="00732C7A"/>
    <w:rsid w:val="00733AFF"/>
    <w:rsid w:val="00736396"/>
    <w:rsid w:val="0073656A"/>
    <w:rsid w:val="00737F74"/>
    <w:rsid w:val="00740672"/>
    <w:rsid w:val="0075157E"/>
    <w:rsid w:val="00755AD5"/>
    <w:rsid w:val="00756996"/>
    <w:rsid w:val="00756D24"/>
    <w:rsid w:val="00765C89"/>
    <w:rsid w:val="00766C3D"/>
    <w:rsid w:val="00767A33"/>
    <w:rsid w:val="007741AF"/>
    <w:rsid w:val="007771AD"/>
    <w:rsid w:val="0077743D"/>
    <w:rsid w:val="00777B5A"/>
    <w:rsid w:val="00777C84"/>
    <w:rsid w:val="007840AA"/>
    <w:rsid w:val="00787CC8"/>
    <w:rsid w:val="00787D80"/>
    <w:rsid w:val="0079054B"/>
    <w:rsid w:val="00793B03"/>
    <w:rsid w:val="00795A5A"/>
    <w:rsid w:val="00796034"/>
    <w:rsid w:val="00796688"/>
    <w:rsid w:val="007A35AF"/>
    <w:rsid w:val="007B1970"/>
    <w:rsid w:val="007B4161"/>
    <w:rsid w:val="007B42F6"/>
    <w:rsid w:val="007B4310"/>
    <w:rsid w:val="007B5F64"/>
    <w:rsid w:val="007B6660"/>
    <w:rsid w:val="007C5820"/>
    <w:rsid w:val="007C68C9"/>
    <w:rsid w:val="007C76BD"/>
    <w:rsid w:val="007D10EE"/>
    <w:rsid w:val="007D479C"/>
    <w:rsid w:val="007D5C9D"/>
    <w:rsid w:val="007D6A34"/>
    <w:rsid w:val="007D75CB"/>
    <w:rsid w:val="007E3149"/>
    <w:rsid w:val="007E5972"/>
    <w:rsid w:val="007E68D0"/>
    <w:rsid w:val="007E7672"/>
    <w:rsid w:val="007F45B9"/>
    <w:rsid w:val="007F6403"/>
    <w:rsid w:val="00801740"/>
    <w:rsid w:val="0080210F"/>
    <w:rsid w:val="00805BE6"/>
    <w:rsid w:val="008103AD"/>
    <w:rsid w:val="008135B4"/>
    <w:rsid w:val="00813997"/>
    <w:rsid w:val="00815183"/>
    <w:rsid w:val="00816D36"/>
    <w:rsid w:val="0081737D"/>
    <w:rsid w:val="0082034F"/>
    <w:rsid w:val="008210C8"/>
    <w:rsid w:val="0082209E"/>
    <w:rsid w:val="00822FA5"/>
    <w:rsid w:val="0082770C"/>
    <w:rsid w:val="00830E22"/>
    <w:rsid w:val="00834E6B"/>
    <w:rsid w:val="00835CE3"/>
    <w:rsid w:val="00843972"/>
    <w:rsid w:val="008457DC"/>
    <w:rsid w:val="00845810"/>
    <w:rsid w:val="00845A5E"/>
    <w:rsid w:val="00845B47"/>
    <w:rsid w:val="00847985"/>
    <w:rsid w:val="00850CEE"/>
    <w:rsid w:val="008532FF"/>
    <w:rsid w:val="008540C5"/>
    <w:rsid w:val="008548F1"/>
    <w:rsid w:val="00854A1E"/>
    <w:rsid w:val="00854C16"/>
    <w:rsid w:val="008567CB"/>
    <w:rsid w:val="00861149"/>
    <w:rsid w:val="0086128F"/>
    <w:rsid w:val="008620F0"/>
    <w:rsid w:val="00862626"/>
    <w:rsid w:val="00863DE4"/>
    <w:rsid w:val="00871AE4"/>
    <w:rsid w:val="00871DCE"/>
    <w:rsid w:val="0087499F"/>
    <w:rsid w:val="008757CE"/>
    <w:rsid w:val="00876E72"/>
    <w:rsid w:val="0087790A"/>
    <w:rsid w:val="008804A8"/>
    <w:rsid w:val="00881A3D"/>
    <w:rsid w:val="00881C7E"/>
    <w:rsid w:val="00881DBA"/>
    <w:rsid w:val="00893829"/>
    <w:rsid w:val="00896461"/>
    <w:rsid w:val="008966F8"/>
    <w:rsid w:val="00896B34"/>
    <w:rsid w:val="00897EC0"/>
    <w:rsid w:val="008A1E11"/>
    <w:rsid w:val="008A25B5"/>
    <w:rsid w:val="008A2AC3"/>
    <w:rsid w:val="008A2F33"/>
    <w:rsid w:val="008A67F3"/>
    <w:rsid w:val="008A7ECC"/>
    <w:rsid w:val="008B1A8E"/>
    <w:rsid w:val="008B2183"/>
    <w:rsid w:val="008B22A0"/>
    <w:rsid w:val="008B36BE"/>
    <w:rsid w:val="008B4377"/>
    <w:rsid w:val="008B5108"/>
    <w:rsid w:val="008B548D"/>
    <w:rsid w:val="008B6991"/>
    <w:rsid w:val="008B793E"/>
    <w:rsid w:val="008C0126"/>
    <w:rsid w:val="008C07C6"/>
    <w:rsid w:val="008C1BEE"/>
    <w:rsid w:val="008C2DDB"/>
    <w:rsid w:val="008C36B5"/>
    <w:rsid w:val="008C659B"/>
    <w:rsid w:val="008D0F23"/>
    <w:rsid w:val="008D472C"/>
    <w:rsid w:val="008D659E"/>
    <w:rsid w:val="008E0593"/>
    <w:rsid w:val="008E133C"/>
    <w:rsid w:val="008E4E36"/>
    <w:rsid w:val="008F0210"/>
    <w:rsid w:val="008F3F20"/>
    <w:rsid w:val="008F3FEB"/>
    <w:rsid w:val="008F55B1"/>
    <w:rsid w:val="008F5EB6"/>
    <w:rsid w:val="008F602B"/>
    <w:rsid w:val="008F60C8"/>
    <w:rsid w:val="008F7A9D"/>
    <w:rsid w:val="008F7EF3"/>
    <w:rsid w:val="00905493"/>
    <w:rsid w:val="00907569"/>
    <w:rsid w:val="00907B4B"/>
    <w:rsid w:val="00907BC9"/>
    <w:rsid w:val="0091058F"/>
    <w:rsid w:val="0091229C"/>
    <w:rsid w:val="00912349"/>
    <w:rsid w:val="00916F16"/>
    <w:rsid w:val="00917269"/>
    <w:rsid w:val="0092087D"/>
    <w:rsid w:val="009247F8"/>
    <w:rsid w:val="00924B83"/>
    <w:rsid w:val="009253F7"/>
    <w:rsid w:val="00926D80"/>
    <w:rsid w:val="00927375"/>
    <w:rsid w:val="009345A9"/>
    <w:rsid w:val="00934FDB"/>
    <w:rsid w:val="00937007"/>
    <w:rsid w:val="00937E71"/>
    <w:rsid w:val="00941577"/>
    <w:rsid w:val="00942BC4"/>
    <w:rsid w:val="00943ECB"/>
    <w:rsid w:val="009468B6"/>
    <w:rsid w:val="0095070F"/>
    <w:rsid w:val="009523A3"/>
    <w:rsid w:val="00954489"/>
    <w:rsid w:val="00956CE2"/>
    <w:rsid w:val="00960A3C"/>
    <w:rsid w:val="00963140"/>
    <w:rsid w:val="00964AF5"/>
    <w:rsid w:val="00964E49"/>
    <w:rsid w:val="00972D99"/>
    <w:rsid w:val="00976A3A"/>
    <w:rsid w:val="00977D9C"/>
    <w:rsid w:val="00980439"/>
    <w:rsid w:val="0098160C"/>
    <w:rsid w:val="009818D4"/>
    <w:rsid w:val="00985482"/>
    <w:rsid w:val="00986F59"/>
    <w:rsid w:val="009875BF"/>
    <w:rsid w:val="0099210F"/>
    <w:rsid w:val="00992861"/>
    <w:rsid w:val="009962C8"/>
    <w:rsid w:val="00997398"/>
    <w:rsid w:val="009A1515"/>
    <w:rsid w:val="009A5195"/>
    <w:rsid w:val="009A65C7"/>
    <w:rsid w:val="009A72CF"/>
    <w:rsid w:val="009A7511"/>
    <w:rsid w:val="009B000B"/>
    <w:rsid w:val="009B12E9"/>
    <w:rsid w:val="009B4B28"/>
    <w:rsid w:val="009B6193"/>
    <w:rsid w:val="009C4843"/>
    <w:rsid w:val="009C6A78"/>
    <w:rsid w:val="009C72E9"/>
    <w:rsid w:val="009D383D"/>
    <w:rsid w:val="009D5B89"/>
    <w:rsid w:val="009D6C0E"/>
    <w:rsid w:val="009E05E7"/>
    <w:rsid w:val="009E0D70"/>
    <w:rsid w:val="009E50A6"/>
    <w:rsid w:val="009F0F05"/>
    <w:rsid w:val="009F1136"/>
    <w:rsid w:val="009F5181"/>
    <w:rsid w:val="009F6412"/>
    <w:rsid w:val="009F7F4B"/>
    <w:rsid w:val="00A032DA"/>
    <w:rsid w:val="00A06582"/>
    <w:rsid w:val="00A0702A"/>
    <w:rsid w:val="00A115CD"/>
    <w:rsid w:val="00A12385"/>
    <w:rsid w:val="00A12DFF"/>
    <w:rsid w:val="00A131F7"/>
    <w:rsid w:val="00A16343"/>
    <w:rsid w:val="00A20B30"/>
    <w:rsid w:val="00A22B64"/>
    <w:rsid w:val="00A22E71"/>
    <w:rsid w:val="00A24DD5"/>
    <w:rsid w:val="00A25F3A"/>
    <w:rsid w:val="00A2761C"/>
    <w:rsid w:val="00A306F8"/>
    <w:rsid w:val="00A30A34"/>
    <w:rsid w:val="00A31158"/>
    <w:rsid w:val="00A407F3"/>
    <w:rsid w:val="00A41065"/>
    <w:rsid w:val="00A426F2"/>
    <w:rsid w:val="00A472DE"/>
    <w:rsid w:val="00A52144"/>
    <w:rsid w:val="00A5282A"/>
    <w:rsid w:val="00A53D58"/>
    <w:rsid w:val="00A540B2"/>
    <w:rsid w:val="00A57B14"/>
    <w:rsid w:val="00A65A4D"/>
    <w:rsid w:val="00A70B19"/>
    <w:rsid w:val="00A71EE3"/>
    <w:rsid w:val="00A72BED"/>
    <w:rsid w:val="00A73820"/>
    <w:rsid w:val="00A77FE4"/>
    <w:rsid w:val="00A805E3"/>
    <w:rsid w:val="00A8238E"/>
    <w:rsid w:val="00A832D0"/>
    <w:rsid w:val="00A835A9"/>
    <w:rsid w:val="00A836B9"/>
    <w:rsid w:val="00A83CAE"/>
    <w:rsid w:val="00A84AB9"/>
    <w:rsid w:val="00A86012"/>
    <w:rsid w:val="00A861EE"/>
    <w:rsid w:val="00A87795"/>
    <w:rsid w:val="00A909D8"/>
    <w:rsid w:val="00A94AB7"/>
    <w:rsid w:val="00AA01E2"/>
    <w:rsid w:val="00AA0218"/>
    <w:rsid w:val="00AA2ACD"/>
    <w:rsid w:val="00AA3F46"/>
    <w:rsid w:val="00AA4B49"/>
    <w:rsid w:val="00AA6FEE"/>
    <w:rsid w:val="00AB11CA"/>
    <w:rsid w:val="00AB4F31"/>
    <w:rsid w:val="00AB5FD1"/>
    <w:rsid w:val="00AB7E1A"/>
    <w:rsid w:val="00AC1192"/>
    <w:rsid w:val="00AC131D"/>
    <w:rsid w:val="00AC1BD0"/>
    <w:rsid w:val="00AC1DC6"/>
    <w:rsid w:val="00AC38B2"/>
    <w:rsid w:val="00AC3915"/>
    <w:rsid w:val="00AC3C04"/>
    <w:rsid w:val="00AC47E9"/>
    <w:rsid w:val="00AC4E86"/>
    <w:rsid w:val="00AC5DB1"/>
    <w:rsid w:val="00AC6E0C"/>
    <w:rsid w:val="00AD34EE"/>
    <w:rsid w:val="00AD41D1"/>
    <w:rsid w:val="00AD4555"/>
    <w:rsid w:val="00AD78EA"/>
    <w:rsid w:val="00AD798E"/>
    <w:rsid w:val="00AE3FD6"/>
    <w:rsid w:val="00AE4E31"/>
    <w:rsid w:val="00AE7A02"/>
    <w:rsid w:val="00AF04CB"/>
    <w:rsid w:val="00AF06D0"/>
    <w:rsid w:val="00AF1323"/>
    <w:rsid w:val="00AF182B"/>
    <w:rsid w:val="00AF2133"/>
    <w:rsid w:val="00AF2DFF"/>
    <w:rsid w:val="00AF42C7"/>
    <w:rsid w:val="00AF5664"/>
    <w:rsid w:val="00AF5CEB"/>
    <w:rsid w:val="00AF7C6A"/>
    <w:rsid w:val="00B0003E"/>
    <w:rsid w:val="00B02BF9"/>
    <w:rsid w:val="00B044AC"/>
    <w:rsid w:val="00B06A1E"/>
    <w:rsid w:val="00B079D9"/>
    <w:rsid w:val="00B10764"/>
    <w:rsid w:val="00B1098C"/>
    <w:rsid w:val="00B12678"/>
    <w:rsid w:val="00B13568"/>
    <w:rsid w:val="00B13AEA"/>
    <w:rsid w:val="00B1574C"/>
    <w:rsid w:val="00B16AF5"/>
    <w:rsid w:val="00B170AC"/>
    <w:rsid w:val="00B2103A"/>
    <w:rsid w:val="00B220CB"/>
    <w:rsid w:val="00B23143"/>
    <w:rsid w:val="00B242A2"/>
    <w:rsid w:val="00B25831"/>
    <w:rsid w:val="00B33376"/>
    <w:rsid w:val="00B342FC"/>
    <w:rsid w:val="00B34BCD"/>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116B"/>
    <w:rsid w:val="00B526B0"/>
    <w:rsid w:val="00B543CF"/>
    <w:rsid w:val="00B55404"/>
    <w:rsid w:val="00B557B5"/>
    <w:rsid w:val="00B558A8"/>
    <w:rsid w:val="00B5738F"/>
    <w:rsid w:val="00B60E0C"/>
    <w:rsid w:val="00B619ED"/>
    <w:rsid w:val="00B61DDD"/>
    <w:rsid w:val="00B62EFF"/>
    <w:rsid w:val="00B63545"/>
    <w:rsid w:val="00B64AF3"/>
    <w:rsid w:val="00B6534B"/>
    <w:rsid w:val="00B65E73"/>
    <w:rsid w:val="00B67C7E"/>
    <w:rsid w:val="00B71577"/>
    <w:rsid w:val="00B746F2"/>
    <w:rsid w:val="00B7519D"/>
    <w:rsid w:val="00B80C0A"/>
    <w:rsid w:val="00B8177F"/>
    <w:rsid w:val="00B82146"/>
    <w:rsid w:val="00B83142"/>
    <w:rsid w:val="00B851A1"/>
    <w:rsid w:val="00B85278"/>
    <w:rsid w:val="00B875C8"/>
    <w:rsid w:val="00B91921"/>
    <w:rsid w:val="00B946CB"/>
    <w:rsid w:val="00B94A4E"/>
    <w:rsid w:val="00B94D10"/>
    <w:rsid w:val="00B95A46"/>
    <w:rsid w:val="00BA5BE3"/>
    <w:rsid w:val="00BA772E"/>
    <w:rsid w:val="00BB27CA"/>
    <w:rsid w:val="00BB2C30"/>
    <w:rsid w:val="00BB3BBC"/>
    <w:rsid w:val="00BB3D14"/>
    <w:rsid w:val="00BB473A"/>
    <w:rsid w:val="00BB4FB3"/>
    <w:rsid w:val="00BB58FA"/>
    <w:rsid w:val="00BB6375"/>
    <w:rsid w:val="00BB6AED"/>
    <w:rsid w:val="00BB6AFD"/>
    <w:rsid w:val="00BC09EB"/>
    <w:rsid w:val="00BC1A7E"/>
    <w:rsid w:val="00BC4CA8"/>
    <w:rsid w:val="00BC51C3"/>
    <w:rsid w:val="00BC6787"/>
    <w:rsid w:val="00BD02CA"/>
    <w:rsid w:val="00BD16FE"/>
    <w:rsid w:val="00BD59DC"/>
    <w:rsid w:val="00BD6395"/>
    <w:rsid w:val="00BD7858"/>
    <w:rsid w:val="00BE2CDA"/>
    <w:rsid w:val="00BE349B"/>
    <w:rsid w:val="00BE4452"/>
    <w:rsid w:val="00BE4E88"/>
    <w:rsid w:val="00BE70A3"/>
    <w:rsid w:val="00C00BF4"/>
    <w:rsid w:val="00C01430"/>
    <w:rsid w:val="00C03CFF"/>
    <w:rsid w:val="00C05571"/>
    <w:rsid w:val="00C06322"/>
    <w:rsid w:val="00C10EE6"/>
    <w:rsid w:val="00C11DFD"/>
    <w:rsid w:val="00C20976"/>
    <w:rsid w:val="00C21497"/>
    <w:rsid w:val="00C223CA"/>
    <w:rsid w:val="00C23A29"/>
    <w:rsid w:val="00C24C14"/>
    <w:rsid w:val="00C3129B"/>
    <w:rsid w:val="00C317E6"/>
    <w:rsid w:val="00C33785"/>
    <w:rsid w:val="00C35588"/>
    <w:rsid w:val="00C36298"/>
    <w:rsid w:val="00C377DC"/>
    <w:rsid w:val="00C4318F"/>
    <w:rsid w:val="00C43892"/>
    <w:rsid w:val="00C470CF"/>
    <w:rsid w:val="00C50CBF"/>
    <w:rsid w:val="00C51080"/>
    <w:rsid w:val="00C54F79"/>
    <w:rsid w:val="00C5649B"/>
    <w:rsid w:val="00C56BCF"/>
    <w:rsid w:val="00C57D9A"/>
    <w:rsid w:val="00C61221"/>
    <w:rsid w:val="00C62ECE"/>
    <w:rsid w:val="00C63EA0"/>
    <w:rsid w:val="00C640EF"/>
    <w:rsid w:val="00C653F5"/>
    <w:rsid w:val="00C720F6"/>
    <w:rsid w:val="00C735E5"/>
    <w:rsid w:val="00C7413C"/>
    <w:rsid w:val="00C7477E"/>
    <w:rsid w:val="00C7481E"/>
    <w:rsid w:val="00C74837"/>
    <w:rsid w:val="00C75947"/>
    <w:rsid w:val="00C80727"/>
    <w:rsid w:val="00C82A6D"/>
    <w:rsid w:val="00C8428C"/>
    <w:rsid w:val="00C84EC6"/>
    <w:rsid w:val="00C852A7"/>
    <w:rsid w:val="00C867FC"/>
    <w:rsid w:val="00C90459"/>
    <w:rsid w:val="00C91506"/>
    <w:rsid w:val="00C95417"/>
    <w:rsid w:val="00CA1DEE"/>
    <w:rsid w:val="00CA47C6"/>
    <w:rsid w:val="00CA600E"/>
    <w:rsid w:val="00CB0799"/>
    <w:rsid w:val="00CB3E88"/>
    <w:rsid w:val="00CB427F"/>
    <w:rsid w:val="00CB6E45"/>
    <w:rsid w:val="00CC29FA"/>
    <w:rsid w:val="00CC32DC"/>
    <w:rsid w:val="00CC4250"/>
    <w:rsid w:val="00CC43C2"/>
    <w:rsid w:val="00CC4550"/>
    <w:rsid w:val="00CD2420"/>
    <w:rsid w:val="00CD3889"/>
    <w:rsid w:val="00CD3B29"/>
    <w:rsid w:val="00CD4390"/>
    <w:rsid w:val="00CD4E5C"/>
    <w:rsid w:val="00CD63E6"/>
    <w:rsid w:val="00CD7D14"/>
    <w:rsid w:val="00CE118C"/>
    <w:rsid w:val="00CE2F6E"/>
    <w:rsid w:val="00CE4118"/>
    <w:rsid w:val="00CF15A4"/>
    <w:rsid w:val="00CF3484"/>
    <w:rsid w:val="00CF34F4"/>
    <w:rsid w:val="00CF7145"/>
    <w:rsid w:val="00CF7E6C"/>
    <w:rsid w:val="00D05A59"/>
    <w:rsid w:val="00D1071A"/>
    <w:rsid w:val="00D16F47"/>
    <w:rsid w:val="00D23132"/>
    <w:rsid w:val="00D23770"/>
    <w:rsid w:val="00D25741"/>
    <w:rsid w:val="00D27EF4"/>
    <w:rsid w:val="00D30E38"/>
    <w:rsid w:val="00D31121"/>
    <w:rsid w:val="00D31EF3"/>
    <w:rsid w:val="00D32E7D"/>
    <w:rsid w:val="00D33E2C"/>
    <w:rsid w:val="00D34DCA"/>
    <w:rsid w:val="00D3628A"/>
    <w:rsid w:val="00D36AF5"/>
    <w:rsid w:val="00D37349"/>
    <w:rsid w:val="00D40213"/>
    <w:rsid w:val="00D41287"/>
    <w:rsid w:val="00D41B8A"/>
    <w:rsid w:val="00D4210E"/>
    <w:rsid w:val="00D43EA3"/>
    <w:rsid w:val="00D504FE"/>
    <w:rsid w:val="00D50501"/>
    <w:rsid w:val="00D510E4"/>
    <w:rsid w:val="00D518FB"/>
    <w:rsid w:val="00D529B9"/>
    <w:rsid w:val="00D52E86"/>
    <w:rsid w:val="00D539C7"/>
    <w:rsid w:val="00D53F87"/>
    <w:rsid w:val="00D5492C"/>
    <w:rsid w:val="00D602C6"/>
    <w:rsid w:val="00D67709"/>
    <w:rsid w:val="00D70ABD"/>
    <w:rsid w:val="00D72B62"/>
    <w:rsid w:val="00D72D39"/>
    <w:rsid w:val="00D7392E"/>
    <w:rsid w:val="00D73AA1"/>
    <w:rsid w:val="00D742DF"/>
    <w:rsid w:val="00D77325"/>
    <w:rsid w:val="00D77430"/>
    <w:rsid w:val="00D77E63"/>
    <w:rsid w:val="00D81755"/>
    <w:rsid w:val="00D82A95"/>
    <w:rsid w:val="00D832FF"/>
    <w:rsid w:val="00D83CD2"/>
    <w:rsid w:val="00D84809"/>
    <w:rsid w:val="00D90476"/>
    <w:rsid w:val="00D91F4B"/>
    <w:rsid w:val="00D924D1"/>
    <w:rsid w:val="00D94137"/>
    <w:rsid w:val="00D943B2"/>
    <w:rsid w:val="00D95313"/>
    <w:rsid w:val="00D978F3"/>
    <w:rsid w:val="00D97B6C"/>
    <w:rsid w:val="00DA2184"/>
    <w:rsid w:val="00DA2481"/>
    <w:rsid w:val="00DA4AA5"/>
    <w:rsid w:val="00DA54D4"/>
    <w:rsid w:val="00DA62CB"/>
    <w:rsid w:val="00DA7296"/>
    <w:rsid w:val="00DA7D19"/>
    <w:rsid w:val="00DB1BB5"/>
    <w:rsid w:val="00DB3A90"/>
    <w:rsid w:val="00DB3E85"/>
    <w:rsid w:val="00DB620A"/>
    <w:rsid w:val="00DC627D"/>
    <w:rsid w:val="00DD4465"/>
    <w:rsid w:val="00DD609C"/>
    <w:rsid w:val="00DE018E"/>
    <w:rsid w:val="00DE025E"/>
    <w:rsid w:val="00DE1210"/>
    <w:rsid w:val="00DF07B9"/>
    <w:rsid w:val="00DF1938"/>
    <w:rsid w:val="00E00440"/>
    <w:rsid w:val="00E03D0D"/>
    <w:rsid w:val="00E05D42"/>
    <w:rsid w:val="00E158B0"/>
    <w:rsid w:val="00E15EAD"/>
    <w:rsid w:val="00E221A8"/>
    <w:rsid w:val="00E22751"/>
    <w:rsid w:val="00E22CB6"/>
    <w:rsid w:val="00E23447"/>
    <w:rsid w:val="00E24726"/>
    <w:rsid w:val="00E255D2"/>
    <w:rsid w:val="00E279C8"/>
    <w:rsid w:val="00E27F28"/>
    <w:rsid w:val="00E33401"/>
    <w:rsid w:val="00E33FE4"/>
    <w:rsid w:val="00E35A72"/>
    <w:rsid w:val="00E37C6A"/>
    <w:rsid w:val="00E43362"/>
    <w:rsid w:val="00E4489A"/>
    <w:rsid w:val="00E46234"/>
    <w:rsid w:val="00E46E69"/>
    <w:rsid w:val="00E510CC"/>
    <w:rsid w:val="00E55206"/>
    <w:rsid w:val="00E5797E"/>
    <w:rsid w:val="00E609B3"/>
    <w:rsid w:val="00E61C68"/>
    <w:rsid w:val="00E625A0"/>
    <w:rsid w:val="00E63287"/>
    <w:rsid w:val="00E65E9D"/>
    <w:rsid w:val="00E67B39"/>
    <w:rsid w:val="00E71080"/>
    <w:rsid w:val="00E73729"/>
    <w:rsid w:val="00E75272"/>
    <w:rsid w:val="00E75599"/>
    <w:rsid w:val="00E84B69"/>
    <w:rsid w:val="00E869E9"/>
    <w:rsid w:val="00E86A34"/>
    <w:rsid w:val="00E93570"/>
    <w:rsid w:val="00E93623"/>
    <w:rsid w:val="00E9539D"/>
    <w:rsid w:val="00E95B30"/>
    <w:rsid w:val="00E96CE0"/>
    <w:rsid w:val="00EA0EFB"/>
    <w:rsid w:val="00EA298E"/>
    <w:rsid w:val="00EA4020"/>
    <w:rsid w:val="00EA47D9"/>
    <w:rsid w:val="00EA6E57"/>
    <w:rsid w:val="00EA701B"/>
    <w:rsid w:val="00EB17CF"/>
    <w:rsid w:val="00EB4B80"/>
    <w:rsid w:val="00EB6CDE"/>
    <w:rsid w:val="00EC05C0"/>
    <w:rsid w:val="00EC296E"/>
    <w:rsid w:val="00ED2E91"/>
    <w:rsid w:val="00ED6D59"/>
    <w:rsid w:val="00ED722E"/>
    <w:rsid w:val="00EE00C6"/>
    <w:rsid w:val="00EE351C"/>
    <w:rsid w:val="00EE4F32"/>
    <w:rsid w:val="00EF027A"/>
    <w:rsid w:val="00EF12AF"/>
    <w:rsid w:val="00EF5115"/>
    <w:rsid w:val="00EF771E"/>
    <w:rsid w:val="00F0149D"/>
    <w:rsid w:val="00F02045"/>
    <w:rsid w:val="00F03806"/>
    <w:rsid w:val="00F0659D"/>
    <w:rsid w:val="00F07C1A"/>
    <w:rsid w:val="00F1213F"/>
    <w:rsid w:val="00F122E2"/>
    <w:rsid w:val="00F13346"/>
    <w:rsid w:val="00F14F53"/>
    <w:rsid w:val="00F17D52"/>
    <w:rsid w:val="00F20225"/>
    <w:rsid w:val="00F2127E"/>
    <w:rsid w:val="00F253B3"/>
    <w:rsid w:val="00F26645"/>
    <w:rsid w:val="00F26AD9"/>
    <w:rsid w:val="00F31F3A"/>
    <w:rsid w:val="00F332CA"/>
    <w:rsid w:val="00F33B57"/>
    <w:rsid w:val="00F34976"/>
    <w:rsid w:val="00F35183"/>
    <w:rsid w:val="00F35DFD"/>
    <w:rsid w:val="00F3604E"/>
    <w:rsid w:val="00F379E8"/>
    <w:rsid w:val="00F4711A"/>
    <w:rsid w:val="00F502D8"/>
    <w:rsid w:val="00F526DE"/>
    <w:rsid w:val="00F532FA"/>
    <w:rsid w:val="00F53B0F"/>
    <w:rsid w:val="00F53F96"/>
    <w:rsid w:val="00F54000"/>
    <w:rsid w:val="00F554C7"/>
    <w:rsid w:val="00F56AB8"/>
    <w:rsid w:val="00F6259B"/>
    <w:rsid w:val="00F62CF1"/>
    <w:rsid w:val="00F63F69"/>
    <w:rsid w:val="00F64728"/>
    <w:rsid w:val="00F64AFA"/>
    <w:rsid w:val="00F64D78"/>
    <w:rsid w:val="00F67677"/>
    <w:rsid w:val="00F72932"/>
    <w:rsid w:val="00F73DFC"/>
    <w:rsid w:val="00F74EF6"/>
    <w:rsid w:val="00F773D1"/>
    <w:rsid w:val="00F80BF4"/>
    <w:rsid w:val="00F822DF"/>
    <w:rsid w:val="00F82426"/>
    <w:rsid w:val="00F82632"/>
    <w:rsid w:val="00F82EE4"/>
    <w:rsid w:val="00F84947"/>
    <w:rsid w:val="00F85974"/>
    <w:rsid w:val="00F86C97"/>
    <w:rsid w:val="00F91B5E"/>
    <w:rsid w:val="00F925E6"/>
    <w:rsid w:val="00F92A7A"/>
    <w:rsid w:val="00F92B25"/>
    <w:rsid w:val="00F94568"/>
    <w:rsid w:val="00F94D1A"/>
    <w:rsid w:val="00F95C6C"/>
    <w:rsid w:val="00F9708F"/>
    <w:rsid w:val="00F97358"/>
    <w:rsid w:val="00FA01C5"/>
    <w:rsid w:val="00FA380B"/>
    <w:rsid w:val="00FA39DC"/>
    <w:rsid w:val="00FA519A"/>
    <w:rsid w:val="00FA6C64"/>
    <w:rsid w:val="00FA73EC"/>
    <w:rsid w:val="00FB0680"/>
    <w:rsid w:val="00FB1EA2"/>
    <w:rsid w:val="00FB4215"/>
    <w:rsid w:val="00FB6593"/>
    <w:rsid w:val="00FB65A3"/>
    <w:rsid w:val="00FC104A"/>
    <w:rsid w:val="00FC4613"/>
    <w:rsid w:val="00FC60ED"/>
    <w:rsid w:val="00FC6E22"/>
    <w:rsid w:val="00FC7353"/>
    <w:rsid w:val="00FD1312"/>
    <w:rsid w:val="00FE15B7"/>
    <w:rsid w:val="00FE2519"/>
    <w:rsid w:val="00FE54C8"/>
    <w:rsid w:val="00FE727C"/>
    <w:rsid w:val="00FF03DD"/>
    <w:rsid w:val="00FF1129"/>
    <w:rsid w:val="00FF20BF"/>
    <w:rsid w:val="00FF64AF"/>
    <w:rsid w:val="00FF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21ADE6-8C1E-40D5-9C14-C768D54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70"/>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F67677"/>
    <w:pPr>
      <w:suppressAutoHyphens/>
      <w:spacing w:after="120" w:line="240" w:lineRule="atLeast"/>
      <w:ind w:left="1134" w:right="1134"/>
      <w:jc w:val="both"/>
    </w:pPr>
    <w:rPr>
      <w:sz w:val="20"/>
    </w:rPr>
  </w:style>
  <w:style w:type="table" w:customStyle="1" w:styleId="Tabellenraster1">
    <w:name w:val="Tabellenraster1"/>
    <w:basedOn w:val="TableNormal"/>
    <w:next w:val="TableGrid"/>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3451-4558-4CB9-84E5-3FF41731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2814</Words>
  <Characters>16043</Characters>
  <Application>Microsoft Office Word</Application>
  <DocSecurity>4</DocSecurity>
  <Lines>133</Lines>
  <Paragraphs>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ECE-ADN-45 eng</cp:lastModifiedBy>
  <cp:revision>2</cp:revision>
  <cp:lastPrinted>2018-05-15T06:55:00Z</cp:lastPrinted>
  <dcterms:created xsi:type="dcterms:W3CDTF">2018-06-19T10:53:00Z</dcterms:created>
  <dcterms:modified xsi:type="dcterms:W3CDTF">2018-06-19T10:53:00Z</dcterms:modified>
  <cp:category>20-4(b)</cp:category>
</cp:coreProperties>
</file>