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F13F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579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5794C" w:rsidRDefault="0035794C" w:rsidP="0035794C">
            <w:pPr>
              <w:jc w:val="right"/>
              <w:rPr>
                <w:lang w:val="en-US"/>
              </w:rPr>
            </w:pPr>
            <w:r w:rsidRPr="0035794C">
              <w:rPr>
                <w:sz w:val="40"/>
                <w:lang w:val="en-US"/>
              </w:rPr>
              <w:t>ECE</w:t>
            </w:r>
            <w:r w:rsidRPr="0035794C">
              <w:rPr>
                <w:lang w:val="en-US"/>
              </w:rPr>
              <w:t>/TRANS/WP.15/AC.2/2018/47/Corr.1</w:t>
            </w:r>
          </w:p>
        </w:tc>
      </w:tr>
      <w:tr w:rsidR="002D5AAC" w:rsidRPr="005F13F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579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5794C" w:rsidRDefault="0035794C" w:rsidP="003579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July 2018</w:t>
            </w:r>
          </w:p>
          <w:p w:rsidR="0035794C" w:rsidRDefault="0035794C" w:rsidP="003579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5794C" w:rsidRPr="008D53B6" w:rsidRDefault="0035794C" w:rsidP="003579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5794C" w:rsidRPr="0080019A" w:rsidRDefault="0035794C" w:rsidP="0035794C">
      <w:pPr>
        <w:spacing w:before="120"/>
        <w:rPr>
          <w:b/>
          <w:sz w:val="28"/>
          <w:szCs w:val="28"/>
        </w:rPr>
      </w:pPr>
      <w:r w:rsidRPr="0080019A">
        <w:rPr>
          <w:b/>
          <w:sz w:val="28"/>
          <w:szCs w:val="28"/>
        </w:rPr>
        <w:t>Европейская экономическая комиссия</w:t>
      </w:r>
    </w:p>
    <w:p w:rsidR="0035794C" w:rsidRPr="0080019A" w:rsidRDefault="0035794C" w:rsidP="0035794C">
      <w:pPr>
        <w:spacing w:before="120"/>
        <w:rPr>
          <w:sz w:val="28"/>
          <w:szCs w:val="28"/>
        </w:rPr>
      </w:pPr>
      <w:r w:rsidRPr="0080019A">
        <w:rPr>
          <w:sz w:val="28"/>
          <w:szCs w:val="28"/>
        </w:rPr>
        <w:t>Комитет по внутреннему транспорту</w:t>
      </w:r>
    </w:p>
    <w:p w:rsidR="0035794C" w:rsidRPr="0080019A" w:rsidRDefault="0035794C" w:rsidP="0035794C">
      <w:pPr>
        <w:spacing w:before="120"/>
        <w:rPr>
          <w:b/>
          <w:sz w:val="24"/>
          <w:szCs w:val="24"/>
        </w:rPr>
      </w:pPr>
      <w:r w:rsidRPr="0080019A">
        <w:rPr>
          <w:b/>
          <w:sz w:val="24"/>
          <w:szCs w:val="24"/>
        </w:rPr>
        <w:t>Рабочая группа по перевозкам опасных грузов</w:t>
      </w:r>
    </w:p>
    <w:p w:rsidR="0035794C" w:rsidRPr="007F0C67" w:rsidRDefault="0035794C" w:rsidP="0035794C">
      <w:pPr>
        <w:spacing w:before="120" w:after="120"/>
        <w:rPr>
          <w:b/>
        </w:rPr>
      </w:pPr>
      <w:r w:rsidRPr="007F0C67">
        <w:rPr>
          <w:b/>
        </w:rPr>
        <w:t xml:space="preserve">Совместное совещание экспертов по Правилам, </w:t>
      </w:r>
      <w:r w:rsidR="0080019A">
        <w:rPr>
          <w:b/>
        </w:rPr>
        <w:br/>
      </w:r>
      <w:r w:rsidRPr="007F0C67">
        <w:rPr>
          <w:b/>
        </w:rPr>
        <w:t xml:space="preserve">прилагаемым к Европейскому соглашению </w:t>
      </w:r>
      <w:r w:rsidR="0080019A">
        <w:rPr>
          <w:b/>
        </w:rPr>
        <w:br/>
      </w:r>
      <w:r w:rsidRPr="007F0C67">
        <w:rPr>
          <w:b/>
        </w:rPr>
        <w:t xml:space="preserve">о международной перевозке опасных грузов </w:t>
      </w:r>
      <w:r w:rsidR="0080019A">
        <w:rPr>
          <w:b/>
        </w:rPr>
        <w:br/>
      </w:r>
      <w:r w:rsidRPr="007F0C67">
        <w:rPr>
          <w:b/>
        </w:rPr>
        <w:t xml:space="preserve">по внутренним водным путям (ВОПОГ) </w:t>
      </w:r>
      <w:r w:rsidR="0080019A">
        <w:rPr>
          <w:b/>
        </w:rPr>
        <w:br/>
      </w:r>
      <w:r w:rsidRPr="007F0C67">
        <w:rPr>
          <w:b/>
        </w:rPr>
        <w:t>(Комитет по вопросам безопасности ВОПОГ)</w:t>
      </w:r>
    </w:p>
    <w:p w:rsidR="0035794C" w:rsidRPr="007F0C67" w:rsidRDefault="0035794C" w:rsidP="0035794C">
      <w:pPr>
        <w:spacing w:before="120"/>
        <w:rPr>
          <w:b/>
        </w:rPr>
      </w:pPr>
      <w:r w:rsidRPr="007F0C67">
        <w:rPr>
          <w:b/>
        </w:rPr>
        <w:t>Тридцать третья сессия</w:t>
      </w:r>
    </w:p>
    <w:p w:rsidR="0035794C" w:rsidRDefault="0035794C" w:rsidP="0035794C">
      <w:r>
        <w:t>Женева, 27–31 августа 2018 года</w:t>
      </w:r>
    </w:p>
    <w:p w:rsidR="0035794C" w:rsidRPr="007F0C67" w:rsidRDefault="0035794C" w:rsidP="0035794C">
      <w:r>
        <w:t>Пункт 4 b) предварительной повестки дня</w:t>
      </w:r>
    </w:p>
    <w:p w:rsidR="0035794C" w:rsidRPr="007F0C67" w:rsidRDefault="0035794C" w:rsidP="0035794C">
      <w:pPr>
        <w:rPr>
          <w:b/>
        </w:rPr>
      </w:pPr>
      <w:r w:rsidRPr="007F0C67">
        <w:rPr>
          <w:b/>
        </w:rPr>
        <w:t xml:space="preserve">Предложения о внесении поправок в Правила, </w:t>
      </w:r>
      <w:r w:rsidR="0080019A">
        <w:rPr>
          <w:b/>
        </w:rPr>
        <w:br/>
      </w:r>
      <w:r w:rsidRPr="007F0C67">
        <w:rPr>
          <w:b/>
        </w:rPr>
        <w:t>прилагаемые к ВОПОГ:</w:t>
      </w:r>
      <w:r w:rsidR="0080019A">
        <w:rPr>
          <w:b/>
        </w:rPr>
        <w:t xml:space="preserve"> </w:t>
      </w:r>
      <w:r w:rsidRPr="007F0C67">
        <w:rPr>
          <w:b/>
        </w:rPr>
        <w:t>другие предложения</w:t>
      </w:r>
    </w:p>
    <w:p w:rsidR="0035794C" w:rsidRPr="007F0C67" w:rsidRDefault="0035794C" w:rsidP="0035794C">
      <w:pPr>
        <w:pStyle w:val="HChG"/>
        <w:rPr>
          <w:bCs/>
          <w:i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о вн</w:t>
      </w:r>
      <w:r w:rsidR="0080019A">
        <w:rPr>
          <w:lang w:val="ru-RU"/>
        </w:rPr>
        <w:t>есении редакционных изменений с </w:t>
      </w:r>
      <w:r>
        <w:rPr>
          <w:lang w:val="ru-RU"/>
        </w:rPr>
        <w:t>целью улучшения читаемости и удобства использования ВОПОГ</w:t>
      </w:r>
      <w:r w:rsidR="0080019A">
        <w:rPr>
          <w:lang w:val="ru-RU"/>
        </w:rPr>
        <w:t>: уточнение пунктов 1.1.3.6.1 и </w:t>
      </w:r>
      <w:r>
        <w:rPr>
          <w:lang w:val="ru-RU"/>
        </w:rPr>
        <w:t>1.1.3.6.2 ВОПОГ</w:t>
      </w:r>
    </w:p>
    <w:p w:rsidR="0035794C" w:rsidRPr="00867B24" w:rsidRDefault="0035794C" w:rsidP="0035794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Исправление</w:t>
      </w:r>
    </w:p>
    <w:p w:rsidR="0035794C" w:rsidRPr="009C0D6C" w:rsidRDefault="0035794C" w:rsidP="0035794C">
      <w:pPr>
        <w:pStyle w:val="H1G"/>
        <w:rPr>
          <w:rStyle w:val="FootnoteReference"/>
          <w:b w:val="0"/>
          <w:sz w:val="20"/>
          <w:vertAlign w:val="baseline"/>
          <w:lang w:val="ru-RU" w:eastAsia="ru-RU"/>
        </w:rPr>
      </w:pPr>
      <w:r>
        <w:rPr>
          <w:lang w:val="ru-RU"/>
        </w:rPr>
        <w:tab/>
      </w:r>
      <w:r>
        <w:rPr>
          <w:lang w:val="ru-RU"/>
        </w:rPr>
        <w:tab/>
        <w:t>Передано Европейским союз</w:t>
      </w:r>
      <w:r w:rsidR="009C0D6C">
        <w:rPr>
          <w:lang w:val="ru-RU"/>
        </w:rPr>
        <w:t>ом речного судоходства (ЕСРС) и </w:t>
      </w:r>
      <w:r>
        <w:rPr>
          <w:lang w:val="ru-RU"/>
        </w:rPr>
        <w:t>Европейской организацией судоводителей (ЕОС)</w:t>
      </w:r>
      <w:r w:rsidRPr="009C0D6C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>*</w:t>
      </w:r>
      <w:r w:rsidR="0082559A" w:rsidRPr="009C0D6C">
        <w:rPr>
          <w:rStyle w:val="FootnoteReference"/>
          <w:b w:val="0"/>
          <w:sz w:val="20"/>
          <w:vertAlign w:val="baseline"/>
          <w:lang w:val="ru-RU" w:eastAsia="ru-RU"/>
        </w:rPr>
        <w:t xml:space="preserve"> </w:t>
      </w:r>
      <w:r w:rsidRPr="009C0D6C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2"/>
        <w:t>**</w:t>
      </w:r>
    </w:p>
    <w:p w:rsidR="0035794C" w:rsidRPr="007F0C67" w:rsidRDefault="0035794C" w:rsidP="0035794C">
      <w:pPr>
        <w:pStyle w:val="SingleTxtG"/>
        <w:rPr>
          <w:b/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ab/>
      </w:r>
      <w:r>
        <w:rPr>
          <w:b/>
          <w:bCs/>
          <w:lang w:val="ru-RU"/>
        </w:rPr>
        <w:t>Пункт 5, 1.1.3.6.1a</w:t>
      </w:r>
    </w:p>
    <w:p w:rsidR="0035794C" w:rsidRPr="007F0C67" w:rsidRDefault="0035794C" w:rsidP="0035794C">
      <w:pPr>
        <w:pStyle w:val="SingleTxtG"/>
        <w:rPr>
          <w:bCs/>
          <w:lang w:val="ru-RU"/>
        </w:rPr>
      </w:pPr>
      <w:r>
        <w:rPr>
          <w:i/>
          <w:iCs/>
          <w:lang w:val="ru-RU"/>
        </w:rPr>
        <w:t xml:space="preserve">Вместо </w:t>
      </w:r>
      <w:r>
        <w:rPr>
          <w:lang w:val="ru-RU"/>
        </w:rPr>
        <w:t xml:space="preserve">опасных грузов в упаковках </w:t>
      </w:r>
      <w:r>
        <w:rPr>
          <w:i/>
          <w:iCs/>
          <w:lang w:val="ru-RU"/>
        </w:rPr>
        <w:t xml:space="preserve">читать </w:t>
      </w:r>
      <w:r>
        <w:rPr>
          <w:lang w:val="ru-RU"/>
        </w:rPr>
        <w:t>опасных грузов в таре</w:t>
      </w:r>
      <w:r w:rsidR="00096CE8">
        <w:rPr>
          <w:lang w:val="ru-RU"/>
        </w:rPr>
        <w:t>.</w:t>
      </w:r>
    </w:p>
    <w:p w:rsidR="0035794C" w:rsidRPr="00AC0467" w:rsidRDefault="0035794C" w:rsidP="0035794C">
      <w:pPr>
        <w:pStyle w:val="SingleTxtG"/>
        <w:rPr>
          <w:bCs/>
        </w:rPr>
      </w:pPr>
      <w:r>
        <w:rPr>
          <w:b/>
          <w:bCs/>
          <w:lang w:val="ru-RU"/>
        </w:rPr>
        <w:t>2.</w:t>
      </w:r>
      <w:r>
        <w:rPr>
          <w:lang w:val="ru-RU"/>
        </w:rPr>
        <w:tab/>
      </w:r>
      <w:r>
        <w:rPr>
          <w:b/>
          <w:bCs/>
          <w:lang w:val="ru-RU"/>
        </w:rPr>
        <w:t>Пункт 5, таблица</w:t>
      </w:r>
    </w:p>
    <w:p w:rsidR="0035794C" w:rsidRDefault="0035794C" w:rsidP="0035794C">
      <w:pPr>
        <w:pStyle w:val="SingleTxtG"/>
      </w:pPr>
      <w:r>
        <w:rPr>
          <w:i/>
          <w:iCs/>
          <w:lang w:val="ru-RU"/>
        </w:rPr>
        <w:t xml:space="preserve">Исключить </w:t>
      </w:r>
      <w:r>
        <w:rPr>
          <w:lang w:val="ru-RU"/>
        </w:rPr>
        <w:t>первую строку</w:t>
      </w:r>
    </w:p>
    <w:tbl>
      <w:tblPr>
        <w:tblW w:w="7370" w:type="dxa"/>
        <w:tblInd w:w="11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52"/>
        <w:gridCol w:w="805"/>
        <w:gridCol w:w="805"/>
        <w:gridCol w:w="688"/>
      </w:tblGrid>
      <w:tr w:rsidR="0035794C" w:rsidRPr="003C0906" w:rsidTr="005F13F7">
        <w:trPr>
          <w:trHeight w:hRule="exact" w:val="611"/>
        </w:trPr>
        <w:tc>
          <w:tcPr>
            <w:tcW w:w="720" w:type="dxa"/>
            <w:shd w:val="clear" w:color="auto" w:fill="auto"/>
          </w:tcPr>
          <w:p w:rsidR="0035794C" w:rsidRPr="003C0906" w:rsidRDefault="0035794C" w:rsidP="00B422E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i/>
                <w:szCs w:val="18"/>
              </w:rPr>
            </w:pPr>
            <w:r>
              <w:rPr>
                <w:b/>
                <w:bCs/>
                <w:i/>
                <w:iCs/>
              </w:rPr>
              <w:t>все</w:t>
            </w:r>
          </w:p>
        </w:tc>
        <w:tc>
          <w:tcPr>
            <w:tcW w:w="4352" w:type="dxa"/>
            <w:shd w:val="clear" w:color="auto" w:fill="auto"/>
          </w:tcPr>
          <w:p w:rsidR="0035794C" w:rsidRPr="007F0C67" w:rsidRDefault="0035794C" w:rsidP="00B422E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i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Перевозка в цистернах веществ и изделий </w:t>
            </w:r>
            <w:r w:rsidR="00096CE8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любого класса</w:t>
            </w:r>
          </w:p>
        </w:tc>
        <w:tc>
          <w:tcPr>
            <w:tcW w:w="805" w:type="dxa"/>
            <w:shd w:val="clear" w:color="auto" w:fill="auto"/>
          </w:tcPr>
          <w:p w:rsidR="0035794C" w:rsidRPr="007F0C67" w:rsidRDefault="0035794C" w:rsidP="00B422E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35794C" w:rsidRPr="007F0C67" w:rsidRDefault="0035794C" w:rsidP="00B422E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35794C" w:rsidRPr="003C0906" w:rsidRDefault="0035794C" w:rsidP="00B422E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5794C" w:rsidRPr="0035794C" w:rsidRDefault="0035794C" w:rsidP="0035794C">
      <w:pPr>
        <w:pStyle w:val="SingleTxtG"/>
        <w:pageBreakBefore/>
        <w:spacing w:before="120"/>
        <w:rPr>
          <w:b/>
          <w:lang w:val="ru-RU"/>
        </w:rPr>
      </w:pPr>
      <w:r>
        <w:rPr>
          <w:b/>
          <w:bCs/>
          <w:lang w:val="ru-RU"/>
        </w:rPr>
        <w:lastRenderedPageBreak/>
        <w:t>3.</w:t>
      </w:r>
      <w:r>
        <w:rPr>
          <w:lang w:val="ru-RU"/>
        </w:rPr>
        <w:tab/>
      </w:r>
      <w:r>
        <w:rPr>
          <w:b/>
          <w:bCs/>
          <w:lang w:val="ru-RU"/>
        </w:rPr>
        <w:t>Пункт 5, таблица, класс 7</w:t>
      </w:r>
    </w:p>
    <w:p w:rsidR="0035794C" w:rsidRPr="0035794C" w:rsidRDefault="0035794C" w:rsidP="0035794C">
      <w:pPr>
        <w:pStyle w:val="SingleTxtG"/>
        <w:spacing w:before="120"/>
        <w:rPr>
          <w:bCs/>
          <w:i/>
          <w:iCs/>
          <w:lang w:val="ru-RU"/>
        </w:rPr>
      </w:pPr>
      <w:r>
        <w:rPr>
          <w:i/>
          <w:iCs/>
          <w:lang w:val="ru-RU"/>
        </w:rPr>
        <w:t xml:space="preserve">Заменить </w:t>
      </w:r>
      <w:r>
        <w:rPr>
          <w:lang w:val="ru-RU"/>
        </w:rPr>
        <w:t xml:space="preserve">существующий текст </w:t>
      </w:r>
      <w:r>
        <w:rPr>
          <w:i/>
          <w:iCs/>
          <w:lang w:val="ru-RU"/>
        </w:rPr>
        <w:t>следующим текстом</w:t>
      </w:r>
    </w:p>
    <w:tbl>
      <w:tblPr>
        <w:tblW w:w="7370" w:type="dxa"/>
        <w:tblInd w:w="11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52"/>
        <w:gridCol w:w="805"/>
        <w:gridCol w:w="805"/>
        <w:gridCol w:w="688"/>
      </w:tblGrid>
      <w:tr w:rsidR="0035794C" w:rsidRPr="003C0906" w:rsidTr="005F13F7">
        <w:trPr>
          <w:trHeight w:val="57"/>
        </w:trPr>
        <w:tc>
          <w:tcPr>
            <w:tcW w:w="888" w:type="dxa"/>
            <w:vMerge w:val="restart"/>
            <w:shd w:val="clear" w:color="auto" w:fill="auto"/>
          </w:tcPr>
          <w:p w:rsidR="0035794C" w:rsidRPr="003C0906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5794C" w:rsidRPr="007F0C67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материалы класса 7, отнесенные к № ООН 2908, 2909, 2910 и 2911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5794C" w:rsidRPr="00F81875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5794C" w:rsidRPr="00F81875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35794C" w:rsidRPr="00F81875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</w:tr>
      <w:tr w:rsidR="0035794C" w:rsidRPr="003C0906" w:rsidTr="005F13F7">
        <w:trPr>
          <w:trHeight w:val="57"/>
        </w:trPr>
        <w:tc>
          <w:tcPr>
            <w:tcW w:w="888" w:type="dxa"/>
            <w:vMerge/>
            <w:shd w:val="clear" w:color="auto" w:fill="auto"/>
          </w:tcPr>
          <w:p w:rsidR="0035794C" w:rsidRPr="003C0906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94C" w:rsidRPr="00F81875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материалы класса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94C" w:rsidRPr="003C0906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94C" w:rsidRPr="003C0906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94C" w:rsidRPr="003C0906" w:rsidRDefault="0035794C" w:rsidP="00B422ED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</w:tbl>
    <w:p w:rsidR="0035794C" w:rsidRDefault="0035794C" w:rsidP="0035794C">
      <w:pPr>
        <w:pStyle w:val="SingleTxtG"/>
        <w:spacing w:before="120"/>
        <w:rPr>
          <w:b/>
        </w:rPr>
      </w:pPr>
      <w:r>
        <w:rPr>
          <w:b/>
          <w:bCs/>
          <w:lang w:val="ru-RU"/>
        </w:rPr>
        <w:t>4.</w:t>
      </w:r>
      <w:r>
        <w:rPr>
          <w:lang w:val="ru-RU"/>
        </w:rPr>
        <w:tab/>
      </w:r>
      <w:r>
        <w:rPr>
          <w:b/>
          <w:bCs/>
          <w:lang w:val="ru-RU"/>
        </w:rPr>
        <w:t>Пункт 5, таблица, класс 9, вторая колонка</w:t>
      </w:r>
    </w:p>
    <w:p w:rsidR="0035794C" w:rsidRDefault="0035794C" w:rsidP="0035794C">
      <w:pPr>
        <w:pStyle w:val="SingleTxtG"/>
        <w:rPr>
          <w:lang w:val="ru-RU"/>
        </w:rPr>
      </w:pPr>
      <w:r>
        <w:rPr>
          <w:i/>
          <w:iCs/>
          <w:lang w:val="ru-RU"/>
        </w:rPr>
        <w:t xml:space="preserve">Вместо </w:t>
      </w:r>
      <w:r>
        <w:rPr>
          <w:lang w:val="ru-RU"/>
        </w:rPr>
        <w:t xml:space="preserve">все вещества класса 9 </w:t>
      </w:r>
      <w:r>
        <w:rPr>
          <w:i/>
          <w:iCs/>
          <w:lang w:val="ru-RU"/>
        </w:rPr>
        <w:t xml:space="preserve">читать </w:t>
      </w:r>
      <w:r>
        <w:rPr>
          <w:lang w:val="ru-RU"/>
        </w:rPr>
        <w:t>вещества и изделия класса 9.</w:t>
      </w:r>
    </w:p>
    <w:p w:rsidR="0035794C" w:rsidRPr="0035794C" w:rsidRDefault="0035794C" w:rsidP="0035794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794C" w:rsidRPr="0035794C" w:rsidSect="0035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8D" w:rsidRPr="00A312BC" w:rsidRDefault="00FB518D" w:rsidP="00A312BC"/>
  </w:endnote>
  <w:endnote w:type="continuationSeparator" w:id="0">
    <w:p w:rsidR="00FB518D" w:rsidRPr="00A312BC" w:rsidRDefault="00FB51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4C" w:rsidRPr="0035794C" w:rsidRDefault="0035794C">
    <w:pPr>
      <w:pStyle w:val="Footer"/>
    </w:pPr>
    <w:r w:rsidRPr="0035794C">
      <w:rPr>
        <w:b/>
        <w:sz w:val="18"/>
      </w:rPr>
      <w:fldChar w:fldCharType="begin"/>
    </w:r>
    <w:r w:rsidRPr="0035794C">
      <w:rPr>
        <w:b/>
        <w:sz w:val="18"/>
      </w:rPr>
      <w:instrText xml:space="preserve"> PAGE  \* MERGEFORMAT </w:instrText>
    </w:r>
    <w:r w:rsidRPr="0035794C">
      <w:rPr>
        <w:b/>
        <w:sz w:val="18"/>
      </w:rPr>
      <w:fldChar w:fldCharType="separate"/>
    </w:r>
    <w:r w:rsidR="002A7C3B">
      <w:rPr>
        <w:b/>
        <w:noProof/>
        <w:sz w:val="18"/>
      </w:rPr>
      <w:t>2</w:t>
    </w:r>
    <w:r w:rsidRPr="0035794C">
      <w:rPr>
        <w:b/>
        <w:sz w:val="18"/>
      </w:rPr>
      <w:fldChar w:fldCharType="end"/>
    </w:r>
    <w:r>
      <w:rPr>
        <w:b/>
        <w:sz w:val="18"/>
      </w:rPr>
      <w:tab/>
    </w:r>
    <w:r>
      <w:t>GE.18-12148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4C" w:rsidRPr="0035794C" w:rsidRDefault="0035794C" w:rsidP="0035794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GE.18-12148</w:t>
    </w:r>
    <w:r>
      <w:tab/>
    </w:r>
    <w:r w:rsidRPr="0035794C">
      <w:rPr>
        <w:b/>
        <w:sz w:val="18"/>
      </w:rPr>
      <w:fldChar w:fldCharType="begin"/>
    </w:r>
    <w:r w:rsidRPr="0035794C">
      <w:rPr>
        <w:b/>
        <w:sz w:val="18"/>
      </w:rPr>
      <w:instrText xml:space="preserve"> PAGE  \* MERGEFORMAT </w:instrText>
    </w:r>
    <w:r w:rsidRPr="0035794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579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5794C" w:rsidRDefault="0035794C" w:rsidP="0035794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18-12148  (R)</w:t>
    </w:r>
    <w:r>
      <w:rPr>
        <w:lang w:val="en-US"/>
      </w:rPr>
      <w:t xml:space="preserve">  250718  250718</w:t>
    </w:r>
    <w:r>
      <w:br/>
    </w:r>
    <w:r w:rsidRPr="0035794C">
      <w:rPr>
        <w:rFonts w:ascii="C39T30Lfz" w:hAnsi="C39T30Lfz"/>
        <w:kern w:val="14"/>
        <w:sz w:val="56"/>
      </w:rPr>
      <w:t></w:t>
    </w:r>
    <w:r w:rsidRPr="0035794C">
      <w:rPr>
        <w:rFonts w:ascii="C39T30Lfz" w:hAnsi="C39T30Lfz"/>
        <w:kern w:val="14"/>
        <w:sz w:val="56"/>
      </w:rPr>
      <w:t></w:t>
    </w:r>
    <w:r w:rsidRPr="0035794C">
      <w:rPr>
        <w:rFonts w:ascii="C39T30Lfz" w:hAnsi="C39T30Lfz"/>
        <w:kern w:val="14"/>
        <w:sz w:val="56"/>
      </w:rPr>
      <w:t></w:t>
    </w:r>
    <w:r w:rsidRPr="0035794C">
      <w:rPr>
        <w:rFonts w:ascii="C39T30Lfz" w:hAnsi="C39T30Lfz"/>
        <w:kern w:val="14"/>
        <w:sz w:val="56"/>
      </w:rPr>
      <w:t></w:t>
    </w:r>
    <w:r w:rsidRPr="0035794C">
      <w:rPr>
        <w:rFonts w:ascii="C39T30Lfz" w:hAnsi="C39T30Lfz"/>
        <w:kern w:val="14"/>
        <w:sz w:val="56"/>
      </w:rPr>
      <w:t></w:t>
    </w:r>
    <w:r w:rsidRPr="0035794C">
      <w:rPr>
        <w:rFonts w:ascii="C39T30Lfz" w:hAnsi="C39T30Lfz"/>
        <w:kern w:val="14"/>
        <w:sz w:val="56"/>
      </w:rPr>
      <w:t></w:t>
    </w:r>
    <w:r w:rsidRPr="0035794C">
      <w:rPr>
        <w:rFonts w:ascii="C39T30Lfz" w:hAnsi="C39T30Lfz"/>
        <w:kern w:val="14"/>
        <w:sz w:val="56"/>
      </w:rPr>
      <w:t></w:t>
    </w:r>
    <w:r w:rsidRPr="0035794C">
      <w:rPr>
        <w:rFonts w:ascii="C39T30Lfz" w:hAnsi="C39T30Lfz"/>
        <w:kern w:val="14"/>
        <w:sz w:val="56"/>
      </w:rPr>
      <w:t></w:t>
    </w:r>
    <w:r w:rsidRPr="0035794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47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7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8D" w:rsidRPr="001075E9" w:rsidRDefault="00FB51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518D" w:rsidRDefault="00FB51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5794C" w:rsidRPr="003A7D20" w:rsidRDefault="0035794C" w:rsidP="0035794C">
      <w:pPr>
        <w:pStyle w:val="FootnoteText"/>
      </w:pPr>
      <w:r>
        <w:tab/>
      </w:r>
      <w:r w:rsidRPr="00096CE8">
        <w:rPr>
          <w:rStyle w:val="FootnoteReference"/>
          <w:sz w:val="20"/>
          <w:vertAlign w:val="baseline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CCNR-ZKR/ADN/WP.15/AC.2/2018/47/Corr.1.</w:t>
      </w:r>
    </w:p>
  </w:footnote>
  <w:footnote w:id="2">
    <w:p w:rsidR="0035794C" w:rsidRPr="003A7D20" w:rsidRDefault="0035794C" w:rsidP="0035794C">
      <w:pPr>
        <w:pStyle w:val="FootnoteText"/>
      </w:pPr>
      <w:r>
        <w:tab/>
      </w:r>
      <w:r w:rsidRPr="00096CE8">
        <w:rPr>
          <w:rStyle w:val="FootnoteReference"/>
          <w:sz w:val="20"/>
          <w:vertAlign w:val="baseline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4C" w:rsidRPr="0035794C" w:rsidRDefault="001C44D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A7C3B">
      <w:t>ECE/TRANS/WP.15/AC.2/2018/47/Corr.1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4C" w:rsidRPr="0035794C" w:rsidRDefault="001C44D0" w:rsidP="0035794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A7C3B">
      <w:t>ECE/TRANS/WP.15/AC.2/2018/47/Corr.1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4C" w:rsidRDefault="0035794C" w:rsidP="0035794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8D"/>
    <w:rsid w:val="00033EE1"/>
    <w:rsid w:val="00042B72"/>
    <w:rsid w:val="000558BD"/>
    <w:rsid w:val="000619C1"/>
    <w:rsid w:val="00096CE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44D0"/>
    <w:rsid w:val="001C7A89"/>
    <w:rsid w:val="00255343"/>
    <w:rsid w:val="0027151D"/>
    <w:rsid w:val="00291AEB"/>
    <w:rsid w:val="002A2EFC"/>
    <w:rsid w:val="002A7C3B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94C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5013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13F7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4D7"/>
    <w:rsid w:val="00712895"/>
    <w:rsid w:val="007158EF"/>
    <w:rsid w:val="00734ACB"/>
    <w:rsid w:val="00757357"/>
    <w:rsid w:val="00792497"/>
    <w:rsid w:val="0080019A"/>
    <w:rsid w:val="00804ABA"/>
    <w:rsid w:val="00806737"/>
    <w:rsid w:val="0082559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0D6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3DC2"/>
    <w:rsid w:val="00D168A3"/>
    <w:rsid w:val="00D33D63"/>
    <w:rsid w:val="00D5253A"/>
    <w:rsid w:val="00D8106E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6278"/>
    <w:rsid w:val="00EF1360"/>
    <w:rsid w:val="00EF3220"/>
    <w:rsid w:val="00F2523A"/>
    <w:rsid w:val="00F43903"/>
    <w:rsid w:val="00F94155"/>
    <w:rsid w:val="00F9783F"/>
    <w:rsid w:val="00FB518D"/>
    <w:rsid w:val="00FD2EF7"/>
    <w:rsid w:val="00FE447E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55CA459-0FA9-41A2-A9CA-E67E1DE4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35794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3579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3579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3579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SingleTxtGChar">
    <w:name w:val="_ Single Txt_G Char"/>
    <w:link w:val="SingleTxtG"/>
    <w:qFormat/>
    <w:rsid w:val="0035794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ECE/TRANS/WP.15/AC.2/2018/47/Corr.1</vt:lpstr>
      <vt:lpstr>ECE/TRANS/WP.15/AC.2/2018/47/Corr.1</vt:lpstr>
      <vt:lpstr>A/</vt:lpstr>
    </vt:vector>
  </TitlesOfParts>
  <Company>DCM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ECE/TRANS/WP.15/AC.2/2018/47/Corr.1</dc:title>
  <dc:subject/>
  <dc:creator>Nina STEPANOVA</dc:creator>
  <cp:keywords/>
  <cp:lastModifiedBy>Secretariat</cp:lastModifiedBy>
  <cp:revision>2</cp:revision>
  <cp:lastPrinted>2018-07-25T13:58:00Z</cp:lastPrinted>
  <dcterms:created xsi:type="dcterms:W3CDTF">2018-08-27T12:40:00Z</dcterms:created>
  <dcterms:modified xsi:type="dcterms:W3CDTF">2018-08-27T12:40:00Z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