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B13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B132E" w:rsidP="007B132E">
            <w:pPr>
              <w:jc w:val="right"/>
            </w:pPr>
            <w:r w:rsidRPr="007B132E">
              <w:rPr>
                <w:sz w:val="40"/>
              </w:rPr>
              <w:t>ECE</w:t>
            </w:r>
            <w:r>
              <w:t>/TRANS/WP.15/AC.2/2018/8</w:t>
            </w:r>
          </w:p>
        </w:tc>
      </w:tr>
      <w:tr w:rsidR="002D5AAC" w:rsidRPr="007B132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B132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B132E" w:rsidRDefault="007B132E" w:rsidP="007B13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October 2017</w:t>
            </w:r>
          </w:p>
          <w:p w:rsidR="007B132E" w:rsidRDefault="007B132E" w:rsidP="007B13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B132E" w:rsidRPr="008D53B6" w:rsidRDefault="007B132E" w:rsidP="007B13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B132E" w:rsidRPr="007B132E" w:rsidRDefault="007B132E" w:rsidP="007B132E">
      <w:pPr>
        <w:spacing w:before="120"/>
        <w:rPr>
          <w:sz w:val="28"/>
          <w:szCs w:val="28"/>
        </w:rPr>
      </w:pPr>
      <w:r w:rsidRPr="007B132E">
        <w:rPr>
          <w:sz w:val="28"/>
          <w:szCs w:val="28"/>
        </w:rPr>
        <w:t>Комитет по внутреннему транспорту</w:t>
      </w:r>
    </w:p>
    <w:p w:rsidR="007B132E" w:rsidRPr="007B132E" w:rsidRDefault="007B132E" w:rsidP="007B132E">
      <w:pPr>
        <w:spacing w:before="120"/>
        <w:rPr>
          <w:b/>
          <w:sz w:val="24"/>
          <w:szCs w:val="24"/>
        </w:rPr>
      </w:pPr>
      <w:r w:rsidRPr="007B132E">
        <w:rPr>
          <w:b/>
          <w:bCs/>
          <w:sz w:val="24"/>
          <w:szCs w:val="24"/>
        </w:rPr>
        <w:t>Рабочая группа по перевозкам опасных грузов</w:t>
      </w:r>
    </w:p>
    <w:p w:rsidR="007B132E" w:rsidRPr="007B132E" w:rsidRDefault="007B132E" w:rsidP="007B132E">
      <w:pPr>
        <w:spacing w:before="120"/>
        <w:rPr>
          <w:b/>
        </w:rPr>
      </w:pPr>
      <w:r w:rsidRPr="007B132E">
        <w:rPr>
          <w:b/>
        </w:rPr>
        <w:t>Совместное совещание экспертов по Правилам,</w:t>
      </w:r>
      <w:r w:rsidRPr="007B132E">
        <w:rPr>
          <w:b/>
        </w:rPr>
        <w:br/>
        <w:t>прилагаемым к Европейскому соглашению</w:t>
      </w:r>
      <w:r w:rsidRPr="007B132E">
        <w:rPr>
          <w:b/>
        </w:rPr>
        <w:br/>
        <w:t>о международной перевозке опасных грузов</w:t>
      </w:r>
      <w:r w:rsidRPr="007B132E">
        <w:rPr>
          <w:b/>
        </w:rPr>
        <w:br/>
        <w:t>по внутренним водным путям (ВОПОГ)</w:t>
      </w:r>
      <w:r w:rsidRPr="007B132E">
        <w:rPr>
          <w:b/>
        </w:rPr>
        <w:br/>
        <w:t>(Комитет по вопросам безопасности ВОПОГ)</w:t>
      </w:r>
    </w:p>
    <w:p w:rsidR="007B132E" w:rsidRPr="007B132E" w:rsidRDefault="007B132E" w:rsidP="007B132E">
      <w:pPr>
        <w:spacing w:before="120"/>
        <w:rPr>
          <w:b/>
        </w:rPr>
      </w:pPr>
      <w:r w:rsidRPr="007B132E">
        <w:rPr>
          <w:b/>
          <w:bCs/>
        </w:rPr>
        <w:t>Тридцать вторая сессия</w:t>
      </w:r>
    </w:p>
    <w:p w:rsidR="007B132E" w:rsidRPr="007B132E" w:rsidRDefault="007B132E" w:rsidP="007B132E">
      <w:r w:rsidRPr="007B132E">
        <w:t>Женева, 22–26 января 2018 года</w:t>
      </w:r>
    </w:p>
    <w:p w:rsidR="007B132E" w:rsidRPr="007B132E" w:rsidRDefault="007B132E" w:rsidP="007B132E">
      <w:r w:rsidRPr="007B132E">
        <w:t>Пункт 5 b) предварительной повестки дня</w:t>
      </w:r>
    </w:p>
    <w:p w:rsidR="007B132E" w:rsidRPr="007B132E" w:rsidRDefault="007B132E" w:rsidP="007B132E">
      <w:pPr>
        <w:rPr>
          <w:b/>
        </w:rPr>
      </w:pPr>
      <w:r w:rsidRPr="007B132E">
        <w:rPr>
          <w:b/>
          <w:bCs/>
        </w:rPr>
        <w:t>Предложения</w:t>
      </w:r>
      <w:r>
        <w:rPr>
          <w:b/>
          <w:bCs/>
        </w:rPr>
        <w:t xml:space="preserve"> о внесении поправок в Правила,</w:t>
      </w:r>
      <w:r w:rsidRPr="007B132E">
        <w:rPr>
          <w:b/>
          <w:bCs/>
        </w:rPr>
        <w:br/>
        <w:t>прилагаемые к ВОПОГ:</w:t>
      </w:r>
    </w:p>
    <w:p w:rsidR="007B132E" w:rsidRPr="007B132E" w:rsidRDefault="007B132E" w:rsidP="007B132E">
      <w:pPr>
        <w:rPr>
          <w:b/>
        </w:rPr>
      </w:pPr>
      <w:r w:rsidRPr="007B132E">
        <w:rPr>
          <w:b/>
          <w:bCs/>
        </w:rPr>
        <w:t>другие предложения</w:t>
      </w:r>
    </w:p>
    <w:p w:rsidR="007B132E" w:rsidRPr="007B132E" w:rsidRDefault="007B132E" w:rsidP="007B132E">
      <w:pPr>
        <w:pStyle w:val="HChGR"/>
      </w:pPr>
      <w:r w:rsidRPr="007B132E">
        <w:tab/>
      </w:r>
      <w:r w:rsidRPr="007B132E">
        <w:tab/>
        <w:t>Пункт</w:t>
      </w:r>
      <w:r w:rsidR="00807AC8">
        <w:t xml:space="preserve">ы 8.1.2.1 и 8.1.2.3 </w:t>
      </w:r>
      <w:r w:rsidR="00807AC8" w:rsidRPr="00807AC8">
        <w:t>–</w:t>
      </w:r>
      <w:r w:rsidRPr="007B132E">
        <w:t xml:space="preserve"> Документы, которые должны находиться на борту судна</w:t>
      </w:r>
    </w:p>
    <w:p w:rsidR="007B132E" w:rsidRDefault="007B132E" w:rsidP="007B132E">
      <w:pPr>
        <w:pStyle w:val="H1GR"/>
        <w:rPr>
          <w:b w:val="0"/>
          <w:bCs/>
          <w:sz w:val="20"/>
          <w:lang w:val="en-US"/>
        </w:rPr>
      </w:pPr>
      <w:r w:rsidRPr="007B132E">
        <w:tab/>
      </w:r>
      <w:r w:rsidRPr="007B132E">
        <w:tab/>
        <w:t>Передано правительством Германии</w:t>
      </w:r>
      <w:r w:rsidRPr="007B132E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7B132E">
        <w:rPr>
          <w:b w:val="0"/>
          <w:bCs/>
          <w:sz w:val="20"/>
          <w:lang w:val="en-US"/>
        </w:rPr>
        <w:t xml:space="preserve"> </w:t>
      </w:r>
      <w:r w:rsidRPr="007B132E">
        <w:rPr>
          <w:rStyle w:val="FootnoteReference"/>
          <w:b w:val="0"/>
          <w:bCs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598"/>
        <w:gridCol w:w="6039"/>
      </w:tblGrid>
      <w:tr w:rsidR="007B132E" w:rsidRPr="007B132E" w:rsidTr="00850215">
        <w:trPr>
          <w:jc w:val="center"/>
        </w:trPr>
        <w:tc>
          <w:tcPr>
            <w:tcW w:w="9637" w:type="dxa"/>
            <w:gridSpan w:val="2"/>
            <w:tcBorders>
              <w:bottom w:val="nil"/>
            </w:tcBorders>
          </w:tcPr>
          <w:p w:rsidR="007B132E" w:rsidRPr="007B132E" w:rsidRDefault="007B132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B132E">
              <w:rPr>
                <w:rFonts w:cs="Times New Roman"/>
              </w:rPr>
              <w:tab/>
            </w:r>
            <w:r w:rsidRPr="007B132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B132E" w:rsidRPr="007B132E" w:rsidTr="007B132E"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32E" w:rsidRPr="007B132E" w:rsidRDefault="007B132E" w:rsidP="007B132E">
            <w:pPr>
              <w:pStyle w:val="SingleTxtGR"/>
              <w:spacing w:line="234" w:lineRule="atLeast"/>
              <w:ind w:right="0"/>
            </w:pPr>
            <w:r w:rsidRPr="007B132E">
              <w:t>Существо предложения: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132E" w:rsidRPr="007B132E" w:rsidRDefault="007B132E" w:rsidP="007B132E">
            <w:pPr>
              <w:pStyle w:val="SingleTxtGR"/>
              <w:spacing w:line="234" w:lineRule="atLeast"/>
              <w:ind w:left="0"/>
            </w:pPr>
            <w:r w:rsidRPr="005316C0">
              <w:rPr>
                <w:spacing w:val="2"/>
              </w:rPr>
              <w:t>В пункте 8.1.2.3 ВОПОГ содержится перечень документов, которые должны находиться на борту танкеров, помимо документов, предписанных в пункте</w:t>
            </w:r>
            <w:r w:rsidR="005316C0">
              <w:rPr>
                <w:spacing w:val="2"/>
                <w:lang w:val="en-US"/>
              </w:rPr>
              <w:t> </w:t>
            </w:r>
            <w:r w:rsidRPr="005316C0">
              <w:rPr>
                <w:spacing w:val="2"/>
              </w:rPr>
              <w:t>8.1.2.1</w:t>
            </w:r>
            <w:r w:rsidRPr="007B132E">
              <w:t xml:space="preserve"> ВОПОГ. Этот перечень неполон: в нем не указаны документы, предписанные дополнительными требованиями/замечаниями 12 и 33 колонки 20 таблицы С, а также свидетельство о проверке специального оборудования, упоминаемое в пункте 8.1.6.3 ВОПОГ.</w:t>
            </w:r>
          </w:p>
        </w:tc>
      </w:tr>
      <w:tr w:rsidR="007B132E" w:rsidRPr="007B132E" w:rsidTr="007B132E"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32E" w:rsidRPr="007B132E" w:rsidRDefault="007B132E" w:rsidP="007B132E">
            <w:pPr>
              <w:pStyle w:val="SingleTxtGR"/>
              <w:spacing w:line="234" w:lineRule="atLeast"/>
              <w:ind w:right="0"/>
            </w:pPr>
            <w:r w:rsidRPr="007B132E">
              <w:t>Предлагаемое решение: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132E" w:rsidRPr="007B132E" w:rsidRDefault="007B132E" w:rsidP="007B132E">
            <w:pPr>
              <w:pStyle w:val="SingleTxtGR"/>
              <w:spacing w:line="234" w:lineRule="atLeast"/>
              <w:ind w:left="0"/>
            </w:pPr>
            <w:r w:rsidRPr="007B132E">
              <w:t>Включение в указанный перечень документов, которые должны находиться на борту судна в соответствии с дополнительными требованиями/замечани-ями колонки 20 таблицы C и в соответствии с пунк</w:t>
            </w:r>
            <w:r w:rsidRPr="007B132E">
              <w:lastRenderedPageBreak/>
              <w:t>том 8.1.2.3 ВОПОГ.</w:t>
            </w:r>
          </w:p>
        </w:tc>
      </w:tr>
      <w:tr w:rsidR="007B132E" w:rsidRPr="007B132E" w:rsidTr="007B132E">
        <w:trPr>
          <w:jc w:val="center"/>
        </w:trPr>
        <w:tc>
          <w:tcPr>
            <w:tcW w:w="35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32E" w:rsidRPr="007B132E" w:rsidRDefault="007B132E" w:rsidP="004124FC">
            <w:pPr>
              <w:pStyle w:val="SingleTxtGR"/>
              <w:ind w:right="0"/>
            </w:pPr>
            <w:r w:rsidRPr="007B132E">
              <w:lastRenderedPageBreak/>
              <w:t>Справочные документы: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132E" w:rsidRPr="007B132E" w:rsidRDefault="007B132E" w:rsidP="007B132E">
            <w:pPr>
              <w:pStyle w:val="SingleTxtGR"/>
            </w:pPr>
            <w:r w:rsidRPr="007B132E">
              <w:t>Нет</w:t>
            </w:r>
          </w:p>
        </w:tc>
      </w:tr>
      <w:tr w:rsidR="007B132E" w:rsidRPr="007B132E" w:rsidTr="00850215">
        <w:trPr>
          <w:jc w:val="center"/>
        </w:trPr>
        <w:tc>
          <w:tcPr>
            <w:tcW w:w="9637" w:type="dxa"/>
            <w:gridSpan w:val="2"/>
            <w:tcBorders>
              <w:top w:val="nil"/>
            </w:tcBorders>
          </w:tcPr>
          <w:p w:rsidR="007B132E" w:rsidRPr="007B132E" w:rsidRDefault="007B132E" w:rsidP="00850215">
            <w:pPr>
              <w:rPr>
                <w:rFonts w:cs="Times New Roman"/>
              </w:rPr>
            </w:pPr>
          </w:p>
        </w:tc>
      </w:tr>
    </w:tbl>
    <w:p w:rsidR="007B132E" w:rsidRPr="007B132E" w:rsidRDefault="007B132E" w:rsidP="004124FC">
      <w:pPr>
        <w:pStyle w:val="HChGR"/>
      </w:pPr>
      <w:r w:rsidRPr="007B132E">
        <w:tab/>
        <w:t>I.</w:t>
      </w:r>
      <w:r w:rsidRPr="007B132E">
        <w:tab/>
        <w:t>Введение</w:t>
      </w:r>
    </w:p>
    <w:p w:rsidR="007B132E" w:rsidRPr="007B132E" w:rsidRDefault="007B132E" w:rsidP="007B132E">
      <w:pPr>
        <w:pStyle w:val="SingleTxtGR"/>
      </w:pPr>
      <w:r w:rsidRPr="007B132E">
        <w:t>1.</w:t>
      </w:r>
      <w:r w:rsidRPr="007B132E">
        <w:tab/>
        <w:t>В пункте 8.1.6.3 ВОПОГ указано, что специальное оборудование, предусмотренное в пункте 8.1.5.1</w:t>
      </w:r>
      <w:r w:rsidR="0052291B" w:rsidRPr="0052291B">
        <w:t xml:space="preserve"> </w:t>
      </w:r>
      <w:r w:rsidR="0052291B">
        <w:t>ВОПОГ</w:t>
      </w:r>
      <w:r w:rsidRPr="007B132E">
        <w:t>, должно регулярно подвергаться проверке и осмотру. По итогам такой проверки должн</w:t>
      </w:r>
      <w:r w:rsidR="0052291B">
        <w:t>о выдаваться свидетельство. Это </w:t>
      </w:r>
      <w:r w:rsidRPr="007B132E">
        <w:t>свидетельство должно находиться на борту судна.</w:t>
      </w:r>
    </w:p>
    <w:p w:rsidR="007B132E" w:rsidRPr="007B132E" w:rsidRDefault="007B132E" w:rsidP="007B132E">
      <w:pPr>
        <w:pStyle w:val="SingleTxtGR"/>
      </w:pPr>
      <w:r w:rsidRPr="007B132E">
        <w:t>2.</w:t>
      </w:r>
      <w:r w:rsidRPr="007B132E">
        <w:tab/>
        <w:t>В перечне, содержащемся в пункте 8.1.2.1 ВОПОГ, этот документ не упоминается.</w:t>
      </w:r>
    </w:p>
    <w:p w:rsidR="007B132E" w:rsidRPr="007B132E" w:rsidRDefault="007B132E" w:rsidP="007B132E">
      <w:pPr>
        <w:pStyle w:val="SingleTxtGR"/>
      </w:pPr>
      <w:r w:rsidRPr="007B132E">
        <w:t>3.</w:t>
      </w:r>
      <w:r w:rsidRPr="007B132E">
        <w:tab/>
        <w:t>В дополнительных требованиях/замечаниях в колонке 20 таблицы С (подраздел 3.2.3.2 ВОПОГ) указаны конкретные документы, которые должны храниться на борту:</w:t>
      </w:r>
    </w:p>
    <w:p w:rsidR="007B132E" w:rsidRPr="007B132E" w:rsidRDefault="007B132E" w:rsidP="007B132E">
      <w:pPr>
        <w:pStyle w:val="SingleTxtGR"/>
      </w:pPr>
      <w:r w:rsidRPr="007B132E">
        <w:t>замечание 12, подпункты p) и q);</w:t>
      </w:r>
    </w:p>
    <w:p w:rsidR="007B132E" w:rsidRPr="007B132E" w:rsidRDefault="007B132E" w:rsidP="007B132E">
      <w:pPr>
        <w:pStyle w:val="SingleTxtGR"/>
      </w:pPr>
      <w:r w:rsidRPr="007B132E">
        <w:t>замечание 33, подпункты i), n) и o).</w:t>
      </w:r>
    </w:p>
    <w:p w:rsidR="007B132E" w:rsidRPr="007B132E" w:rsidRDefault="007B132E" w:rsidP="007B132E">
      <w:pPr>
        <w:pStyle w:val="SingleTxtGR"/>
      </w:pPr>
      <w:r w:rsidRPr="007B132E">
        <w:t>4.</w:t>
      </w:r>
      <w:r w:rsidRPr="007B132E">
        <w:tab/>
        <w:t>В перечне, содержащемся в пункте 8.1.2.1 ВОПОГ, указанные документы не упоминаются.</w:t>
      </w:r>
    </w:p>
    <w:p w:rsidR="007B132E" w:rsidRPr="007B132E" w:rsidRDefault="007B132E" w:rsidP="004124FC">
      <w:pPr>
        <w:pStyle w:val="HChGR"/>
      </w:pPr>
      <w:r w:rsidRPr="007B132E">
        <w:tab/>
        <w:t>II.</w:t>
      </w:r>
      <w:r w:rsidRPr="007B132E">
        <w:tab/>
        <w:t>Предложение</w:t>
      </w:r>
    </w:p>
    <w:p w:rsidR="007B132E" w:rsidRPr="007B132E" w:rsidRDefault="007B132E" w:rsidP="007B132E">
      <w:pPr>
        <w:pStyle w:val="SingleTxtGR"/>
      </w:pPr>
      <w:r w:rsidRPr="007B132E">
        <w:t>5.</w:t>
      </w:r>
      <w:r w:rsidRPr="007B132E">
        <w:tab/>
        <w:t>В конце пункта 8.1.2.3 ВОПОГ включить следующие подпункты:</w:t>
      </w:r>
    </w:p>
    <w:p w:rsidR="007B132E" w:rsidRPr="007B132E" w:rsidRDefault="004124FC" w:rsidP="004124FC">
      <w:pPr>
        <w:pStyle w:val="SingleTxtGR"/>
        <w:ind w:left="1701" w:hanging="567"/>
      </w:pPr>
      <w:r>
        <w:rPr>
          <w:lang w:val="en-US"/>
        </w:rPr>
        <w:tab/>
      </w:r>
      <w:r w:rsidR="007B132E" w:rsidRPr="007B132E">
        <w:t>«w) в соответствующих случаях – свидетельства, предписанные в подпунктах p) и q) дополнительного требования/замечания 12, указанного в колонке 20 таблицы С подраздела 3.2.3.2;</w:t>
      </w:r>
    </w:p>
    <w:p w:rsidR="007B132E" w:rsidRPr="007B132E" w:rsidRDefault="004124FC" w:rsidP="004124FC">
      <w:pPr>
        <w:pStyle w:val="SingleTxtGR"/>
        <w:ind w:left="1701" w:hanging="567"/>
      </w:pPr>
      <w:r>
        <w:rPr>
          <w:lang w:val="en-US"/>
        </w:rPr>
        <w:tab/>
      </w:r>
      <w:r w:rsidR="007B132E" w:rsidRPr="007B132E">
        <w:t>х) в соответствующих случаях – свидетельства, предписанные в подпунктах i), n) и о) дополнительного требования/замечания 33, указанного в колонке 20 таблицы С подраздела 3.2.3.2.».</w:t>
      </w:r>
    </w:p>
    <w:p w:rsidR="007B132E" w:rsidRPr="007B132E" w:rsidRDefault="007B132E" w:rsidP="007B132E">
      <w:pPr>
        <w:pStyle w:val="SingleTxtGR"/>
      </w:pPr>
      <w:r w:rsidRPr="007B132E">
        <w:t>6.</w:t>
      </w:r>
      <w:r w:rsidRPr="007B132E">
        <w:tab/>
        <w:t>В пункте 8.1.2.1 изменить подпункт f) следующим образом:</w:t>
      </w:r>
    </w:p>
    <w:p w:rsidR="007B132E" w:rsidRPr="007B132E" w:rsidRDefault="004124FC" w:rsidP="004124FC">
      <w:pPr>
        <w:pStyle w:val="SingleTxtGR"/>
        <w:ind w:left="1701" w:hanging="567"/>
      </w:pPr>
      <w:r>
        <w:rPr>
          <w:lang w:val="en-US"/>
        </w:rPr>
        <w:tab/>
      </w:r>
      <w:r w:rsidR="007B132E" w:rsidRPr="007B132E">
        <w:t>«f)</w:t>
      </w:r>
      <w:r w:rsidR="007B132E" w:rsidRPr="007B132E">
        <w:tab/>
        <w:t>свидетельство о проверке пожарных рукавов, предписанное в пункте 8.1.6.1, и свидетельство о проверке специального оборудования, предписанное в пункте 8.1.6.3;».</w:t>
      </w:r>
    </w:p>
    <w:p w:rsidR="007B132E" w:rsidRPr="007B132E" w:rsidRDefault="007B132E" w:rsidP="004124FC">
      <w:pPr>
        <w:pStyle w:val="HChGR"/>
      </w:pPr>
      <w:r w:rsidRPr="007B132E">
        <w:tab/>
        <w:t>III.</w:t>
      </w:r>
      <w:r w:rsidRPr="007B132E">
        <w:tab/>
        <w:t>Обоснование</w:t>
      </w:r>
    </w:p>
    <w:p w:rsidR="007B132E" w:rsidRPr="007B132E" w:rsidRDefault="007B132E" w:rsidP="007B132E">
      <w:pPr>
        <w:pStyle w:val="SingleTxtGR"/>
      </w:pPr>
      <w:r w:rsidRPr="007B132E">
        <w:t>7.</w:t>
      </w:r>
      <w:r w:rsidRPr="007B132E">
        <w:tab/>
        <w:t>Содержащийся пунктах 8.1.2.1 и 8.1.2.3 ВОПОГ перечень документов, которые должны храниться на борту, должен быть исчерпывающим во избежание ситуаций отсутствия на борту какого-либо из документов, указанных в правилах.</w:t>
      </w:r>
    </w:p>
    <w:p w:rsidR="007B132E" w:rsidRPr="007B132E" w:rsidRDefault="007B132E" w:rsidP="007B132E">
      <w:pPr>
        <w:pStyle w:val="SingleTxtGR"/>
      </w:pPr>
      <w:r w:rsidRPr="007B132E">
        <w:t>8.</w:t>
      </w:r>
      <w:r w:rsidRPr="007B132E">
        <w:tab/>
        <w:t>Выбор букв w) и х) объясняется тем, что в соответствии с содержащимися в документе ECE/TRANS/WP.15/AC.2/2017/21 предложениями о поправках, принятыми на тридцать первой сессии Комитета по вопросам безопасности, в указанный перечень был включен подпункт v).</w:t>
      </w:r>
    </w:p>
    <w:p w:rsidR="007B132E" w:rsidRPr="007B132E" w:rsidRDefault="007B132E" w:rsidP="004124FC">
      <w:pPr>
        <w:pStyle w:val="HChGR"/>
      </w:pPr>
      <w:r w:rsidRPr="007B132E">
        <w:tab/>
        <w:t>IV.</w:t>
      </w:r>
      <w:r w:rsidRPr="007B132E">
        <w:tab/>
        <w:t>Безопасность</w:t>
      </w:r>
    </w:p>
    <w:p w:rsidR="007B132E" w:rsidRPr="007B132E" w:rsidRDefault="007B132E" w:rsidP="007B132E">
      <w:pPr>
        <w:pStyle w:val="SingleTxtGR"/>
      </w:pPr>
      <w:r w:rsidRPr="007B132E">
        <w:t>9.</w:t>
      </w:r>
      <w:r w:rsidRPr="007B132E">
        <w:tab/>
        <w:t>Указанные документы, которые должны храниться на борту судна, позволяют определить, приняты ли определенные необходимые меры для обеспечения безопасности перевозки.</w:t>
      </w:r>
    </w:p>
    <w:p w:rsidR="007B132E" w:rsidRPr="007B132E" w:rsidRDefault="007B132E" w:rsidP="004124FC">
      <w:pPr>
        <w:pStyle w:val="HChGR"/>
      </w:pPr>
      <w:r w:rsidRPr="007B132E">
        <w:lastRenderedPageBreak/>
        <w:tab/>
        <w:t>V.</w:t>
      </w:r>
      <w:r w:rsidRPr="007B132E">
        <w:tab/>
        <w:t>Осуществление</w:t>
      </w:r>
    </w:p>
    <w:p w:rsidR="007B132E" w:rsidRPr="007B132E" w:rsidRDefault="007B132E" w:rsidP="007B132E">
      <w:pPr>
        <w:pStyle w:val="SingleTxtGR"/>
      </w:pPr>
      <w:r w:rsidRPr="007B132E">
        <w:t>10.</w:t>
      </w:r>
      <w:r w:rsidRPr="007B132E">
        <w:tab/>
        <w:t xml:space="preserve">Данное предложение не требует никаких финансовых вложений или существенных изменений в плане организации. Обязательство хранить на борту указанные документы уже предусмотрено в подразделе 3.2.3.1 и пункте 8.1.6.3 ВОПОГ. Напоминание о необходимости хранить </w:t>
      </w:r>
      <w:r w:rsidR="0052291B">
        <w:t xml:space="preserve">на </w:t>
      </w:r>
      <w:r w:rsidRPr="007B132E">
        <w:t>борту эти документы призвано обеспечить их фактическое наличие на борту для облегчения проверок судов и грузов.</w:t>
      </w:r>
    </w:p>
    <w:p w:rsidR="00E12C5F" w:rsidRPr="007B132E" w:rsidRDefault="007B132E" w:rsidP="007B132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B132E" w:rsidSect="007B13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C6" w:rsidRPr="00A312BC" w:rsidRDefault="007E6DC6" w:rsidP="00A312BC"/>
  </w:endnote>
  <w:endnote w:type="continuationSeparator" w:id="0">
    <w:p w:rsidR="007E6DC6" w:rsidRPr="00A312BC" w:rsidRDefault="007E6DC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2E" w:rsidRPr="007B132E" w:rsidRDefault="007B132E">
    <w:pPr>
      <w:pStyle w:val="Footer"/>
    </w:pPr>
    <w:r w:rsidRPr="007B132E">
      <w:rPr>
        <w:b/>
        <w:sz w:val="18"/>
      </w:rPr>
      <w:fldChar w:fldCharType="begin"/>
    </w:r>
    <w:r w:rsidRPr="007B132E">
      <w:rPr>
        <w:b/>
        <w:sz w:val="18"/>
      </w:rPr>
      <w:instrText xml:space="preserve"> PAGE  \* MERGEFORMAT </w:instrText>
    </w:r>
    <w:r w:rsidRPr="007B132E">
      <w:rPr>
        <w:b/>
        <w:sz w:val="18"/>
      </w:rPr>
      <w:fldChar w:fldCharType="separate"/>
    </w:r>
    <w:r w:rsidR="0019018B">
      <w:rPr>
        <w:b/>
        <w:noProof/>
        <w:sz w:val="18"/>
      </w:rPr>
      <w:t>2</w:t>
    </w:r>
    <w:r w:rsidRPr="007B132E">
      <w:rPr>
        <w:b/>
        <w:sz w:val="18"/>
      </w:rPr>
      <w:fldChar w:fldCharType="end"/>
    </w:r>
    <w:r>
      <w:rPr>
        <w:b/>
        <w:sz w:val="18"/>
      </w:rPr>
      <w:tab/>
    </w:r>
    <w:r>
      <w:t>GE.17-18565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2E" w:rsidRPr="007B132E" w:rsidRDefault="007B132E" w:rsidP="007B132E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GE.17-18565</w:t>
    </w:r>
    <w:r>
      <w:tab/>
    </w:r>
    <w:r w:rsidRPr="007B132E">
      <w:rPr>
        <w:b/>
        <w:sz w:val="18"/>
      </w:rPr>
      <w:fldChar w:fldCharType="begin"/>
    </w:r>
    <w:r w:rsidRPr="007B132E">
      <w:rPr>
        <w:b/>
        <w:sz w:val="18"/>
      </w:rPr>
      <w:instrText xml:space="preserve"> PAGE  \* MERGEFORMAT </w:instrText>
    </w:r>
    <w:r w:rsidRPr="007B132E">
      <w:rPr>
        <w:b/>
        <w:sz w:val="18"/>
      </w:rPr>
      <w:fldChar w:fldCharType="separate"/>
    </w:r>
    <w:r w:rsidR="0019018B">
      <w:rPr>
        <w:b/>
        <w:noProof/>
        <w:sz w:val="18"/>
      </w:rPr>
      <w:t>3</w:t>
    </w:r>
    <w:r w:rsidRPr="007B13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B132E" w:rsidRDefault="007B132E" w:rsidP="007B132E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22A4722" wp14:editId="3AF7B58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17-18565  (R)</w:t>
    </w:r>
    <w:r>
      <w:rPr>
        <w:lang w:val="en-US"/>
      </w:rPr>
      <w:t xml:space="preserve">  021117  061117</w:t>
    </w:r>
    <w:r>
      <w:br/>
    </w:r>
    <w:r w:rsidRPr="007B132E">
      <w:rPr>
        <w:rFonts w:ascii="C39T30Lfz" w:hAnsi="C39T30Lfz"/>
        <w:spacing w:val="0"/>
        <w:w w:val="100"/>
        <w:sz w:val="56"/>
      </w:rPr>
      <w:t></w:t>
    </w:r>
    <w:r w:rsidRPr="007B132E">
      <w:rPr>
        <w:rFonts w:ascii="C39T30Lfz" w:hAnsi="C39T30Lfz"/>
        <w:spacing w:val="0"/>
        <w:w w:val="100"/>
        <w:sz w:val="56"/>
      </w:rPr>
      <w:t></w:t>
    </w:r>
    <w:r w:rsidRPr="007B132E">
      <w:rPr>
        <w:rFonts w:ascii="C39T30Lfz" w:hAnsi="C39T30Lfz"/>
        <w:spacing w:val="0"/>
        <w:w w:val="100"/>
        <w:sz w:val="56"/>
      </w:rPr>
      <w:t></w:t>
    </w:r>
    <w:r w:rsidRPr="007B132E">
      <w:rPr>
        <w:rFonts w:ascii="C39T30Lfz" w:hAnsi="C39T30Lfz"/>
        <w:spacing w:val="0"/>
        <w:w w:val="100"/>
        <w:sz w:val="56"/>
      </w:rPr>
      <w:t></w:t>
    </w:r>
    <w:r w:rsidRPr="007B132E">
      <w:rPr>
        <w:rFonts w:ascii="C39T30Lfz" w:hAnsi="C39T30Lfz"/>
        <w:spacing w:val="0"/>
        <w:w w:val="100"/>
        <w:sz w:val="56"/>
      </w:rPr>
      <w:t></w:t>
    </w:r>
    <w:r w:rsidRPr="007B132E">
      <w:rPr>
        <w:rFonts w:ascii="C39T30Lfz" w:hAnsi="C39T30Lfz"/>
        <w:spacing w:val="0"/>
        <w:w w:val="100"/>
        <w:sz w:val="56"/>
      </w:rPr>
      <w:t></w:t>
    </w:r>
    <w:r w:rsidRPr="007B132E">
      <w:rPr>
        <w:rFonts w:ascii="C39T30Lfz" w:hAnsi="C39T30Lfz"/>
        <w:spacing w:val="0"/>
        <w:w w:val="100"/>
        <w:sz w:val="56"/>
      </w:rPr>
      <w:t></w:t>
    </w:r>
    <w:r w:rsidRPr="007B132E">
      <w:rPr>
        <w:rFonts w:ascii="C39T30Lfz" w:hAnsi="C39T30Lfz"/>
        <w:spacing w:val="0"/>
        <w:w w:val="100"/>
        <w:sz w:val="56"/>
      </w:rPr>
      <w:t></w:t>
    </w:r>
    <w:r w:rsidRPr="007B132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AC.2/2018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C6" w:rsidRPr="001075E9" w:rsidRDefault="007E6DC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E6DC6" w:rsidRDefault="007E6DC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B132E" w:rsidRPr="007B132E" w:rsidRDefault="007B132E" w:rsidP="007B132E">
      <w:pPr>
        <w:pStyle w:val="FootnoteText"/>
        <w:rPr>
          <w:sz w:val="20"/>
          <w:lang w:val="ru-RU"/>
        </w:rPr>
      </w:pPr>
      <w:r>
        <w:tab/>
      </w:r>
      <w:r w:rsidRPr="007B132E">
        <w:rPr>
          <w:rStyle w:val="FootnoteReference"/>
          <w:sz w:val="20"/>
          <w:vertAlign w:val="baseline"/>
          <w:lang w:val="ru-RU"/>
        </w:rPr>
        <w:t>*</w:t>
      </w:r>
      <w:r w:rsidRPr="007B132E">
        <w:rPr>
          <w:rStyle w:val="FootnoteReference"/>
          <w:vertAlign w:val="baseline"/>
          <w:lang w:val="ru-RU"/>
        </w:rPr>
        <w:tab/>
      </w:r>
      <w:r w:rsidRPr="007B132E">
        <w:rPr>
          <w:lang w:val="ru-RU"/>
        </w:rPr>
        <w:t>Распространено на немецком языке Центральной комиссией судоходства по Рейну под условным обозначением CCNR</w:t>
      </w:r>
      <w:r w:rsidR="00BB656D" w:rsidRPr="00BB656D">
        <w:rPr>
          <w:lang w:val="ru-RU"/>
        </w:rPr>
        <w:t>/</w:t>
      </w:r>
      <w:r w:rsidRPr="007B132E">
        <w:rPr>
          <w:lang w:val="ru-RU"/>
        </w:rPr>
        <w:t>ZKR/ADN/WP.15/AC.2/2018/8.</w:t>
      </w:r>
    </w:p>
  </w:footnote>
  <w:footnote w:id="2">
    <w:p w:rsidR="007B132E" w:rsidRPr="007B132E" w:rsidRDefault="007B132E" w:rsidP="007B132E">
      <w:pPr>
        <w:pStyle w:val="FootnoteText"/>
        <w:rPr>
          <w:sz w:val="20"/>
          <w:lang w:val="ru-RU"/>
        </w:rPr>
      </w:pPr>
      <w:r w:rsidRPr="00BB656D">
        <w:rPr>
          <w:lang w:val="ru-RU"/>
        </w:rPr>
        <w:tab/>
      </w:r>
      <w:r w:rsidRPr="007B132E">
        <w:rPr>
          <w:rStyle w:val="FootnoteReference"/>
          <w:sz w:val="20"/>
          <w:vertAlign w:val="baseline"/>
          <w:lang w:val="ru-RU"/>
        </w:rPr>
        <w:t>**</w:t>
      </w:r>
      <w:r w:rsidRPr="007B132E">
        <w:rPr>
          <w:rStyle w:val="FootnoteReference"/>
          <w:vertAlign w:val="baseline"/>
          <w:lang w:val="ru-RU"/>
        </w:rPr>
        <w:tab/>
      </w:r>
      <w:r w:rsidRPr="007B132E">
        <w:rPr>
          <w:lang w:val="ru-RU"/>
        </w:rPr>
        <w:t>В соответствии с программой работы Ком</w:t>
      </w:r>
      <w:r w:rsidR="004124FC">
        <w:rPr>
          <w:lang w:val="ru-RU"/>
        </w:rPr>
        <w:t>итета по внутреннему транспорту</w:t>
      </w:r>
      <w:r w:rsidR="004124FC" w:rsidRPr="004124FC">
        <w:rPr>
          <w:lang w:val="ru-RU"/>
        </w:rPr>
        <w:br/>
      </w:r>
      <w:r w:rsidR="004124FC">
        <w:rPr>
          <w:lang w:val="ru-RU"/>
        </w:rPr>
        <w:t>на 2017–2018 годы (</w:t>
      </w:r>
      <w:r w:rsidRPr="007B132E">
        <w:rPr>
          <w:lang w:val="ru-RU"/>
        </w:rPr>
        <w:t>ECE/TRANS/WP.15/237, приложение V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2E" w:rsidRPr="007B132E" w:rsidRDefault="0019018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2E" w:rsidRPr="007B132E" w:rsidRDefault="0019018B" w:rsidP="007B132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018B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24FC"/>
    <w:rsid w:val="00424203"/>
    <w:rsid w:val="00452493"/>
    <w:rsid w:val="00453318"/>
    <w:rsid w:val="00454AF2"/>
    <w:rsid w:val="00454E07"/>
    <w:rsid w:val="00472C5C"/>
    <w:rsid w:val="004E05B7"/>
    <w:rsid w:val="0050108D"/>
    <w:rsid w:val="0050641F"/>
    <w:rsid w:val="00513081"/>
    <w:rsid w:val="00517901"/>
    <w:rsid w:val="0052291B"/>
    <w:rsid w:val="00526683"/>
    <w:rsid w:val="005316C0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132E"/>
    <w:rsid w:val="007E3D59"/>
    <w:rsid w:val="007E6DC6"/>
    <w:rsid w:val="00806737"/>
    <w:rsid w:val="00807AC8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07D2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656D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66A290-54CC-4612-90D7-C6892572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8064-BF4E-496E-AE7A-35CA7922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ECE/TRANS/WP.15/AC.2/2018/8</vt:lpstr>
      <vt:lpstr>ECE/TRANS/WP.15/AC.2/2018/8</vt:lpstr>
      <vt:lpstr>A/</vt:lpstr>
    </vt:vector>
  </TitlesOfParts>
  <Company>DCM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ECE/TRANS/WP.15/AC.2/2018/8</dc:title>
  <dc:subject/>
  <dc:creator>Uliana Antipova</dc:creator>
  <cp:keywords/>
  <cp:lastModifiedBy>Marie-Claude Collet</cp:lastModifiedBy>
  <cp:revision>3</cp:revision>
  <cp:lastPrinted>2017-11-06T13:56:00Z</cp:lastPrinted>
  <dcterms:created xsi:type="dcterms:W3CDTF">2017-11-06T13:56:00Z</dcterms:created>
  <dcterms:modified xsi:type="dcterms:W3CDTF">2017-11-06T13:56:00Z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