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FA129D" w:rsidP="00FA129D">
            <w:pPr>
              <w:jc w:val="right"/>
              <w:rPr>
                <w:lang w:val="en-GB"/>
              </w:rPr>
            </w:pPr>
            <w:r w:rsidRPr="00FA129D">
              <w:rPr>
                <w:sz w:val="40"/>
                <w:lang w:val="en-GB"/>
              </w:rPr>
              <w:t>ECE</w:t>
            </w:r>
            <w:r>
              <w:rPr>
                <w:lang w:val="en-GB"/>
              </w:rPr>
              <w:t>/TRANS/WP.11/201</w:t>
            </w:r>
            <w:r w:rsidR="00766637">
              <w:rPr>
                <w:lang w:val="en-GB"/>
              </w:rPr>
              <w:t>8</w:t>
            </w:r>
            <w:r>
              <w:rPr>
                <w:lang w:val="en-GB"/>
              </w:rPr>
              <w:t>/</w:t>
            </w:r>
            <w:r w:rsidR="00870366">
              <w:rPr>
                <w:lang w:val="en-GB"/>
              </w:rPr>
              <w:t>4</w:t>
            </w:r>
          </w:p>
        </w:tc>
      </w:tr>
      <w:tr w:rsidR="00A2454C" w:rsidRPr="003378EA"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FA129D" w:rsidRDefault="00FA129D" w:rsidP="00FA129D">
            <w:pPr>
              <w:spacing w:before="240" w:line="240" w:lineRule="exact"/>
              <w:rPr>
                <w:lang w:val="en-GB"/>
              </w:rPr>
            </w:pPr>
            <w:r>
              <w:rPr>
                <w:lang w:val="en-GB"/>
              </w:rPr>
              <w:t>Distr.: General</w:t>
            </w:r>
          </w:p>
          <w:p w:rsidR="00FA129D" w:rsidRDefault="001C2108" w:rsidP="00FA129D">
            <w:pPr>
              <w:spacing w:line="240" w:lineRule="exact"/>
              <w:rPr>
                <w:lang w:val="en-GB"/>
              </w:rPr>
            </w:pPr>
            <w:r>
              <w:rPr>
                <w:lang w:val="en-GB"/>
              </w:rPr>
              <w:t>1</w:t>
            </w:r>
            <w:r w:rsidR="00F163C7">
              <w:rPr>
                <w:lang w:val="en-GB"/>
              </w:rPr>
              <w:t>6</w:t>
            </w:r>
            <w:r>
              <w:rPr>
                <w:lang w:val="en-GB"/>
              </w:rPr>
              <w:t xml:space="preserve"> May</w:t>
            </w:r>
            <w:r w:rsidR="00FA129D">
              <w:rPr>
                <w:lang w:val="en-GB"/>
              </w:rPr>
              <w:t xml:space="preserve"> 201</w:t>
            </w:r>
            <w:r w:rsidR="00766637">
              <w:rPr>
                <w:lang w:val="en-GB"/>
              </w:rPr>
              <w:t>8</w:t>
            </w:r>
          </w:p>
          <w:p w:rsidR="00FA129D" w:rsidRDefault="00FA129D" w:rsidP="00FA129D">
            <w:pPr>
              <w:spacing w:line="240" w:lineRule="exact"/>
              <w:rPr>
                <w:lang w:val="en-GB"/>
              </w:rPr>
            </w:pPr>
          </w:p>
          <w:p w:rsidR="00A2454C" w:rsidRPr="00635870" w:rsidRDefault="00FA129D" w:rsidP="00FA129D">
            <w:pPr>
              <w:spacing w:line="240" w:lineRule="exact"/>
              <w:rPr>
                <w:lang w:val="en-GB"/>
              </w:rPr>
            </w:pPr>
            <w:r>
              <w:rPr>
                <w:lang w:val="en-GB"/>
              </w:rPr>
              <w:t>Original: Russian</w:t>
            </w:r>
          </w:p>
        </w:tc>
      </w:tr>
    </w:tbl>
    <w:p w:rsidR="00DD3C24" w:rsidRDefault="00DD3C24" w:rsidP="00DD3C24">
      <w:pPr>
        <w:spacing w:before="120"/>
        <w:rPr>
          <w:b/>
          <w:sz w:val="28"/>
          <w:szCs w:val="28"/>
        </w:rPr>
      </w:pPr>
      <w:r w:rsidRPr="00245892">
        <w:rPr>
          <w:b/>
          <w:sz w:val="28"/>
          <w:szCs w:val="28"/>
        </w:rPr>
        <w:t>Европейская экономическая комиссия</w:t>
      </w:r>
    </w:p>
    <w:p w:rsidR="00DD3C24" w:rsidRPr="00D27667" w:rsidRDefault="00DD3C24" w:rsidP="00DD3C24">
      <w:pPr>
        <w:spacing w:before="120" w:line="240" w:lineRule="auto"/>
        <w:rPr>
          <w:sz w:val="28"/>
        </w:rPr>
      </w:pPr>
      <w:r w:rsidRPr="00D27667">
        <w:rPr>
          <w:sz w:val="28"/>
        </w:rPr>
        <w:t>Комитет по внутреннему транспорту</w:t>
      </w:r>
    </w:p>
    <w:p w:rsidR="00DD3C24" w:rsidRPr="00D27667" w:rsidRDefault="00DD3C24" w:rsidP="006E1D01">
      <w:pPr>
        <w:spacing w:before="120" w:after="120" w:line="240" w:lineRule="auto"/>
        <w:rPr>
          <w:b/>
          <w:sz w:val="24"/>
        </w:rPr>
      </w:pPr>
      <w:r w:rsidRPr="00D27667">
        <w:rPr>
          <w:b/>
          <w:sz w:val="24"/>
        </w:rPr>
        <w:t xml:space="preserve">Рабочая группа по перевозкам </w:t>
      </w:r>
      <w:r w:rsidRPr="00D27667">
        <w:rPr>
          <w:b/>
          <w:sz w:val="24"/>
        </w:rPr>
        <w:br/>
        <w:t>скоропортящихся пищевых продуктов</w:t>
      </w:r>
    </w:p>
    <w:p w:rsidR="00604E4D" w:rsidRPr="00604E4D" w:rsidRDefault="00604E4D" w:rsidP="00604E4D">
      <w:pPr>
        <w:spacing w:before="120"/>
        <w:rPr>
          <w:rFonts w:eastAsia="SimSun" w:cs="Arial"/>
          <w:b/>
          <w:bCs/>
          <w:spacing w:val="0"/>
          <w:w w:val="100"/>
          <w:kern w:val="0"/>
          <w:szCs w:val="22"/>
          <w:lang w:eastAsia="zh-CN"/>
        </w:rPr>
      </w:pPr>
      <w:r w:rsidRPr="00604E4D">
        <w:rPr>
          <w:rFonts w:eastAsia="SimSun" w:cs="Arial"/>
          <w:b/>
          <w:bCs/>
          <w:spacing w:val="0"/>
          <w:w w:val="100"/>
          <w:kern w:val="0"/>
          <w:szCs w:val="22"/>
          <w:lang w:eastAsia="zh-CN"/>
        </w:rPr>
        <w:t>Семьдесят четвертая сессия</w:t>
      </w:r>
    </w:p>
    <w:p w:rsidR="00F73FCF" w:rsidRPr="00604E4D" w:rsidRDefault="00604E4D" w:rsidP="00604E4D">
      <w:pPr>
        <w:rPr>
          <w:rFonts w:eastAsia="SimSun" w:cs="Arial"/>
          <w:spacing w:val="0"/>
          <w:w w:val="100"/>
          <w:kern w:val="0"/>
          <w:szCs w:val="22"/>
          <w:lang w:eastAsia="zh-CN"/>
        </w:rPr>
      </w:pPr>
      <w:r w:rsidRPr="00604E4D">
        <w:rPr>
          <w:rFonts w:eastAsia="SimSun" w:cs="Arial"/>
          <w:spacing w:val="0"/>
          <w:w w:val="100"/>
          <w:kern w:val="0"/>
          <w:szCs w:val="22"/>
          <w:lang w:eastAsia="zh-CN"/>
        </w:rPr>
        <w:t>Женева, 8–12 октября 2018 года</w:t>
      </w:r>
    </w:p>
    <w:p w:rsidR="00F73FCF" w:rsidRPr="009873D4" w:rsidRDefault="00F73FCF" w:rsidP="00F73F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9873D4">
        <w:rPr>
          <w:rFonts w:eastAsiaTheme="minorEastAsia"/>
          <w:szCs w:val="22"/>
          <w:lang w:eastAsia="zh-CN"/>
        </w:rPr>
        <w:t xml:space="preserve">Пункт </w:t>
      </w:r>
      <w:r w:rsidR="009873D4" w:rsidRPr="003378EA">
        <w:rPr>
          <w:rFonts w:eastAsiaTheme="minorEastAsia"/>
          <w:szCs w:val="22"/>
          <w:lang w:eastAsia="zh-CN"/>
        </w:rPr>
        <w:t>2</w:t>
      </w:r>
      <w:r w:rsidRPr="009873D4">
        <w:rPr>
          <w:rFonts w:eastAsiaTheme="minorEastAsia"/>
          <w:szCs w:val="22"/>
          <w:lang w:eastAsia="zh-CN"/>
        </w:rPr>
        <w:t xml:space="preserve"> предварительной повестки дня</w:t>
      </w:r>
    </w:p>
    <w:p w:rsidR="0031437F" w:rsidRDefault="009873D4" w:rsidP="009873D4">
      <w:pPr>
        <w:spacing w:after="120"/>
        <w:rPr>
          <w:b/>
          <w:sz w:val="24"/>
        </w:rPr>
      </w:pPr>
      <w:r w:rsidRPr="009873D4">
        <w:rPr>
          <w:rFonts w:eastAsiaTheme="minorEastAsia"/>
          <w:b/>
          <w:szCs w:val="22"/>
          <w:lang w:eastAsia="zh-CN"/>
        </w:rPr>
        <w:t xml:space="preserve">Обсуждение за «круглым столом» по вопросу </w:t>
      </w:r>
      <w:r w:rsidRPr="009873D4">
        <w:rPr>
          <w:rFonts w:eastAsiaTheme="minorEastAsia"/>
          <w:b/>
          <w:szCs w:val="22"/>
          <w:lang w:eastAsia="zh-CN"/>
        </w:rPr>
        <w:br/>
        <w:t>о путях улучшения функционирования Рабочей группы</w:t>
      </w:r>
    </w:p>
    <w:p w:rsidR="00DD3C24" w:rsidRPr="002E2EAF" w:rsidRDefault="00DD3C24" w:rsidP="00A40226">
      <w:pPr>
        <w:pStyle w:val="HChGR"/>
      </w:pPr>
      <w:bookmarkStart w:id="0" w:name="_Toc432670187"/>
      <w:r>
        <w:tab/>
      </w:r>
      <w:r>
        <w:tab/>
      </w:r>
      <w:r w:rsidR="00A40226" w:rsidRPr="00A40226">
        <w:t>Справка о перспективах разви</w:t>
      </w:r>
      <w:bookmarkStart w:id="1" w:name="_GoBack"/>
      <w:bookmarkEnd w:id="1"/>
      <w:r w:rsidR="00A40226" w:rsidRPr="00A40226">
        <w:t>тия СПС</w:t>
      </w:r>
      <w:r w:rsidR="00C91662" w:rsidRPr="003F1623">
        <w:rPr>
          <w:rStyle w:val="FootnoteReference"/>
          <w:b/>
          <w:bCs/>
          <w:sz w:val="24"/>
          <w:szCs w:val="36"/>
        </w:rPr>
        <w:footnoteReference w:id="1"/>
      </w:r>
    </w:p>
    <w:bookmarkEnd w:id="0"/>
    <w:p w:rsidR="00DD3C24" w:rsidRPr="002E2EAF" w:rsidRDefault="00DD3C24" w:rsidP="00DD3C24">
      <w:pPr>
        <w:pStyle w:val="H1GR"/>
      </w:pPr>
      <w:r>
        <w:tab/>
      </w:r>
      <w:r>
        <w:tab/>
      </w:r>
      <w:r w:rsidRPr="002E2EAF">
        <w:t>Представлено Российской Федерацией</w:t>
      </w:r>
    </w:p>
    <w:p w:rsidR="00A52D9B" w:rsidRPr="003378EA" w:rsidRDefault="00A52D9B" w:rsidP="00A52D9B">
      <w:pPr>
        <w:pStyle w:val="HChGR"/>
      </w:pPr>
      <w:bookmarkStart w:id="2" w:name="OLE_LINK1"/>
      <w:bookmarkStart w:id="3" w:name="OLE_LINK2"/>
      <w:r>
        <w:tab/>
      </w:r>
      <w:r w:rsidR="00C91662">
        <w:rPr>
          <w:lang w:val="fr-CH"/>
        </w:rPr>
        <w:t>I.</w:t>
      </w:r>
      <w:r w:rsidRPr="003378EA">
        <w:tab/>
      </w:r>
      <w:r w:rsidRPr="002E2EAF">
        <w:t>Введение</w:t>
      </w:r>
    </w:p>
    <w:p w:rsidR="00A40226" w:rsidRPr="00A40226" w:rsidRDefault="003378EA" w:rsidP="00A40226">
      <w:pPr>
        <w:pStyle w:val="SingleTxtGR"/>
      </w:pPr>
      <w:r w:rsidRPr="00F163C7">
        <w:t>1.</w:t>
      </w:r>
      <w:r w:rsidRPr="00F163C7">
        <w:tab/>
      </w:r>
      <w:r w:rsidR="00A40226" w:rsidRPr="00A40226">
        <w:t xml:space="preserve">Одним из важных отраслевых соглашений ЕЭК ООН, географический охват которых выходит за пределы континентальной Европы, является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w:t>
      </w:r>
    </w:p>
    <w:p w:rsidR="00A40226" w:rsidRPr="00A40226" w:rsidRDefault="003378EA" w:rsidP="00A40226">
      <w:pPr>
        <w:pStyle w:val="SingleTxtGR"/>
      </w:pPr>
      <w:r w:rsidRPr="00F163C7">
        <w:t>2.</w:t>
      </w:r>
      <w:r w:rsidRPr="00F163C7">
        <w:tab/>
      </w:r>
      <w:r w:rsidR="00A40226" w:rsidRPr="00A40226">
        <w:t>Деятельность по совершенствованию текста Соглашения находится в постоянном поле зрения Комитета по внутреннему транспорту ЕЭК ООН и Бюро Комитета, которые, как и все страны-участницы СПС, заинтересованы в дальнейшем повышении эффективности работы по выработке и применению согласованных правил перевозки скоропортящихся грузов.</w:t>
      </w:r>
    </w:p>
    <w:p w:rsidR="00A40226" w:rsidRPr="00A40226" w:rsidRDefault="003378EA" w:rsidP="00A40226">
      <w:pPr>
        <w:pStyle w:val="SingleTxtGR"/>
      </w:pPr>
      <w:proofErr w:type="gramStart"/>
      <w:r w:rsidRPr="00F163C7">
        <w:t>3.</w:t>
      </w:r>
      <w:r w:rsidRPr="00F163C7">
        <w:tab/>
      </w:r>
      <w:r w:rsidR="00A40226" w:rsidRPr="00A40226">
        <w:t>В</w:t>
      </w:r>
      <w:proofErr w:type="gramEnd"/>
      <w:r w:rsidR="00A40226" w:rsidRPr="00A40226">
        <w:t xml:space="preserve"> контексте подготовки к запланированной на октябрь </w:t>
      </w:r>
      <w:proofErr w:type="spellStart"/>
      <w:r w:rsidR="00A40226" w:rsidRPr="00A40226">
        <w:t>с.г</w:t>
      </w:r>
      <w:proofErr w:type="spellEnd"/>
      <w:r w:rsidR="00A40226" w:rsidRPr="00A40226">
        <w:t>. 73-й сессии профильной Рабочей группы (РГ.11) Министерство транспорта Российской Федерации считает целесообразным высказать ряд соображений, касающихся путей развития работы в рамках КВТ ЕЭК ООН по данному вопросу.</w:t>
      </w:r>
    </w:p>
    <w:p w:rsidR="00A40226" w:rsidRPr="00A40226" w:rsidRDefault="003378EA" w:rsidP="00A40226">
      <w:pPr>
        <w:pStyle w:val="SingleTxtGR"/>
      </w:pPr>
      <w:r w:rsidRPr="00F163C7">
        <w:t>4.</w:t>
      </w:r>
      <w:r w:rsidRPr="00F163C7">
        <w:tab/>
      </w:r>
      <w:r w:rsidR="00A40226" w:rsidRPr="00A40226">
        <w:t xml:space="preserve">Как известно, одним из принципиально важных вопросов является необходимость обеспечения качества и безопасности скоропортящейся </w:t>
      </w:r>
      <w:r w:rsidR="00A40226" w:rsidRPr="00A40226">
        <w:lastRenderedPageBreak/>
        <w:t>продукции и четкого определения перечня грузов, относящихся к данной категории.</w:t>
      </w:r>
    </w:p>
    <w:p w:rsidR="00A40226" w:rsidRPr="00A40226" w:rsidRDefault="003378EA" w:rsidP="00A40226">
      <w:pPr>
        <w:pStyle w:val="SingleTxtGR"/>
      </w:pPr>
      <w:r w:rsidRPr="00F163C7">
        <w:t>5.</w:t>
      </w:r>
      <w:r w:rsidRPr="00F163C7">
        <w:tab/>
      </w:r>
      <w:r w:rsidR="00A40226" w:rsidRPr="00A40226">
        <w:t>Это особенно важно, с учетом того, что данное Соглашение охватывает различные по климатическим условиям регионы от Северной Африки до Дальнего Востока.</w:t>
      </w:r>
    </w:p>
    <w:p w:rsidR="00A40226" w:rsidRPr="00A40226" w:rsidRDefault="003378EA" w:rsidP="00A40226">
      <w:pPr>
        <w:pStyle w:val="SingleTxtGR"/>
      </w:pPr>
      <w:proofErr w:type="gramStart"/>
      <w:r w:rsidRPr="00F163C7">
        <w:t>6.</w:t>
      </w:r>
      <w:r w:rsidRPr="00F163C7">
        <w:tab/>
      </w:r>
      <w:r w:rsidR="00A40226" w:rsidRPr="00A40226">
        <w:t>В</w:t>
      </w:r>
      <w:proofErr w:type="gramEnd"/>
      <w:r w:rsidR="00A40226" w:rsidRPr="00A40226">
        <w:t xml:space="preserve"> этой связи, необходимо обратить внимание на предложение российской стороны о внесении в СПС пункта, предусматривающего обеспечение сохранности качества всех перевозимых скоропортящихся пищевых продуктов, требующих поддержания в процессе перевозки установленных нормативной документацией температурных условий, а не только грузов, указанных в действующей редакции СПС. Данное предложение направлено на введение новых современных категорий специальных транспортных средств (СТС), методов и методик их испытаний, а также на увеличение перечня скоропортящихся пищевых продуктов, для перевозок которых требуется использовать СТС. </w:t>
      </w:r>
    </w:p>
    <w:p w:rsidR="00A40226" w:rsidRPr="00A40226" w:rsidRDefault="003378EA" w:rsidP="00A40226">
      <w:pPr>
        <w:pStyle w:val="SingleTxtGR"/>
      </w:pPr>
      <w:r w:rsidRPr="00F163C7">
        <w:t>7.</w:t>
      </w:r>
      <w:r w:rsidRPr="00F163C7">
        <w:tab/>
      </w:r>
      <w:r w:rsidR="00A40226" w:rsidRPr="00A40226">
        <w:t xml:space="preserve">Требует обстоятельного обсуждения проблематика взаимного признания результатов освидетельствования теплотехнических параметров контейнеров, оснащенных термоизоляцией (в том числе моделей с термическим оборудованием), а также контроля термоизоляции и термического оборудования в процессе эксплуатации контейнеров с требованиями соответствующих документов ИСО и организациями, контролирующими их исполнение. </w:t>
      </w:r>
    </w:p>
    <w:p w:rsidR="00A40226" w:rsidRPr="00A40226" w:rsidRDefault="003378EA" w:rsidP="00A40226">
      <w:pPr>
        <w:pStyle w:val="SingleTxtGR"/>
      </w:pPr>
      <w:r w:rsidRPr="00F163C7">
        <w:t>8.</w:t>
      </w:r>
      <w:r w:rsidRPr="00F163C7">
        <w:tab/>
      </w:r>
      <w:r w:rsidR="00A40226" w:rsidRPr="00A40226">
        <w:t xml:space="preserve">Как известно, Российская Федерация является участником Евразийского экономического союза, в рамках которого разрабатывается межгосударственная нормативная база выполнения перевозок различных категорий грузов, и в этой связи вопрос обсуждения норм и правил, регламентируемых СПС, а также актуализации Соглашения представляет особую значимость.  </w:t>
      </w:r>
    </w:p>
    <w:p w:rsidR="00A40226" w:rsidRPr="00A40226" w:rsidRDefault="003378EA" w:rsidP="00A40226">
      <w:pPr>
        <w:pStyle w:val="SingleTxtGR"/>
      </w:pPr>
      <w:r w:rsidRPr="00F163C7">
        <w:t>9.</w:t>
      </w:r>
      <w:r w:rsidRPr="00F163C7">
        <w:tab/>
      </w:r>
      <w:r w:rsidR="00A40226" w:rsidRPr="00A40226">
        <w:t xml:space="preserve">Перспективным вопросом для рассмотрения на заседании Рабочей группы является инициатива создания единого реестра выданных свидетельств СПС с целью подтверждения их подлинности, а также упрощения процедуры оформления новых свидетельств СПС при передаче СТС в другое государство. </w:t>
      </w:r>
    </w:p>
    <w:p w:rsidR="00A40226" w:rsidRPr="00A40226" w:rsidRDefault="003378EA" w:rsidP="00A40226">
      <w:pPr>
        <w:pStyle w:val="SingleTxtGR"/>
      </w:pPr>
      <w:r w:rsidRPr="00F163C7">
        <w:t>10.</w:t>
      </w:r>
      <w:r w:rsidRPr="00F163C7">
        <w:tab/>
      </w:r>
      <w:r w:rsidR="00A40226" w:rsidRPr="00A40226">
        <w:t>Для достижения взаимоприемлемых решений по вопросам, которые пока ещё остаются нерешёнными в контексте актуализации СПС, и привлечения к обсуждению широкого круга заинтересованных сторон, с учетом договоренностей, зафиксированных по итогам 79-й сессии Комитета по внутреннему транспорту ЕЭК ООН, необходимо отметить важность выполнения р</w:t>
      </w:r>
      <w:r w:rsidR="00A40226">
        <w:t>ешения КВТ ЕЭК ООН о проведении</w:t>
      </w:r>
      <w:r w:rsidR="00A40226" w:rsidRPr="00A40226">
        <w:t xml:space="preserve"> Круглого стола на тему различных аспектов организации и выполнения перевозок скоропортящихся пищевых продуктов. По мнению </w:t>
      </w:r>
      <w:proofErr w:type="gramStart"/>
      <w:r w:rsidR="00A40226" w:rsidRPr="00A40226">
        <w:t>Министерства транспорта Российской Федерации</w:t>
      </w:r>
      <w:proofErr w:type="gramEnd"/>
      <w:r w:rsidR="00A40226" w:rsidRPr="00A40226">
        <w:t xml:space="preserve"> это позволит придать необходимый импульс в ведущейся работе в интересах всех стран-членов.</w:t>
      </w:r>
    </w:p>
    <w:p w:rsidR="00A40226" w:rsidRPr="00A40226" w:rsidRDefault="003378EA" w:rsidP="00A40226">
      <w:pPr>
        <w:pStyle w:val="SingleTxtGR"/>
      </w:pPr>
      <w:r w:rsidRPr="00F163C7">
        <w:t>11.</w:t>
      </w:r>
      <w:r w:rsidRPr="00F163C7">
        <w:tab/>
      </w:r>
      <w:r w:rsidR="00A40226" w:rsidRPr="00A40226">
        <w:t>Одновременно предлагаем рассмотреть в рамках предстоящего заседания Рабочей группы прилагаемые предложения о перспективах развития СПС.</w:t>
      </w:r>
    </w:p>
    <w:p w:rsidR="00A40226" w:rsidRPr="00F163C7" w:rsidRDefault="003378EA" w:rsidP="00A40226">
      <w:pPr>
        <w:pStyle w:val="SingleTxtGR"/>
        <w:rPr>
          <w:lang w:val="fr-CH"/>
        </w:rPr>
      </w:pPr>
      <w:r>
        <w:rPr>
          <w:lang w:val="fr-CH"/>
        </w:rPr>
        <w:t>(</w:t>
      </w:r>
      <w:proofErr w:type="gramStart"/>
      <w:r w:rsidR="00A40226" w:rsidRPr="00A40226">
        <w:t>Приложение:</w:t>
      </w:r>
      <w:proofErr w:type="gramEnd"/>
      <w:r w:rsidR="00A40226" w:rsidRPr="00A40226">
        <w:t xml:space="preserve"> упомянутое, на 4 стр.</w:t>
      </w:r>
      <w:r>
        <w:rPr>
          <w:lang w:val="fr-CH"/>
        </w:rPr>
        <w:t>)</w:t>
      </w:r>
    </w:p>
    <w:bookmarkEnd w:id="2"/>
    <w:bookmarkEnd w:id="3"/>
    <w:p w:rsidR="00DD3C24" w:rsidRPr="0039589F" w:rsidRDefault="00095C44" w:rsidP="009873D4">
      <w:pPr>
        <w:pStyle w:val="HChGR"/>
      </w:pPr>
      <w:r>
        <w:lastRenderedPageBreak/>
        <w:tab/>
      </w:r>
      <w:r w:rsidR="00C91662">
        <w:rPr>
          <w:lang w:val="fr-CH"/>
        </w:rPr>
        <w:t>I</w:t>
      </w:r>
      <w:r w:rsidR="00F73FCF">
        <w:rPr>
          <w:lang w:val="fr-CH"/>
        </w:rPr>
        <w:t>I</w:t>
      </w:r>
      <w:r w:rsidR="00F73FCF" w:rsidRPr="003378EA">
        <w:t>.</w:t>
      </w:r>
      <w:r>
        <w:tab/>
      </w:r>
      <w:r w:rsidR="009873D4" w:rsidRPr="009873D4">
        <w:t>Справка о перспективах развития СПС</w:t>
      </w:r>
    </w:p>
    <w:p w:rsidR="00A52D9B" w:rsidRDefault="003378EA" w:rsidP="00A52D9B">
      <w:pPr>
        <w:pStyle w:val="SingleTxtGR"/>
      </w:pPr>
      <w:r w:rsidRPr="00F163C7">
        <w:t>12.</w:t>
      </w:r>
      <w:r>
        <w:tab/>
      </w:r>
      <w:r w:rsidR="00A52D9B">
        <w:t>Министерство транспорта Российской Федерации считает целесообразным рассмотреть следующие основные предложения для последующего обсуждения в целях совершенствования СПС.</w:t>
      </w:r>
    </w:p>
    <w:p w:rsidR="00A52D9B" w:rsidRPr="00F163C7" w:rsidRDefault="00A52D9B" w:rsidP="003378EA">
      <w:pPr>
        <w:pStyle w:val="SingleTxtGR"/>
        <w:ind w:left="1418"/>
        <w:rPr>
          <w:b/>
          <w:bCs/>
        </w:rPr>
      </w:pPr>
      <w:r w:rsidRPr="00F163C7">
        <w:rPr>
          <w:b/>
          <w:bCs/>
          <w:i/>
          <w:iCs/>
        </w:rPr>
        <w:t>Обеспечение сохранности качества всех перевозимых скоропортящихся пищевых продуктов, требующих поддержания в процессе перевозки установленных нормативной документацией температурных условий, а не только грузов, указанных в действующей редакции СПС.</w:t>
      </w:r>
    </w:p>
    <w:p w:rsidR="00A52D9B" w:rsidRDefault="003378EA" w:rsidP="00A52D9B">
      <w:pPr>
        <w:pStyle w:val="SingleTxtGR"/>
      </w:pPr>
      <w:r w:rsidRPr="00F163C7">
        <w:t>13.</w:t>
      </w:r>
      <w:r w:rsidRPr="00F163C7">
        <w:tab/>
      </w:r>
      <w:r w:rsidR="00A52D9B">
        <w:t>Данное предложение направлено на расширение сферы действия СПС.</w:t>
      </w:r>
    </w:p>
    <w:p w:rsidR="00A52D9B" w:rsidRDefault="003378EA" w:rsidP="00A52D9B">
      <w:pPr>
        <w:pStyle w:val="SingleTxtGR"/>
      </w:pPr>
      <w:r w:rsidRPr="00F163C7">
        <w:t>14.</w:t>
      </w:r>
      <w:r>
        <w:tab/>
      </w:r>
      <w:r w:rsidR="00A52D9B">
        <w:t>Установленные в действующей редакции СПС нормы, требования и процедуры контроля их исполнения в целом не требуют серьезных доработок, учитывая, что с момента введения СПС прошло более 45 лет, сессии WP.11 проходили за это время с периодичностью минимум один раз в год. Предлагаемые изменения и дополнения часто носят редакционный характер или отражают суверенную правовую специфику Договаривающихся сторон.</w:t>
      </w:r>
    </w:p>
    <w:p w:rsidR="00A52D9B" w:rsidRDefault="003378EA" w:rsidP="00A52D9B">
      <w:pPr>
        <w:pStyle w:val="SingleTxtGR"/>
      </w:pPr>
      <w:proofErr w:type="gramStart"/>
      <w:r w:rsidRPr="00F163C7">
        <w:t>15.</w:t>
      </w:r>
      <w:r w:rsidRPr="00F163C7">
        <w:tab/>
      </w:r>
      <w:r w:rsidR="00A52D9B">
        <w:t>По нашему мнению</w:t>
      </w:r>
      <w:proofErr w:type="gramEnd"/>
      <w:r w:rsidR="00A52D9B">
        <w:t>, под расширением сферы действия СПС следует понимать широкий круг предложений – от введения новых современных категорий СТС, методов и методик их испытаний до увеличения перечня скоропортящихся пищевых продуктов, для перевозок которых требуется использовать СТС. Следует иметь ввиду, что в повестке дня деятельности каждой рабочей группы по СПС (WP.11) всегда присутствует пункт о расширении сферы действия СПС. Руководство КВТ ЕЭК всегда призывает участников СПС действовать в указанном направлении, в том числе включать в СПС новые грузы. Однако если ситуация с введением новых СТС находит адекватный отклик у участников WP.11, то к предложениям по расширению перечня скоропортящихся пищевых продуктов, для перевозки которых должны использоваться СТС, некоторые участники WP.11 относятся отрицательно.</w:t>
      </w:r>
    </w:p>
    <w:p w:rsidR="00A52D9B" w:rsidRDefault="003378EA" w:rsidP="00A52D9B">
      <w:pPr>
        <w:pStyle w:val="SingleTxtGR"/>
      </w:pPr>
      <w:r w:rsidRPr="00F163C7">
        <w:t>16.</w:t>
      </w:r>
      <w:r>
        <w:tab/>
      </w:r>
      <w:r w:rsidR="00A52D9B">
        <w:t xml:space="preserve">Также важным моментом является установление объективных требований к температурным условиям, в которых должны транспортироваться скоропортящиеся пищевые продукты. </w:t>
      </w:r>
    </w:p>
    <w:p w:rsidR="00A52D9B" w:rsidRPr="00F163C7" w:rsidRDefault="00A52D9B" w:rsidP="003378EA">
      <w:pPr>
        <w:pStyle w:val="SingleTxtGR"/>
        <w:ind w:left="1418"/>
        <w:rPr>
          <w:b/>
          <w:bCs/>
          <w:i/>
          <w:iCs/>
        </w:rPr>
      </w:pPr>
      <w:r w:rsidRPr="00F163C7">
        <w:rPr>
          <w:b/>
          <w:bCs/>
          <w:i/>
          <w:iCs/>
        </w:rPr>
        <w:t>Приведение норм и требований СПС к условиям (климатическим, техническим), имеющим место при перевозках скоропортящихся пищевых продуктов в различных климатических зонах.</w:t>
      </w:r>
    </w:p>
    <w:p w:rsidR="00A52D9B" w:rsidRDefault="003378EA" w:rsidP="00A52D9B">
      <w:pPr>
        <w:pStyle w:val="SingleTxtGR"/>
      </w:pPr>
      <w:r w:rsidRPr="003378EA">
        <w:t>17</w:t>
      </w:r>
      <w:r w:rsidRPr="00F163C7">
        <w:t>.</w:t>
      </w:r>
      <w:r>
        <w:tab/>
      </w:r>
      <w:r w:rsidR="00A52D9B">
        <w:t xml:space="preserve">Российская Федерация проделала значительную работу по приведению норм и требований СПС к условиям, имеющим место при перевозках скоропортящихся пищевых продуктов на пространстве СНГ и ЕАЭС. По инициативе Российской Федерации в СПС введены два дополнительных класса СТС для категории отапливаемых транспортных средств, учитывающих климатические особенности указанного региона; СПС дополнен новым типом СТС, объединяющих в одном кузове холодильное и отопительное термическое оборудование с единой системой управления (во избежание лишних проверок и упрощения процедуры освидетельствования таких СТС). Планируется продолжить работу в данном направлении в части количества и места установки регистрирующих температуру приборов (приложение 2 к СПС). </w:t>
      </w:r>
    </w:p>
    <w:p w:rsidR="00A52D9B" w:rsidRPr="00F163C7" w:rsidRDefault="00A52D9B" w:rsidP="003378EA">
      <w:pPr>
        <w:pStyle w:val="SingleTxtGR"/>
        <w:ind w:left="1418"/>
        <w:rPr>
          <w:b/>
          <w:bCs/>
          <w:i/>
          <w:iCs/>
        </w:rPr>
      </w:pPr>
      <w:r w:rsidRPr="00F163C7">
        <w:rPr>
          <w:b/>
          <w:bCs/>
          <w:i/>
          <w:iCs/>
        </w:rPr>
        <w:t>Недопустимость различий в толковании статей и приложений СПС участниками Соглашения, национальными и международными организациями.</w:t>
      </w:r>
    </w:p>
    <w:p w:rsidR="00A52D9B" w:rsidRDefault="003378EA" w:rsidP="00A52D9B">
      <w:pPr>
        <w:pStyle w:val="SingleTxtGR"/>
      </w:pPr>
      <w:r w:rsidRPr="00F163C7">
        <w:lastRenderedPageBreak/>
        <w:t>18.</w:t>
      </w:r>
      <w:r>
        <w:tab/>
      </w:r>
      <w:r w:rsidR="00A52D9B">
        <w:t xml:space="preserve"> СПС должен отвечать тем целям и задачам, которые вынесены в его преамбулу, не допуская их недобросовестного выполнения вследствие различий в трактовке.</w:t>
      </w:r>
    </w:p>
    <w:p w:rsidR="00A52D9B" w:rsidRDefault="003378EA" w:rsidP="00A52D9B">
      <w:pPr>
        <w:pStyle w:val="SingleTxtGR"/>
      </w:pPr>
      <w:r w:rsidRPr="00F163C7">
        <w:t>19.</w:t>
      </w:r>
      <w:r w:rsidRPr="00F163C7">
        <w:tab/>
      </w:r>
      <w:r w:rsidR="00A52D9B">
        <w:t>Для этого СПС должно содержать определения используемым в нем терминам и, прежде всего, определение термину «скоропортящиеся пищевые продукты».</w:t>
      </w:r>
    </w:p>
    <w:p w:rsidR="00A52D9B" w:rsidRDefault="003378EA" w:rsidP="00A52D9B">
      <w:pPr>
        <w:pStyle w:val="SingleTxtGR"/>
      </w:pPr>
      <w:r w:rsidRPr="00F163C7">
        <w:t>20.</w:t>
      </w:r>
      <w:r w:rsidRPr="00F163C7">
        <w:tab/>
      </w:r>
      <w:r w:rsidR="00A52D9B">
        <w:t xml:space="preserve">Также следует четко определить, что понимается под качеством и безопасностью при перевозках скоропортящихся пищевых продуктов во избежание субъективных спекуляций, имеющих целью не допустить расширение сферы действия СПС. </w:t>
      </w:r>
    </w:p>
    <w:p w:rsidR="00A52D9B" w:rsidRDefault="003378EA" w:rsidP="00A52D9B">
      <w:pPr>
        <w:pStyle w:val="SingleTxtGR"/>
      </w:pPr>
      <w:proofErr w:type="gramStart"/>
      <w:r w:rsidRPr="00F163C7">
        <w:t>21.</w:t>
      </w:r>
      <w:r>
        <w:tab/>
      </w:r>
      <w:r w:rsidR="00A52D9B">
        <w:t>В</w:t>
      </w:r>
      <w:proofErr w:type="gramEnd"/>
      <w:r w:rsidR="00A52D9B">
        <w:t xml:space="preserve"> этой связи принятию многих предложений, направленных на обеспечение сохранности качества скоропортящихся пищевых продуктов при перевозках, препятствует именно развернувшаяся в последние годы дискуссия между сторонниками «качества» и сторонниками «безопасности». </w:t>
      </w:r>
    </w:p>
    <w:p w:rsidR="00A52D9B" w:rsidRDefault="003378EA" w:rsidP="00A52D9B">
      <w:pPr>
        <w:pStyle w:val="SingleTxtGR"/>
      </w:pPr>
      <w:r w:rsidRPr="00F163C7">
        <w:t>22.</w:t>
      </w:r>
      <w:r w:rsidRPr="00F163C7">
        <w:tab/>
      </w:r>
      <w:r w:rsidR="00A52D9B">
        <w:t>Позиция Российской Федерации, основанная на анализе соответствующих научных источников, нормативных и правовых актов заключается в следующем:</w:t>
      </w:r>
    </w:p>
    <w:p w:rsidR="00A52D9B" w:rsidRPr="00A52D9B" w:rsidRDefault="00A52D9B" w:rsidP="00A52D9B">
      <w:pPr>
        <w:pStyle w:val="SingleTxtGR"/>
        <w:ind w:firstLine="567"/>
      </w:pPr>
      <w:r w:rsidRPr="003378EA">
        <w:t>(</w:t>
      </w:r>
      <w:r>
        <w:rPr>
          <w:lang w:val="fr-CH"/>
        </w:rPr>
        <w:t>a</w:t>
      </w:r>
      <w:r w:rsidRPr="003378EA">
        <w:t>)</w:t>
      </w:r>
      <w:r>
        <w:tab/>
      </w:r>
      <w:r w:rsidRPr="00A52D9B">
        <w:t>качество и безопасность пищевых продуктов неразрывно связаны;</w:t>
      </w:r>
    </w:p>
    <w:p w:rsidR="00A52D9B" w:rsidRPr="00A52D9B" w:rsidRDefault="00A52D9B" w:rsidP="003378EA">
      <w:pPr>
        <w:pStyle w:val="SingleTxtGR"/>
        <w:ind w:left="2268" w:hanging="567"/>
      </w:pPr>
      <w:r w:rsidRPr="003378EA">
        <w:t>(</w:t>
      </w:r>
      <w:r>
        <w:rPr>
          <w:lang w:val="fr-CH"/>
        </w:rPr>
        <w:t>b</w:t>
      </w:r>
      <w:r w:rsidRPr="003378EA">
        <w:t>)</w:t>
      </w:r>
      <w:r w:rsidRPr="00A52D9B">
        <w:tab/>
        <w:t>при порче (потере качества) пищевые продукты могут не только потерять или ухудшить свои свойства, но могут стать опасными для человека в результате развития патогенной (болезнетворной) бактериальной флоры;</w:t>
      </w:r>
    </w:p>
    <w:p w:rsidR="00A52D9B" w:rsidRPr="00A52D9B" w:rsidRDefault="00A52D9B" w:rsidP="00A52D9B">
      <w:pPr>
        <w:pStyle w:val="SingleTxtGR"/>
        <w:ind w:firstLine="567"/>
      </w:pPr>
      <w:r w:rsidRPr="003378EA">
        <w:t>(</w:t>
      </w:r>
      <w:r>
        <w:rPr>
          <w:lang w:val="fr-CH"/>
        </w:rPr>
        <w:t>c</w:t>
      </w:r>
      <w:r w:rsidRPr="003378EA">
        <w:t>)</w:t>
      </w:r>
      <w:r w:rsidRPr="00A52D9B">
        <w:tab/>
        <w:t>не существует безопасности без сохранения качества;</w:t>
      </w:r>
    </w:p>
    <w:p w:rsidR="00A52D9B" w:rsidRPr="00A52D9B" w:rsidRDefault="00A52D9B" w:rsidP="00F163C7">
      <w:pPr>
        <w:pStyle w:val="SingleTxtGR"/>
        <w:ind w:left="2268" w:hanging="567"/>
      </w:pPr>
      <w:r w:rsidRPr="003378EA">
        <w:t>(</w:t>
      </w:r>
      <w:r>
        <w:rPr>
          <w:lang w:val="fr-CH"/>
        </w:rPr>
        <w:t>d</w:t>
      </w:r>
      <w:r w:rsidRPr="003378EA">
        <w:t>)</w:t>
      </w:r>
      <w:r w:rsidRPr="00A52D9B">
        <w:tab/>
        <w:t>«качество» и «безопасность» – единый блок пусть и самостоятельных терминов.</w:t>
      </w:r>
    </w:p>
    <w:p w:rsidR="00A52D9B" w:rsidRDefault="003378EA" w:rsidP="00A52D9B">
      <w:pPr>
        <w:pStyle w:val="SingleTxtGR"/>
      </w:pPr>
      <w:r w:rsidRPr="00F163C7">
        <w:t>23.</w:t>
      </w:r>
      <w:r>
        <w:tab/>
      </w:r>
      <w:r w:rsidR="00A52D9B">
        <w:t xml:space="preserve"> СПС должен регламентировать методы контроля всех содержащихся в нем норм и требований. Так, определение значения общего коэффициента теплопередачи кузова СТС должно, в соответствии с СПС, устанавливаться с определенной точностью. Но в СПС отсутствуют методы установления этой точности и способы отражения ее расчетов в итоговых документах (например, в виде приложения к протоколу соответствующих испытаний). Необходимо в процессе практической работы по исполнению требований СПС постоянно выявлять подобные моменты и дополнять СПС и/или Справочник СПС соответствующими дополнениями и комментариями. Работа в данном направлении создает фундамент высокой степени взаимного доверия и признания результатов освидетельствования СТС всеми участниками транспортного процесса.</w:t>
      </w:r>
    </w:p>
    <w:p w:rsidR="00A52D9B" w:rsidRPr="00F163C7" w:rsidRDefault="00A52D9B" w:rsidP="00F163C7">
      <w:pPr>
        <w:pStyle w:val="SingleTxtGR"/>
        <w:ind w:left="1418"/>
        <w:rPr>
          <w:b/>
          <w:bCs/>
          <w:i/>
          <w:iCs/>
        </w:rPr>
      </w:pPr>
      <w:r w:rsidRPr="00F163C7">
        <w:rPr>
          <w:b/>
          <w:bCs/>
          <w:i/>
          <w:iCs/>
        </w:rPr>
        <w:t>Упрощение использования СПС и повышение контроля за исполнением его требований.</w:t>
      </w:r>
    </w:p>
    <w:p w:rsidR="00A52D9B" w:rsidRDefault="003378EA" w:rsidP="00A52D9B">
      <w:pPr>
        <w:pStyle w:val="SingleTxtGR"/>
      </w:pPr>
      <w:r w:rsidRPr="00F163C7">
        <w:t>24.</w:t>
      </w:r>
      <w:r w:rsidRPr="00F163C7">
        <w:tab/>
      </w:r>
      <w:r w:rsidR="00A52D9B">
        <w:t xml:space="preserve">СПС не единственная система, устанавливающая требования к теплотехническим параметрам специализированных транспортных средств, предназначенных для перевозок скоропортящихся пищевых продуктов. В частности, схожие требования выдвигают стандарты ИСО применительно к термическим контейнерам. Однако процедура испытаний транспортных средств, прописанная в ИСО, отличается от процедуры испытаний транспортных средств на соответствие требованиям СПС. Требования в стандартах ИСО менее строгие, поэтому в связи с этим считаем недопустимым признавать результаты испытаний теплотехнических параметров в </w:t>
      </w:r>
      <w:r w:rsidR="00A52D9B">
        <w:lastRenderedPageBreak/>
        <w:t xml:space="preserve">соответствии с ИСО идентичным испытаниям на соответствие требованиям СПС. </w:t>
      </w:r>
    </w:p>
    <w:p w:rsidR="00A52D9B" w:rsidRDefault="003378EA" w:rsidP="00A52D9B">
      <w:pPr>
        <w:pStyle w:val="SingleTxtGR"/>
      </w:pPr>
      <w:r w:rsidRPr="00F163C7">
        <w:t>25.</w:t>
      </w:r>
      <w:r w:rsidRPr="00F163C7">
        <w:tab/>
      </w:r>
      <w:r w:rsidR="00A52D9B">
        <w:t>Работа по указанной проблеме многоэтапная и включает анализ действующих систем контроля и освидетельствования теплотехнических параметров различных транспортных средств, предназначенных для перевозок скоропортящихся пищевых продуктов, установление границ возможного взаимного признания, принятие соответствующих юридических документов. Целью этой работы является упрощение использования СТС при перевозках различными видами транспорта, а также устранение чрезмерной финансовой нагрузки, связанной с оплатой прохождения соответствующего освидетельствования в нескольких системах, предъявляющих аналогичные требования (например, СПС и ИСО в части теплотехнических параметров контейнеров).</w:t>
      </w:r>
    </w:p>
    <w:p w:rsidR="00DD3C24" w:rsidRPr="0039589F" w:rsidRDefault="003378EA" w:rsidP="00A52D9B">
      <w:pPr>
        <w:pStyle w:val="SingleTxtGR"/>
      </w:pPr>
      <w:r w:rsidRPr="00F163C7">
        <w:t>26.</w:t>
      </w:r>
      <w:r>
        <w:tab/>
      </w:r>
      <w:r w:rsidR="00A52D9B">
        <w:t xml:space="preserve">Считаем целесообразным предложить для рассмотрения на заседании Рабочей группы вопрос о необходимости создания единого реестра выданных свидетельств СПС с целью решения проблем с их подделкой, неправомерным использованием, а также упрощением процедуры оформления новых свидетельств СПС при передаче СТС в другое государство. Общий характер данного реестра должен устанавливать возможность равного доступа и контроля за любыми изменениями реестра со стороны любого участника рынка транспортных услуг и компетентных органов. В случае реализации данного предложения с использованием решений, базирующихся, к примеру, на технологии </w:t>
      </w:r>
      <w:proofErr w:type="spellStart"/>
      <w:r w:rsidR="00A52D9B">
        <w:t>блокчейн</w:t>
      </w:r>
      <w:proofErr w:type="spellEnd"/>
      <w:r w:rsidR="00A52D9B">
        <w:t xml:space="preserve"> (англ. </w:t>
      </w:r>
      <w:proofErr w:type="spellStart"/>
      <w:r w:rsidR="00A52D9B">
        <w:t>blockchain</w:t>
      </w:r>
      <w:proofErr w:type="spellEnd"/>
      <w:r w:rsidR="00A52D9B">
        <w:t>), любой участник транспортного рынка получает возможность отслеживать и контролировать состояние любого СТС, что выводит контроль на недостижимый прежде уровень. Российская Федерация на очередном заседании Рабочей группы может предложить предварительное обсуждение целесообразности создания подобного реестра и его технического исполнения, учитывающего интересы всех участников рынка и СПС.</w:t>
      </w:r>
    </w:p>
    <w:p w:rsidR="00FA129D" w:rsidRDefault="00DD3C24" w:rsidP="001D5995">
      <w:pPr>
        <w:suppressAutoHyphens/>
        <w:ind w:left="1134" w:right="1134"/>
        <w:jc w:val="center"/>
        <w:rPr>
          <w:u w:val="single"/>
        </w:rPr>
      </w:pPr>
      <w:r>
        <w:rPr>
          <w:u w:val="single"/>
        </w:rPr>
        <w:tab/>
      </w:r>
      <w:r>
        <w:rPr>
          <w:u w:val="single"/>
        </w:rPr>
        <w:tab/>
      </w:r>
      <w:r>
        <w:rPr>
          <w:u w:val="single"/>
        </w:rPr>
        <w:tab/>
      </w:r>
    </w:p>
    <w:sectPr w:rsidR="00FA129D" w:rsidSect="00C44FE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24" w:rsidRDefault="00DD3C24">
      <w:r>
        <w:rPr>
          <w:lang w:val="en-US"/>
        </w:rPr>
        <w:tab/>
      </w:r>
      <w:r>
        <w:separator/>
      </w:r>
    </w:p>
  </w:endnote>
  <w:endnote w:type="continuationSeparator" w:id="0">
    <w:p w:rsidR="00DD3C24" w:rsidRDefault="00D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7815"/>
      <w:docPartObj>
        <w:docPartGallery w:val="Page Numbers (Bottom of Page)"/>
        <w:docPartUnique/>
      </w:docPartObj>
    </w:sdtPr>
    <w:sdtEndPr>
      <w:rPr>
        <w:noProof/>
      </w:rPr>
    </w:sdtEndPr>
    <w:sdtContent>
      <w:p w:rsidR="008B6EC2" w:rsidRDefault="00FA129D">
        <w:pPr>
          <w:pStyle w:val="Footer"/>
        </w:pPr>
        <w:r w:rsidRPr="00DA478A">
          <w:rPr>
            <w:b/>
            <w:bCs/>
            <w:sz w:val="18"/>
          </w:rPr>
          <w:fldChar w:fldCharType="begin"/>
        </w:r>
        <w:r w:rsidRPr="00DA478A">
          <w:rPr>
            <w:b/>
            <w:bCs/>
            <w:sz w:val="18"/>
          </w:rPr>
          <w:instrText xml:space="preserve"> PAGE  \* MERGEFORMAT </w:instrText>
        </w:r>
        <w:r w:rsidRPr="00DA478A">
          <w:rPr>
            <w:b/>
            <w:bCs/>
            <w:sz w:val="18"/>
          </w:rPr>
          <w:fldChar w:fldCharType="separate"/>
        </w:r>
        <w:r w:rsidR="003F1623">
          <w:rPr>
            <w:b/>
            <w:bCs/>
            <w:noProof/>
            <w:sz w:val="18"/>
          </w:rPr>
          <w:t>2</w:t>
        </w:r>
        <w:r w:rsidRPr="00DA478A">
          <w:rPr>
            <w:b/>
            <w:bCs/>
            <w:sz w:val="18"/>
          </w:rPr>
          <w:fldChar w:fldCharType="end"/>
        </w:r>
        <w:r>
          <w:rPr>
            <w:sz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63047"/>
      <w:docPartObj>
        <w:docPartGallery w:val="Page Numbers (Bottom of Page)"/>
        <w:docPartUnique/>
      </w:docPartObj>
    </w:sdtPr>
    <w:sdtEndPr>
      <w:rPr>
        <w:b/>
        <w:bCs/>
        <w:noProof/>
        <w:sz w:val="18"/>
        <w:szCs w:val="18"/>
      </w:rPr>
    </w:sdtEndPr>
    <w:sdtContent>
      <w:p w:rsidR="006E1D01" w:rsidRPr="00DA478A" w:rsidRDefault="006E1D01">
        <w:pPr>
          <w:pStyle w:val="Footer"/>
          <w:jc w:val="right"/>
          <w:rPr>
            <w:b/>
            <w:bCs/>
            <w:sz w:val="18"/>
            <w:szCs w:val="18"/>
          </w:rPr>
        </w:pPr>
        <w:r w:rsidRPr="00DA478A">
          <w:rPr>
            <w:b/>
            <w:bCs/>
            <w:sz w:val="18"/>
            <w:szCs w:val="18"/>
          </w:rPr>
          <w:fldChar w:fldCharType="begin"/>
        </w:r>
        <w:r w:rsidRPr="00DA478A">
          <w:rPr>
            <w:b/>
            <w:bCs/>
            <w:sz w:val="18"/>
            <w:szCs w:val="18"/>
          </w:rPr>
          <w:instrText xml:space="preserve"> PAGE   \* MERGEFORMAT </w:instrText>
        </w:r>
        <w:r w:rsidRPr="00DA478A">
          <w:rPr>
            <w:b/>
            <w:bCs/>
            <w:sz w:val="18"/>
            <w:szCs w:val="18"/>
          </w:rPr>
          <w:fldChar w:fldCharType="separate"/>
        </w:r>
        <w:r w:rsidR="003F1623">
          <w:rPr>
            <w:b/>
            <w:bCs/>
            <w:noProof/>
            <w:sz w:val="18"/>
            <w:szCs w:val="18"/>
          </w:rPr>
          <w:t>3</w:t>
        </w:r>
        <w:r w:rsidRPr="00DA478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81" w:rsidRPr="00081485" w:rsidRDefault="00266E81" w:rsidP="000A2596">
    <w:pPr>
      <w:pStyle w:val="Footer"/>
      <w:tabs>
        <w:tab w:val="clear" w:pos="9639"/>
        <w:tab w:val="right" w:pos="9617"/>
      </w:tabs>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24" w:rsidRPr="00F5542C" w:rsidRDefault="00DD3C24" w:rsidP="00F5542C">
      <w:pPr>
        <w:tabs>
          <w:tab w:val="left" w:pos="2155"/>
        </w:tabs>
        <w:spacing w:after="80"/>
        <w:ind w:left="680"/>
        <w:rPr>
          <w:u w:val="single"/>
          <w:lang w:val="en-US"/>
        </w:rPr>
      </w:pPr>
      <w:r w:rsidRPr="00F5542C">
        <w:rPr>
          <w:u w:val="single"/>
          <w:lang w:val="en-US"/>
        </w:rPr>
        <w:tab/>
      </w:r>
    </w:p>
  </w:footnote>
  <w:footnote w:type="continuationSeparator" w:id="0">
    <w:p w:rsidR="00DD3C24" w:rsidRPr="00C960A3" w:rsidRDefault="00DD3C24" w:rsidP="00C960A3">
      <w:pPr>
        <w:tabs>
          <w:tab w:val="left" w:pos="2155"/>
        </w:tabs>
        <w:spacing w:after="80"/>
        <w:ind w:left="680"/>
        <w:rPr>
          <w:u w:val="single"/>
        </w:rPr>
      </w:pPr>
      <w:r w:rsidRPr="00C960A3">
        <w:rPr>
          <w:u w:val="single"/>
          <w:lang w:val="en-US"/>
        </w:rPr>
        <w:tab/>
      </w:r>
    </w:p>
  </w:footnote>
  <w:footnote w:id="1">
    <w:p w:rsidR="00C91662" w:rsidRPr="00C91662" w:rsidRDefault="00C91662" w:rsidP="00C91662">
      <w:pPr>
        <w:pStyle w:val="FootnoteText"/>
        <w:widowControl w:val="0"/>
        <w:tabs>
          <w:tab w:val="clear" w:pos="1021"/>
          <w:tab w:val="right" w:pos="1020"/>
        </w:tabs>
        <w:suppressAutoHyphens/>
        <w:rPr>
          <w:lang w:val="fr-CH"/>
        </w:rPr>
      </w:pPr>
      <w:r>
        <w:tab/>
      </w:r>
      <w:r>
        <w:rPr>
          <w:rStyle w:val="FootnoteReference"/>
        </w:rPr>
        <w:footnoteRef/>
      </w:r>
      <w:r>
        <w:tab/>
        <w:t xml:space="preserve"> </w:t>
      </w:r>
      <w:r w:rsidRPr="00C91662">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01" w:rsidRPr="006E1D01" w:rsidRDefault="006E1D01">
    <w:pPr>
      <w:pStyle w:val="Header"/>
      <w:rPr>
        <w:lang w:val="fr-CH"/>
      </w:rPr>
    </w:pPr>
    <w:r>
      <w:rPr>
        <w:lang w:val="fr-CH"/>
      </w:rPr>
      <w:t>ECE/TRANS/WP.11/201</w:t>
    </w:r>
    <w:r w:rsidR="00DA478A">
      <w:rPr>
        <w:lang w:val="fr-CH"/>
      </w:rPr>
      <w:t>8</w:t>
    </w:r>
    <w:r>
      <w:rPr>
        <w:lang w:val="fr-CH"/>
      </w:rPr>
      <w:t>/</w:t>
    </w:r>
    <w:r w:rsidR="00A52D9B">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C2" w:rsidRPr="008B6EC2" w:rsidRDefault="00FA129D" w:rsidP="00FA129D">
    <w:pPr>
      <w:pStyle w:val="Header"/>
      <w:jc w:val="right"/>
      <w:rPr>
        <w:lang w:val="fr-CH"/>
      </w:rPr>
    </w:pPr>
    <w:r>
      <w:rPr>
        <w:lang w:val="fr-CH"/>
      </w:rPr>
      <w:t>ECE/TRANS/WP.11/201</w:t>
    </w:r>
    <w:r w:rsidR="00DA478A">
      <w:rPr>
        <w:lang w:val="fr-CH"/>
      </w:rPr>
      <w:t>8</w:t>
    </w:r>
    <w:r>
      <w:rPr>
        <w:lang w:val="fr-CH"/>
      </w:rPr>
      <w:t>/</w:t>
    </w:r>
    <w:r w:rsidR="00A52D9B">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3"/>
  </w:num>
  <w:num w:numId="19">
    <w:abstractNumId w:val="14"/>
  </w:num>
  <w:num w:numId="20">
    <w:abstractNumId w:val="1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6"/>
  </w:num>
  <w:num w:numId="34">
    <w:abstractNumId w:val="13"/>
  </w:num>
  <w:num w:numId="35">
    <w:abstractNumId w:val="14"/>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4"/>
    <w:rsid w:val="00005C1C"/>
    <w:rsid w:val="000233B3"/>
    <w:rsid w:val="00023DD0"/>
    <w:rsid w:val="0004010A"/>
    <w:rsid w:val="00043D88"/>
    <w:rsid w:val="0006401A"/>
    <w:rsid w:val="000748C1"/>
    <w:rsid w:val="00081485"/>
    <w:rsid w:val="000847BD"/>
    <w:rsid w:val="00085128"/>
    <w:rsid w:val="00090891"/>
    <w:rsid w:val="00095C44"/>
    <w:rsid w:val="00097975"/>
    <w:rsid w:val="000A2596"/>
    <w:rsid w:val="000F5A53"/>
    <w:rsid w:val="001102B6"/>
    <w:rsid w:val="00117AEE"/>
    <w:rsid w:val="0012767C"/>
    <w:rsid w:val="0015769C"/>
    <w:rsid w:val="00180513"/>
    <w:rsid w:val="00190231"/>
    <w:rsid w:val="00192175"/>
    <w:rsid w:val="001A7D40"/>
    <w:rsid w:val="001B6807"/>
    <w:rsid w:val="001C2108"/>
    <w:rsid w:val="001D07F7"/>
    <w:rsid w:val="001D5995"/>
    <w:rsid w:val="001E60B9"/>
    <w:rsid w:val="001E65D9"/>
    <w:rsid w:val="002019BD"/>
    <w:rsid w:val="00244EAB"/>
    <w:rsid w:val="00266E81"/>
    <w:rsid w:val="0027199D"/>
    <w:rsid w:val="002739FB"/>
    <w:rsid w:val="00284644"/>
    <w:rsid w:val="0028492B"/>
    <w:rsid w:val="002A1D1D"/>
    <w:rsid w:val="002B329F"/>
    <w:rsid w:val="002C6A71"/>
    <w:rsid w:val="002D15EA"/>
    <w:rsid w:val="002E0CE6"/>
    <w:rsid w:val="00313F7D"/>
    <w:rsid w:val="0031437F"/>
    <w:rsid w:val="00332891"/>
    <w:rsid w:val="003378EA"/>
    <w:rsid w:val="00360477"/>
    <w:rsid w:val="003951D3"/>
    <w:rsid w:val="003978C6"/>
    <w:rsid w:val="003B40A9"/>
    <w:rsid w:val="003C016E"/>
    <w:rsid w:val="003F1623"/>
    <w:rsid w:val="004019C3"/>
    <w:rsid w:val="00403234"/>
    <w:rsid w:val="0040414D"/>
    <w:rsid w:val="00445B7C"/>
    <w:rsid w:val="00446DCB"/>
    <w:rsid w:val="004525F5"/>
    <w:rsid w:val="0048244D"/>
    <w:rsid w:val="004878DB"/>
    <w:rsid w:val="004A0DE8"/>
    <w:rsid w:val="004D0734"/>
    <w:rsid w:val="004E6729"/>
    <w:rsid w:val="004F4A7F"/>
    <w:rsid w:val="0051339C"/>
    <w:rsid w:val="0051412F"/>
    <w:rsid w:val="00515D05"/>
    <w:rsid w:val="005276AD"/>
    <w:rsid w:val="00530007"/>
    <w:rsid w:val="00584828"/>
    <w:rsid w:val="005B1B28"/>
    <w:rsid w:val="005C678A"/>
    <w:rsid w:val="005E4F59"/>
    <w:rsid w:val="005F3E04"/>
    <w:rsid w:val="00604E4D"/>
    <w:rsid w:val="006115AA"/>
    <w:rsid w:val="00611AFA"/>
    <w:rsid w:val="00632B65"/>
    <w:rsid w:val="00635E86"/>
    <w:rsid w:val="0065427C"/>
    <w:rsid w:val="00694C37"/>
    <w:rsid w:val="006C2F45"/>
    <w:rsid w:val="006E1D01"/>
    <w:rsid w:val="006E7183"/>
    <w:rsid w:val="006F1996"/>
    <w:rsid w:val="00735BA8"/>
    <w:rsid w:val="007442BE"/>
    <w:rsid w:val="0074530B"/>
    <w:rsid w:val="0075279B"/>
    <w:rsid w:val="00753748"/>
    <w:rsid w:val="00766637"/>
    <w:rsid w:val="007D493D"/>
    <w:rsid w:val="007E38C3"/>
    <w:rsid w:val="007E549E"/>
    <w:rsid w:val="007E71C9"/>
    <w:rsid w:val="0082208A"/>
    <w:rsid w:val="008305D7"/>
    <w:rsid w:val="00857F20"/>
    <w:rsid w:val="00870366"/>
    <w:rsid w:val="008727A1"/>
    <w:rsid w:val="00891C08"/>
    <w:rsid w:val="008A5FA8"/>
    <w:rsid w:val="008A7E23"/>
    <w:rsid w:val="008B6EC2"/>
    <w:rsid w:val="008F1E55"/>
    <w:rsid w:val="00962CAE"/>
    <w:rsid w:val="00964EEA"/>
    <w:rsid w:val="00966A00"/>
    <w:rsid w:val="009873D4"/>
    <w:rsid w:val="00993668"/>
    <w:rsid w:val="009A1446"/>
    <w:rsid w:val="009C30BB"/>
    <w:rsid w:val="009E6AAE"/>
    <w:rsid w:val="009F00A6"/>
    <w:rsid w:val="00A05D51"/>
    <w:rsid w:val="00A2446A"/>
    <w:rsid w:val="00A2454C"/>
    <w:rsid w:val="00A40226"/>
    <w:rsid w:val="00A52D9B"/>
    <w:rsid w:val="00A820BB"/>
    <w:rsid w:val="00A83FA3"/>
    <w:rsid w:val="00AB5BF0"/>
    <w:rsid w:val="00AD52F7"/>
    <w:rsid w:val="00B14EF2"/>
    <w:rsid w:val="00B15891"/>
    <w:rsid w:val="00B55EEF"/>
    <w:rsid w:val="00B614FD"/>
    <w:rsid w:val="00BB1AF9"/>
    <w:rsid w:val="00BB55D7"/>
    <w:rsid w:val="00BD3CAE"/>
    <w:rsid w:val="00C037E9"/>
    <w:rsid w:val="00C03CA2"/>
    <w:rsid w:val="00C065D3"/>
    <w:rsid w:val="00C20D2F"/>
    <w:rsid w:val="00C27435"/>
    <w:rsid w:val="00C373B1"/>
    <w:rsid w:val="00C41BBC"/>
    <w:rsid w:val="00C44FEF"/>
    <w:rsid w:val="00C67731"/>
    <w:rsid w:val="00C75CB2"/>
    <w:rsid w:val="00C807EC"/>
    <w:rsid w:val="00C90476"/>
    <w:rsid w:val="00C91662"/>
    <w:rsid w:val="00C92A84"/>
    <w:rsid w:val="00C960A3"/>
    <w:rsid w:val="00CA609E"/>
    <w:rsid w:val="00CC7ED4"/>
    <w:rsid w:val="00CE3D6F"/>
    <w:rsid w:val="00CF320B"/>
    <w:rsid w:val="00D00E89"/>
    <w:rsid w:val="00D01358"/>
    <w:rsid w:val="00D02797"/>
    <w:rsid w:val="00D7550F"/>
    <w:rsid w:val="00D800D0"/>
    <w:rsid w:val="00D802E3"/>
    <w:rsid w:val="00DA478A"/>
    <w:rsid w:val="00DA5686"/>
    <w:rsid w:val="00DD3C24"/>
    <w:rsid w:val="00DF18FA"/>
    <w:rsid w:val="00DF49CA"/>
    <w:rsid w:val="00E007F3"/>
    <w:rsid w:val="00E03C1F"/>
    <w:rsid w:val="00E051CA"/>
    <w:rsid w:val="00E11679"/>
    <w:rsid w:val="00E30A99"/>
    <w:rsid w:val="00E37BFE"/>
    <w:rsid w:val="00E46A04"/>
    <w:rsid w:val="00E517EB"/>
    <w:rsid w:val="00EB4419"/>
    <w:rsid w:val="00EC6B9F"/>
    <w:rsid w:val="00F12C64"/>
    <w:rsid w:val="00F163C7"/>
    <w:rsid w:val="00F2476C"/>
    <w:rsid w:val="00F2792C"/>
    <w:rsid w:val="00F5542C"/>
    <w:rsid w:val="00F71F63"/>
    <w:rsid w:val="00F73FCF"/>
    <w:rsid w:val="00F87506"/>
    <w:rsid w:val="00FA129D"/>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125BF"/>
  <w15:docId w15:val="{B26E1BE8-EB44-4C91-B819-77DC2F2C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rsid w:val="00BB55D7"/>
    <w:pPr>
      <w:pBdr>
        <w:bottom w:val="single" w:sz="4" w:space="4" w:color="auto"/>
      </w:pBdr>
      <w:tabs>
        <w:tab w:val="right" w:pos="9639"/>
      </w:tabs>
      <w:spacing w:line="240" w:lineRule="auto"/>
    </w:pPr>
    <w:rPr>
      <w:b/>
      <w:sz w:val="18"/>
      <w:lang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uiPriority w:val="99"/>
    <w:rsid w:val="00BB55D7"/>
    <w:pPr>
      <w:tabs>
        <w:tab w:val="right" w:pos="9639"/>
      </w:tabs>
      <w:spacing w:line="240" w:lineRule="auto"/>
    </w:pPr>
    <w:rPr>
      <w:sz w:val="16"/>
      <w:lang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rsid w:val="00BB55D7"/>
    <w:pPr>
      <w:tabs>
        <w:tab w:val="right" w:pos="1021"/>
      </w:tabs>
      <w:spacing w:line="220" w:lineRule="exact"/>
      <w:ind w:left="1134" w:right="1134" w:hanging="1134"/>
    </w:pPr>
    <w:rPr>
      <w:sz w:val="18"/>
      <w:szCs w:val="20"/>
      <w:lang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semiHidden/>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paragraph" w:customStyle="1" w:styleId="a">
    <w:name w:val="Представлено кем"/>
    <w:basedOn w:val="Normal"/>
    <w:qFormat/>
    <w:rsid w:val="00DD3C24"/>
    <w:pPr>
      <w:spacing w:after="120" w:line="240" w:lineRule="auto"/>
      <w:jc w:val="center"/>
    </w:pPr>
    <w:rPr>
      <w:rFonts w:eastAsia="Calibri"/>
      <w:b/>
      <w:spacing w:val="0"/>
      <w:w w:val="100"/>
      <w:kern w:val="0"/>
      <w:sz w:val="28"/>
      <w:szCs w:val="22"/>
    </w:rPr>
  </w:style>
  <w:style w:type="paragraph" w:customStyle="1" w:styleId="a0">
    <w:name w:val="Резюме"/>
    <w:basedOn w:val="Normal"/>
    <w:qFormat/>
    <w:rsid w:val="00DD3C24"/>
    <w:pPr>
      <w:spacing w:line="240" w:lineRule="auto"/>
      <w:jc w:val="center"/>
    </w:pPr>
    <w:rPr>
      <w:b/>
      <w:caps/>
      <w:spacing w:val="0"/>
      <w:w w:val="100"/>
      <w:kern w:val="0"/>
      <w:sz w:val="24"/>
    </w:rPr>
  </w:style>
  <w:style w:type="paragraph" w:customStyle="1" w:styleId="a1">
    <w:name w:val="Резюме: разделы"/>
    <w:basedOn w:val="Normal"/>
    <w:qFormat/>
    <w:rsid w:val="00DD3C24"/>
    <w:pPr>
      <w:spacing w:line="240" w:lineRule="auto"/>
    </w:pPr>
    <w:rPr>
      <w:b/>
      <w:spacing w:val="0"/>
      <w:w w:val="100"/>
      <w:kern w:val="0"/>
      <w:sz w:val="24"/>
    </w:rPr>
  </w:style>
  <w:style w:type="paragraph" w:customStyle="1" w:styleId="a2">
    <w:name w:val="Раздел"/>
    <w:basedOn w:val="Normal"/>
    <w:qFormat/>
    <w:rsid w:val="00DD3C24"/>
    <w:pPr>
      <w:spacing w:after="120" w:line="240" w:lineRule="auto"/>
    </w:pPr>
    <w:rPr>
      <w:rFonts w:eastAsia="Calibri"/>
      <w:b/>
      <w:spacing w:val="0"/>
      <w:w w:val="100"/>
      <w:kern w:val="0"/>
      <w:sz w:val="24"/>
    </w:rPr>
  </w:style>
  <w:style w:type="character" w:customStyle="1" w:styleId="Mathcad">
    <w:name w:val="Mathcad: обычный"/>
    <w:basedOn w:val="DefaultParagraphFont"/>
    <w:rsid w:val="00DD3C24"/>
    <w:rPr>
      <w:sz w:val="20"/>
    </w:rPr>
  </w:style>
  <w:style w:type="paragraph" w:styleId="ListParagraph">
    <w:name w:val="List Paragraph"/>
    <w:basedOn w:val="Normal"/>
    <w:uiPriority w:val="34"/>
    <w:qFormat/>
    <w:rsid w:val="00DD3C24"/>
    <w:pPr>
      <w:spacing w:after="120" w:line="240" w:lineRule="auto"/>
      <w:ind w:left="720"/>
      <w:contextualSpacing/>
      <w:jc w:val="both"/>
    </w:pPr>
    <w:rPr>
      <w:rFonts w:eastAsia="Calibri"/>
      <w:spacing w:val="0"/>
      <w:w w:val="100"/>
      <w:kern w:val="0"/>
      <w:sz w:val="24"/>
      <w:szCs w:val="22"/>
    </w:rPr>
  </w:style>
  <w:style w:type="paragraph" w:customStyle="1" w:styleId="SingleTxt">
    <w:name w:val="__Single Txt"/>
    <w:basedOn w:val="Normal"/>
    <w:qFormat/>
    <w:rsid w:val="00DD3C2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customStyle="1" w:styleId="Bullet1">
    <w:name w:val="Bullet 1"/>
    <w:basedOn w:val="Normal"/>
    <w:qFormat/>
    <w:rsid w:val="00DD3C24"/>
    <w:pPr>
      <w:numPr>
        <w:numId w:val="36"/>
      </w:numPr>
      <w:spacing w:after="120" w:line="240" w:lineRule="exact"/>
      <w:ind w:right="1267"/>
      <w:jc w:val="both"/>
    </w:pPr>
    <w:rPr>
      <w:rFonts w:eastAsiaTheme="minorEastAsia"/>
      <w:szCs w:val="22"/>
      <w:lang w:eastAsia="zh-CN"/>
    </w:rPr>
  </w:style>
  <w:style w:type="character" w:customStyle="1" w:styleId="FooterChar">
    <w:name w:val="Footer Char"/>
    <w:aliases w:val="3_GR Char"/>
    <w:basedOn w:val="DefaultParagraphFont"/>
    <w:link w:val="Footer"/>
    <w:uiPriority w:val="99"/>
    <w:rsid w:val="008B6EC2"/>
    <w:rPr>
      <w:spacing w:val="4"/>
      <w:w w:val="103"/>
      <w:kern w:val="14"/>
      <w:sz w:val="16"/>
      <w:szCs w:val="24"/>
      <w:lang w:val="ru-RU" w:eastAsia="ru-RU"/>
    </w:rPr>
  </w:style>
  <w:style w:type="paragraph" w:styleId="BalloonText">
    <w:name w:val="Balloon Text"/>
    <w:basedOn w:val="Normal"/>
    <w:link w:val="BalloonTextChar"/>
    <w:semiHidden/>
    <w:unhideWhenUsed/>
    <w:rsid w:val="00F73FC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3FCF"/>
    <w:rPr>
      <w:rFonts w:ascii="Tahoma" w:hAnsi="Tahoma" w:cs="Tahoma"/>
      <w:spacing w:val="4"/>
      <w:w w:val="103"/>
      <w:kern w:val="14"/>
      <w:sz w:val="16"/>
      <w:szCs w:val="16"/>
      <w:lang w:val="ru-RU" w:eastAsia="en-US"/>
    </w:rPr>
  </w:style>
  <w:style w:type="character" w:styleId="UnresolvedMention">
    <w:name w:val="Unresolved Mention"/>
    <w:basedOn w:val="DefaultParagraphFont"/>
    <w:uiPriority w:val="99"/>
    <w:semiHidden/>
    <w:unhideWhenUsed/>
    <w:rsid w:val="00F247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ECE_R.dotm</Template>
  <TotalTime>34</TotalTime>
  <Pages>5</Pages>
  <Words>1776</Words>
  <Characters>10127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New</cp:lastModifiedBy>
  <cp:revision>9</cp:revision>
  <cp:lastPrinted>2008-10-22T13:09:00Z</cp:lastPrinted>
  <dcterms:created xsi:type="dcterms:W3CDTF">2018-04-20T10:03:00Z</dcterms:created>
  <dcterms:modified xsi:type="dcterms:W3CDTF">2018-05-16T08:42:00Z</dcterms:modified>
</cp:coreProperties>
</file>