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B097F" w:rsidRPr="00525E6C" w:rsidTr="006744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6744EF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6744E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1B5134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EA765B">
              <w:t>8</w:t>
            </w:r>
            <w:r w:rsidR="00554097" w:rsidRPr="00CE4D00">
              <w:t>/</w:t>
            </w:r>
            <w:r w:rsidR="00E15B1D" w:rsidRPr="00CE4D00">
              <w:t>3</w:t>
            </w:r>
            <w:r w:rsidR="001B5134">
              <w:t>2</w:t>
            </w:r>
          </w:p>
        </w:tc>
      </w:tr>
      <w:tr w:rsidR="00FB097F" w:rsidRPr="009E49A7" w:rsidTr="006744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525E6C" w:rsidRDefault="00FB097F" w:rsidP="006744EF">
            <w:pPr>
              <w:spacing w:before="120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8185" cy="594995"/>
                  <wp:effectExtent l="0" t="0" r="5715" b="0"/>
                  <wp:docPr id="7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1B57EA" w:rsidRDefault="00FB097F" w:rsidP="006744EF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1B57E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FB097F" w:rsidRDefault="00FB097F" w:rsidP="006744EF">
            <w:pPr>
              <w:spacing w:before="240" w:line="240" w:lineRule="exact"/>
              <w:rPr>
                <w:lang w:val="en-US"/>
              </w:rPr>
            </w:pPr>
            <w:r w:rsidRPr="00FB097F">
              <w:rPr>
                <w:lang w:val="en-US"/>
              </w:rPr>
              <w:t>Distr.: General</w:t>
            </w:r>
          </w:p>
          <w:p w:rsidR="00FB097F" w:rsidRPr="00FB097F" w:rsidRDefault="00F82835" w:rsidP="00674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B097F" w:rsidRPr="001B57EA">
              <w:rPr>
                <w:lang w:val="en-US"/>
              </w:rPr>
              <w:t xml:space="preserve"> </w:t>
            </w:r>
            <w:r w:rsidR="00CE4D00">
              <w:rPr>
                <w:lang w:val="en-US"/>
              </w:rPr>
              <w:t xml:space="preserve">August </w:t>
            </w:r>
            <w:r w:rsidR="00FB097F" w:rsidRPr="001B57EA">
              <w:rPr>
                <w:lang w:val="en-US"/>
              </w:rPr>
              <w:t>201</w:t>
            </w:r>
            <w:r w:rsidR="00EA765B" w:rsidRPr="001B57EA">
              <w:rPr>
                <w:lang w:val="en-US"/>
              </w:rPr>
              <w:t>8</w:t>
            </w:r>
          </w:p>
          <w:p w:rsidR="00FB097F" w:rsidRPr="00FB097F" w:rsidRDefault="00FB097F" w:rsidP="006744EF">
            <w:pPr>
              <w:spacing w:line="240" w:lineRule="exact"/>
              <w:rPr>
                <w:lang w:val="en-US"/>
              </w:rPr>
            </w:pPr>
          </w:p>
          <w:p w:rsidR="00FB097F" w:rsidRPr="00FB097F" w:rsidRDefault="00FB097F" w:rsidP="006744EF">
            <w:pPr>
              <w:spacing w:line="240" w:lineRule="exact"/>
              <w:rPr>
                <w:lang w:val="en-US"/>
              </w:rPr>
            </w:pPr>
            <w:r w:rsidRPr="00FB097F">
              <w:rPr>
                <w:lang w:val="en-US"/>
              </w:rPr>
              <w:t>Original: English</w:t>
            </w:r>
          </w:p>
        </w:tc>
      </w:tr>
    </w:tbl>
    <w:p w:rsidR="00FB097F" w:rsidRPr="00FB097F" w:rsidRDefault="00FB097F" w:rsidP="00FB097F">
      <w:pPr>
        <w:spacing w:before="120"/>
        <w:rPr>
          <w:b/>
          <w:sz w:val="28"/>
          <w:szCs w:val="28"/>
          <w:lang w:val="en-US"/>
        </w:rPr>
      </w:pPr>
      <w:r w:rsidRPr="00FB097F">
        <w:rPr>
          <w:b/>
          <w:sz w:val="28"/>
          <w:szCs w:val="28"/>
          <w:lang w:val="en-US"/>
        </w:rPr>
        <w:t>Economic Commission for Europe</w:t>
      </w:r>
    </w:p>
    <w:p w:rsidR="00FB097F" w:rsidRPr="00FB097F" w:rsidRDefault="00FB097F" w:rsidP="00FB097F">
      <w:pPr>
        <w:spacing w:before="120"/>
        <w:rPr>
          <w:sz w:val="28"/>
          <w:szCs w:val="28"/>
          <w:lang w:val="en-US"/>
        </w:rPr>
      </w:pPr>
      <w:r w:rsidRPr="00FB097F">
        <w:rPr>
          <w:sz w:val="28"/>
          <w:szCs w:val="28"/>
          <w:lang w:val="en-US"/>
        </w:rPr>
        <w:t>Inland Transport Committee</w:t>
      </w:r>
    </w:p>
    <w:p w:rsidR="00FB097F" w:rsidRPr="00FB097F" w:rsidRDefault="00FB097F" w:rsidP="00FB097F">
      <w:pPr>
        <w:spacing w:before="120"/>
        <w:rPr>
          <w:b/>
          <w:sz w:val="24"/>
          <w:szCs w:val="24"/>
          <w:lang w:val="en-US"/>
        </w:rPr>
      </w:pPr>
      <w:r w:rsidRPr="00FB097F">
        <w:rPr>
          <w:b/>
          <w:sz w:val="24"/>
          <w:szCs w:val="24"/>
          <w:lang w:val="en-US"/>
        </w:rPr>
        <w:t>World Forum for Harmonization of Vehicle Regulations</w:t>
      </w:r>
    </w:p>
    <w:p w:rsidR="00FB097F" w:rsidRPr="00FB097F" w:rsidRDefault="00FB097F" w:rsidP="00FB097F">
      <w:pPr>
        <w:spacing w:before="120" w:after="120"/>
        <w:rPr>
          <w:b/>
          <w:bCs/>
          <w:lang w:val="en-US"/>
        </w:rPr>
      </w:pPr>
      <w:r w:rsidRPr="00FB097F">
        <w:rPr>
          <w:b/>
          <w:bCs/>
          <w:lang w:val="en-US"/>
        </w:rPr>
        <w:t>Working Party on Lighting and Light-Signalling</w:t>
      </w:r>
    </w:p>
    <w:p w:rsidR="009E49A7" w:rsidRDefault="009E49A7" w:rsidP="009E49A7">
      <w:pPr>
        <w:spacing w:before="120"/>
        <w:rPr>
          <w:b/>
          <w:lang w:val="en-GB"/>
        </w:rPr>
      </w:pPr>
      <w:r>
        <w:rPr>
          <w:b/>
          <w:lang w:val="en-GB"/>
        </w:rPr>
        <w:t>Eightieth session</w:t>
      </w:r>
    </w:p>
    <w:p w:rsidR="00FB097F" w:rsidRPr="00FB097F" w:rsidRDefault="00FB097F" w:rsidP="00FB097F">
      <w:pPr>
        <w:rPr>
          <w:bCs/>
          <w:lang w:val="en-US"/>
        </w:rPr>
      </w:pPr>
      <w:r w:rsidRPr="00FB097F">
        <w:rPr>
          <w:lang w:val="en-US"/>
        </w:rPr>
        <w:t>Geneva</w:t>
      </w:r>
      <w:r w:rsidRPr="00FB097F">
        <w:rPr>
          <w:bCs/>
          <w:lang w:val="en-US"/>
        </w:rPr>
        <w:t xml:space="preserve">, </w:t>
      </w:r>
      <w:r w:rsidR="001B57EA" w:rsidRPr="001B57EA">
        <w:rPr>
          <w:bCs/>
          <w:lang w:val="en-US"/>
        </w:rPr>
        <w:t>23-26</w:t>
      </w:r>
      <w:r w:rsidRPr="001B57EA">
        <w:rPr>
          <w:bCs/>
          <w:lang w:val="en-US"/>
        </w:rPr>
        <w:t xml:space="preserve"> </w:t>
      </w:r>
      <w:r w:rsidR="00554097" w:rsidRPr="001B57EA">
        <w:rPr>
          <w:bCs/>
          <w:lang w:val="en-US"/>
        </w:rPr>
        <w:t>October</w:t>
      </w:r>
      <w:r w:rsidRPr="001B57EA">
        <w:rPr>
          <w:bCs/>
          <w:lang w:val="en-US"/>
        </w:rPr>
        <w:t xml:space="preserve"> 201</w:t>
      </w:r>
      <w:r w:rsidR="00EA765B" w:rsidRPr="001B57EA">
        <w:rPr>
          <w:bCs/>
          <w:lang w:val="en-US"/>
        </w:rPr>
        <w:t>8</w:t>
      </w:r>
    </w:p>
    <w:p w:rsidR="00FB097F" w:rsidRDefault="00FB097F" w:rsidP="00FB097F">
      <w:pPr>
        <w:ind w:right="1134"/>
        <w:rPr>
          <w:bCs/>
          <w:lang w:val="en-US"/>
        </w:rPr>
      </w:pPr>
      <w:r w:rsidRPr="001B57EA">
        <w:rPr>
          <w:bCs/>
          <w:lang w:val="en-US"/>
        </w:rPr>
        <w:t xml:space="preserve">Item </w:t>
      </w:r>
      <w:r w:rsidR="000143AB">
        <w:rPr>
          <w:bCs/>
          <w:lang w:val="en-US"/>
        </w:rPr>
        <w:t>4</w:t>
      </w:r>
      <w:r w:rsidR="00CE4D00">
        <w:rPr>
          <w:bCs/>
          <w:lang w:val="en-US"/>
        </w:rPr>
        <w:t xml:space="preserve"> </w:t>
      </w:r>
      <w:r w:rsidRPr="001B57EA">
        <w:rPr>
          <w:bCs/>
          <w:lang w:val="en-US"/>
        </w:rPr>
        <w:t>of the provisional agenda</w:t>
      </w:r>
    </w:p>
    <w:p w:rsidR="004E7574" w:rsidRPr="00CE4D00" w:rsidRDefault="000143AB" w:rsidP="004E7574">
      <w:pPr>
        <w:ind w:right="1134"/>
        <w:rPr>
          <w:b/>
          <w:bCs/>
          <w:lang w:val="en-US"/>
        </w:rPr>
      </w:pPr>
      <w:r w:rsidRPr="000143AB">
        <w:rPr>
          <w:b/>
          <w:bCs/>
          <w:lang w:val="en-US"/>
        </w:rPr>
        <w:t xml:space="preserve">Simplification of lighting and light-signalling </w:t>
      </w:r>
      <w:r>
        <w:rPr>
          <w:b/>
          <w:bCs/>
          <w:lang w:val="en-US"/>
        </w:rPr>
        <w:t xml:space="preserve">UN </w:t>
      </w:r>
      <w:r w:rsidRPr="000143AB">
        <w:rPr>
          <w:b/>
          <w:bCs/>
          <w:lang w:val="en-US"/>
        </w:rPr>
        <w:t>Regulations</w:t>
      </w:r>
      <w:r w:rsidR="004E7574" w:rsidRPr="00CE4D00">
        <w:rPr>
          <w:b/>
          <w:bCs/>
          <w:lang w:val="en-US"/>
        </w:rPr>
        <w:t xml:space="preserve">  </w:t>
      </w:r>
    </w:p>
    <w:p w:rsidR="00FB097F" w:rsidRPr="00525E6C" w:rsidRDefault="00FB097F" w:rsidP="00FB097F">
      <w:pPr>
        <w:pStyle w:val="HChG"/>
      </w:pPr>
      <w:r w:rsidRPr="00525E6C">
        <w:tab/>
      </w:r>
      <w:r w:rsidRPr="00525E6C">
        <w:tab/>
      </w:r>
      <w:r w:rsidR="000143AB" w:rsidRPr="000143AB">
        <w:t xml:space="preserve">Collective amendments to </w:t>
      </w:r>
      <w:r w:rsidR="000143AB">
        <w:t xml:space="preserve">UN </w:t>
      </w:r>
      <w:r w:rsidR="000143AB" w:rsidRPr="000143AB">
        <w:t>Regulations Nos. 98, 112, 113 and 123</w:t>
      </w:r>
      <w:r w:rsidR="000143AB">
        <w:t xml:space="preserve"> </w:t>
      </w:r>
    </w:p>
    <w:p w:rsidR="00FB097F" w:rsidRPr="00525E6C" w:rsidRDefault="000143AB" w:rsidP="00CE4D00">
      <w:pPr>
        <w:pStyle w:val="H1G"/>
        <w:ind w:firstLine="0"/>
        <w:rPr>
          <w:szCs w:val="24"/>
        </w:rPr>
      </w:pPr>
      <w:r w:rsidRPr="000143AB">
        <w:rPr>
          <w:szCs w:val="24"/>
        </w:rPr>
        <w:t>Submitted by the Informal Working Group on Simplification of Lighting and Light-Signalling Regulations (IWG SLR)</w:t>
      </w:r>
      <w:r w:rsidR="00361DD4" w:rsidRPr="00A96F13">
        <w:rPr>
          <w:szCs w:val="24"/>
        </w:rPr>
        <w:footnoteReference w:customMarkFollows="1" w:id="1"/>
        <w:t>*</w:t>
      </w:r>
      <w:r w:rsidR="00FB097F" w:rsidRPr="00525E6C">
        <w:rPr>
          <w:szCs w:val="24"/>
        </w:rPr>
        <w:t xml:space="preserve"> </w:t>
      </w:r>
    </w:p>
    <w:p w:rsidR="00C31EA9" w:rsidRPr="00CE4D00" w:rsidRDefault="000143AB" w:rsidP="000143AB">
      <w:pPr>
        <w:pStyle w:val="SingleTxtG"/>
        <w:spacing w:before="0"/>
        <w:ind w:firstLine="567"/>
        <w:rPr>
          <w:rFonts w:ascii="Times New Roman" w:eastAsia="Times New Roman" w:hAnsi="Times New Roman"/>
        </w:rPr>
      </w:pPr>
      <w:r w:rsidRPr="000143AB">
        <w:rPr>
          <w:rFonts w:ascii="Times New Roman" w:eastAsia="Times New Roman" w:hAnsi="Times New Roman"/>
        </w:rPr>
        <w:t xml:space="preserve">The text reproduced below was prepared by IWG SLR, on the basis of informal document GRE-79-32/Rev.1, with the aim to link UN Regulations Nos. 98, 112, 113 and 123 to the new </w:t>
      </w:r>
      <w:r>
        <w:rPr>
          <w:rFonts w:ascii="Times New Roman" w:eastAsia="Times New Roman" w:hAnsi="Times New Roman"/>
        </w:rPr>
        <w:t>UN</w:t>
      </w:r>
      <w:r w:rsidRPr="000143AB">
        <w:rPr>
          <w:rFonts w:ascii="Times New Roman" w:eastAsia="Times New Roman" w:hAnsi="Times New Roman"/>
        </w:rPr>
        <w:t xml:space="preserve"> Regulation</w:t>
      </w:r>
      <w:r>
        <w:rPr>
          <w:rFonts w:ascii="Times New Roman" w:eastAsia="Times New Roman" w:hAnsi="Times New Roman"/>
        </w:rPr>
        <w:t xml:space="preserve"> on Road Illumination Devices (RID), </w:t>
      </w:r>
      <w:r w:rsidRPr="000143AB">
        <w:rPr>
          <w:rFonts w:ascii="Times New Roman" w:eastAsia="Times New Roman" w:hAnsi="Times New Roman"/>
        </w:rPr>
        <w:t>for the purpose</w:t>
      </w:r>
      <w:r>
        <w:rPr>
          <w:rFonts w:ascii="Times New Roman" w:eastAsia="Times New Roman" w:hAnsi="Times New Roman"/>
        </w:rPr>
        <w:t>s</w:t>
      </w:r>
      <w:r w:rsidRPr="000143AB">
        <w:rPr>
          <w:rFonts w:ascii="Times New Roman" w:eastAsia="Times New Roman" w:hAnsi="Times New Roman"/>
        </w:rPr>
        <w:t xml:space="preserve"> of the recently updated Canadian Federal Motor Vehicle Safety Standard (CMVSS) No. 108.</w:t>
      </w:r>
      <w:r>
        <w:rPr>
          <w:rFonts w:ascii="Times New Roman" w:eastAsia="Times New Roman" w:hAnsi="Times New Roman"/>
        </w:rPr>
        <w:t xml:space="preserve"> </w:t>
      </w:r>
    </w:p>
    <w:p w:rsidR="00C31EA9" w:rsidRPr="00CE4D00" w:rsidRDefault="00CE4D00" w:rsidP="00CE4D00">
      <w:pPr>
        <w:pStyle w:val="SingleTxtG"/>
        <w:spacing w:before="0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C31EA9" w:rsidRPr="00CE4D00">
        <w:rPr>
          <w:rFonts w:ascii="Times New Roman" w:eastAsia="Times New Roman" w:hAnsi="Times New Roman"/>
        </w:rPr>
        <w:t xml:space="preserve"> </w:t>
      </w:r>
    </w:p>
    <w:p w:rsidR="00804F52" w:rsidRPr="007958C9" w:rsidRDefault="0041326E" w:rsidP="00387D8F">
      <w:pPr>
        <w:pStyle w:val="HChG"/>
      </w:pPr>
      <w:r w:rsidRPr="00450BEF">
        <w:br w:type="page"/>
      </w:r>
      <w:r w:rsidR="00387D8F">
        <w:lastRenderedPageBreak/>
        <w:tab/>
      </w:r>
      <w:r w:rsidR="00804F52" w:rsidRPr="007958C9">
        <w:t>I.</w:t>
      </w:r>
      <w:r w:rsidR="00804F52" w:rsidRPr="007958C9">
        <w:tab/>
        <w:t>P</w:t>
      </w:r>
      <w:r w:rsidR="00387D8F" w:rsidRPr="007958C9">
        <w:t>roposal</w:t>
      </w:r>
    </w:p>
    <w:p w:rsidR="000143AB" w:rsidRPr="000143AB" w:rsidRDefault="000143AB" w:rsidP="000143AB">
      <w:pPr>
        <w:pStyle w:val="HChG"/>
        <w:spacing w:line="260" w:lineRule="exact"/>
        <w:ind w:right="1133" w:hanging="425"/>
        <w:rPr>
          <w:b w:val="0"/>
        </w:rPr>
      </w:pPr>
      <w:r w:rsidRPr="000143AB">
        <w:rPr>
          <w:sz w:val="24"/>
          <w:szCs w:val="24"/>
        </w:rPr>
        <w:t xml:space="preserve">A. </w:t>
      </w:r>
      <w:r w:rsidRPr="000143AB">
        <w:rPr>
          <w:sz w:val="24"/>
          <w:szCs w:val="24"/>
        </w:rPr>
        <w:tab/>
      </w:r>
      <w:r w:rsidRPr="000143AB">
        <w:rPr>
          <w:bCs/>
          <w:sz w:val="24"/>
          <w:szCs w:val="24"/>
        </w:rPr>
        <w:t xml:space="preserve">Supplement [10] to the [01] series of amendments of </w:t>
      </w:r>
      <w:r>
        <w:rPr>
          <w:bCs/>
          <w:sz w:val="24"/>
          <w:szCs w:val="24"/>
        </w:rPr>
        <w:t xml:space="preserve">UN </w:t>
      </w:r>
      <w:r w:rsidRPr="000143AB">
        <w:rPr>
          <w:bCs/>
          <w:sz w:val="24"/>
          <w:szCs w:val="24"/>
        </w:rPr>
        <w:t>Regulation No. 98</w:t>
      </w:r>
    </w:p>
    <w:p w:rsidR="000143AB" w:rsidRPr="000143AB" w:rsidRDefault="000143AB" w:rsidP="000143AB">
      <w:pPr>
        <w:pStyle w:val="SingleTxtG"/>
        <w:spacing w:before="0"/>
        <w:ind w:left="2268" w:hanging="1134"/>
        <w:rPr>
          <w:rFonts w:ascii="Times New Roman" w:hAnsi="Times New Roman"/>
          <w:i/>
        </w:rPr>
      </w:pPr>
      <w:r w:rsidRPr="000143AB">
        <w:rPr>
          <w:rFonts w:ascii="Times New Roman" w:hAnsi="Times New Roman"/>
          <w:i/>
          <w:iCs/>
          <w:lang w:eastAsia="ja-JP"/>
        </w:rPr>
        <w:t>Add</w:t>
      </w:r>
      <w:r w:rsidRPr="000143A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0143AB">
        <w:rPr>
          <w:rFonts w:ascii="Times New Roman" w:hAnsi="Times New Roman"/>
          <w:i/>
        </w:rPr>
        <w:t xml:space="preserve">new paragraph 5.13., </w:t>
      </w:r>
      <w:r w:rsidRPr="000143AB">
        <w:rPr>
          <w:rFonts w:ascii="Times New Roman" w:hAnsi="Times New Roman"/>
        </w:rPr>
        <w:t>to read:</w:t>
      </w:r>
    </w:p>
    <w:p w:rsidR="000143AB" w:rsidRPr="000143AB" w:rsidRDefault="000143AB" w:rsidP="000143AB">
      <w:pPr>
        <w:pStyle w:val="SingleTxtG"/>
        <w:spacing w:before="0"/>
        <w:ind w:left="2259" w:hanging="1125"/>
        <w:rPr>
          <w:rFonts w:ascii="Times New Roman" w:hAnsi="Times New Roman"/>
          <w:b/>
        </w:rPr>
      </w:pPr>
      <w:r w:rsidRPr="000143AB">
        <w:rPr>
          <w:rFonts w:ascii="Times New Roman" w:hAnsi="Times New Roman"/>
          <w:b/>
        </w:rPr>
        <w:t>"5.13.</w:t>
      </w:r>
      <w:r w:rsidRPr="000143AB">
        <w:rPr>
          <w:rFonts w:ascii="Times New Roman" w:hAnsi="Times New Roman"/>
          <w:b/>
        </w:rPr>
        <w:tab/>
        <w:t>Instead of requirements of this UN Regulation, headlamps may conform with requirements of the latest version of the UN Regulation [RID] as it relates to headlamps equipped with gas-discharge light sources."</w:t>
      </w:r>
    </w:p>
    <w:p w:rsidR="000143AB" w:rsidRPr="000143AB" w:rsidRDefault="000143AB" w:rsidP="000143AB">
      <w:pPr>
        <w:pStyle w:val="HChG"/>
        <w:spacing w:line="260" w:lineRule="exact"/>
        <w:ind w:right="1133" w:hanging="425"/>
        <w:rPr>
          <w:b w:val="0"/>
        </w:rPr>
      </w:pPr>
      <w:r w:rsidRPr="000143AB">
        <w:rPr>
          <w:sz w:val="24"/>
          <w:szCs w:val="24"/>
        </w:rPr>
        <w:t xml:space="preserve">B. </w:t>
      </w:r>
      <w:r w:rsidRPr="000143AB">
        <w:rPr>
          <w:sz w:val="24"/>
          <w:szCs w:val="24"/>
        </w:rPr>
        <w:tab/>
      </w:r>
      <w:r w:rsidRPr="000143AB">
        <w:rPr>
          <w:bCs/>
          <w:sz w:val="24"/>
          <w:szCs w:val="24"/>
        </w:rPr>
        <w:t xml:space="preserve">Supplement [9] to the [01] series of amendments of </w:t>
      </w:r>
      <w:r>
        <w:rPr>
          <w:bCs/>
          <w:sz w:val="24"/>
          <w:szCs w:val="24"/>
        </w:rPr>
        <w:t xml:space="preserve">UN </w:t>
      </w:r>
      <w:r w:rsidRPr="000143AB">
        <w:rPr>
          <w:bCs/>
          <w:sz w:val="24"/>
          <w:szCs w:val="24"/>
        </w:rPr>
        <w:t>Regulation No. 112</w:t>
      </w:r>
    </w:p>
    <w:p w:rsidR="000143AB" w:rsidRPr="000143AB" w:rsidRDefault="000143AB" w:rsidP="000143AB">
      <w:pPr>
        <w:pStyle w:val="SingleTxtG"/>
        <w:spacing w:before="0"/>
        <w:ind w:left="2268" w:hanging="1134"/>
        <w:rPr>
          <w:rFonts w:ascii="Times New Roman" w:hAnsi="Times New Roman"/>
        </w:rPr>
      </w:pPr>
      <w:r w:rsidRPr="000143AB">
        <w:rPr>
          <w:rFonts w:ascii="Times New Roman" w:hAnsi="Times New Roman"/>
          <w:i/>
          <w:iCs/>
          <w:lang w:eastAsia="ja-JP"/>
        </w:rPr>
        <w:t>Add</w:t>
      </w:r>
      <w:r w:rsidRPr="000143A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0143AB">
        <w:rPr>
          <w:rFonts w:ascii="Times New Roman" w:hAnsi="Times New Roman"/>
          <w:i/>
        </w:rPr>
        <w:t xml:space="preserve">new paragraph 5.12., </w:t>
      </w:r>
      <w:r w:rsidRPr="000143AB">
        <w:rPr>
          <w:rFonts w:ascii="Times New Roman" w:hAnsi="Times New Roman"/>
        </w:rPr>
        <w:t>to read:</w:t>
      </w:r>
    </w:p>
    <w:p w:rsidR="000143AB" w:rsidRPr="000143AB" w:rsidRDefault="000143AB" w:rsidP="000143AB">
      <w:pPr>
        <w:pStyle w:val="SingleTxtG"/>
        <w:spacing w:before="0"/>
        <w:ind w:left="2259" w:hanging="1125"/>
        <w:rPr>
          <w:rFonts w:ascii="Times New Roman" w:hAnsi="Times New Roman"/>
          <w:b/>
        </w:rPr>
      </w:pPr>
      <w:r w:rsidRPr="000143AB">
        <w:rPr>
          <w:rFonts w:ascii="Times New Roman" w:hAnsi="Times New Roman"/>
          <w:b/>
        </w:rPr>
        <w:t>"5.12.</w:t>
      </w:r>
      <w:r w:rsidRPr="000143AB">
        <w:rPr>
          <w:rFonts w:ascii="Times New Roman" w:hAnsi="Times New Roman"/>
          <w:b/>
        </w:rPr>
        <w:tab/>
        <w:t>Instead of requirements of this UN Regulation, headlamps may conform with requirements of the latest version of the UN Regulation [RID] as it relates to headlamps emitting an asymmetric passing beam."</w:t>
      </w:r>
    </w:p>
    <w:p w:rsidR="000143AB" w:rsidRPr="000143AB" w:rsidRDefault="000143AB" w:rsidP="000143AB">
      <w:pPr>
        <w:pStyle w:val="HChG"/>
        <w:spacing w:line="260" w:lineRule="exact"/>
        <w:ind w:right="1133" w:hanging="425"/>
        <w:rPr>
          <w:b w:val="0"/>
        </w:rPr>
      </w:pPr>
      <w:r w:rsidRPr="000143AB">
        <w:rPr>
          <w:sz w:val="24"/>
          <w:szCs w:val="24"/>
        </w:rPr>
        <w:t xml:space="preserve">C. </w:t>
      </w:r>
      <w:r w:rsidRPr="000143AB">
        <w:rPr>
          <w:sz w:val="24"/>
          <w:szCs w:val="24"/>
        </w:rPr>
        <w:tab/>
      </w:r>
      <w:r w:rsidRPr="000143AB">
        <w:rPr>
          <w:bCs/>
          <w:sz w:val="24"/>
          <w:szCs w:val="24"/>
        </w:rPr>
        <w:t xml:space="preserve">Supplement [7] to the [01] series of amendments of </w:t>
      </w:r>
      <w:r>
        <w:rPr>
          <w:bCs/>
          <w:sz w:val="24"/>
          <w:szCs w:val="24"/>
        </w:rPr>
        <w:t xml:space="preserve">UN </w:t>
      </w:r>
      <w:r w:rsidRPr="000143AB">
        <w:rPr>
          <w:bCs/>
          <w:sz w:val="24"/>
          <w:szCs w:val="24"/>
        </w:rPr>
        <w:t>Regulation No. 113</w:t>
      </w:r>
    </w:p>
    <w:p w:rsidR="000143AB" w:rsidRPr="000143AB" w:rsidRDefault="000143AB" w:rsidP="000143AB">
      <w:pPr>
        <w:pStyle w:val="SingleTxtG"/>
        <w:spacing w:before="0"/>
        <w:ind w:left="2268" w:hanging="1134"/>
        <w:rPr>
          <w:rFonts w:ascii="Times New Roman" w:hAnsi="Times New Roman"/>
          <w:i/>
        </w:rPr>
      </w:pPr>
      <w:r w:rsidRPr="000143AB">
        <w:rPr>
          <w:rFonts w:ascii="Times New Roman" w:hAnsi="Times New Roman"/>
          <w:i/>
          <w:iCs/>
          <w:lang w:eastAsia="ja-JP"/>
        </w:rPr>
        <w:t>Add</w:t>
      </w:r>
      <w:r w:rsidRPr="000143AB">
        <w:rPr>
          <w:rFonts w:ascii="Times New Roman" w:hAnsi="Times New Roman"/>
          <w:i/>
        </w:rPr>
        <w:t xml:space="preserve"> new paragraph 5.11., </w:t>
      </w:r>
      <w:r w:rsidRPr="000143AB">
        <w:rPr>
          <w:rFonts w:ascii="Times New Roman" w:hAnsi="Times New Roman"/>
        </w:rPr>
        <w:t>to read:</w:t>
      </w:r>
    </w:p>
    <w:p w:rsidR="000143AB" w:rsidRPr="000143AB" w:rsidRDefault="000143AB" w:rsidP="000143AB">
      <w:pPr>
        <w:pStyle w:val="SingleTxtG"/>
        <w:spacing w:before="0"/>
        <w:ind w:left="2259" w:hanging="1125"/>
        <w:rPr>
          <w:rFonts w:ascii="Times New Roman" w:hAnsi="Times New Roman"/>
          <w:b/>
        </w:rPr>
      </w:pPr>
      <w:r w:rsidRPr="000143AB">
        <w:rPr>
          <w:rFonts w:ascii="Times New Roman" w:hAnsi="Times New Roman"/>
          <w:b/>
        </w:rPr>
        <w:t>"5.11.</w:t>
      </w:r>
      <w:r w:rsidRPr="000143AB">
        <w:rPr>
          <w:rFonts w:ascii="Times New Roman" w:hAnsi="Times New Roman"/>
          <w:b/>
        </w:rPr>
        <w:tab/>
        <w:t>Instead of requirements of this UN Regulation, headlamps may conform with requirements of the latest version of the UN Regulation [RID] as it relates to headlamps emitting a symmetric passing beam."</w:t>
      </w:r>
    </w:p>
    <w:p w:rsidR="000143AB" w:rsidRPr="000143AB" w:rsidRDefault="000143AB" w:rsidP="000143AB">
      <w:pPr>
        <w:pStyle w:val="HChG"/>
        <w:spacing w:line="260" w:lineRule="exact"/>
        <w:ind w:right="1133" w:hanging="425"/>
        <w:rPr>
          <w:b w:val="0"/>
        </w:rPr>
      </w:pPr>
      <w:r w:rsidRPr="000143AB">
        <w:rPr>
          <w:sz w:val="24"/>
          <w:szCs w:val="24"/>
        </w:rPr>
        <w:t xml:space="preserve">D. </w:t>
      </w:r>
      <w:r w:rsidRPr="000143AB">
        <w:rPr>
          <w:sz w:val="24"/>
          <w:szCs w:val="24"/>
        </w:rPr>
        <w:tab/>
      </w:r>
      <w:r w:rsidRPr="000143AB">
        <w:rPr>
          <w:bCs/>
          <w:sz w:val="24"/>
          <w:szCs w:val="24"/>
        </w:rPr>
        <w:t xml:space="preserve">Supplement [1] to the [02] series of amendments of </w:t>
      </w:r>
      <w:r>
        <w:rPr>
          <w:bCs/>
          <w:sz w:val="24"/>
          <w:szCs w:val="24"/>
        </w:rPr>
        <w:t xml:space="preserve">UN </w:t>
      </w:r>
      <w:r w:rsidRPr="000143AB">
        <w:rPr>
          <w:bCs/>
          <w:sz w:val="24"/>
          <w:szCs w:val="24"/>
        </w:rPr>
        <w:t>Regulation No. 113</w:t>
      </w:r>
    </w:p>
    <w:p w:rsidR="000143AB" w:rsidRPr="000143AB" w:rsidRDefault="000143AB" w:rsidP="000143AB">
      <w:pPr>
        <w:pStyle w:val="SingleTxtG"/>
        <w:spacing w:before="0"/>
        <w:ind w:left="2268" w:hanging="1134"/>
        <w:rPr>
          <w:rFonts w:ascii="Times New Roman" w:hAnsi="Times New Roman"/>
        </w:rPr>
      </w:pPr>
      <w:r w:rsidRPr="000143AB">
        <w:rPr>
          <w:rFonts w:ascii="Times New Roman" w:hAnsi="Times New Roman"/>
          <w:i/>
          <w:iCs/>
          <w:lang w:eastAsia="ja-JP"/>
        </w:rPr>
        <w:t>Add</w:t>
      </w:r>
      <w:r w:rsidRPr="000143AB">
        <w:rPr>
          <w:rFonts w:ascii="Times New Roman" w:hAnsi="Times New Roman"/>
          <w:i/>
        </w:rPr>
        <w:t xml:space="preserve"> new paragraph 5.11., </w:t>
      </w:r>
      <w:r w:rsidRPr="000143AB">
        <w:rPr>
          <w:rFonts w:ascii="Times New Roman" w:hAnsi="Times New Roman"/>
        </w:rPr>
        <w:t>to read:</w:t>
      </w:r>
    </w:p>
    <w:p w:rsidR="000143AB" w:rsidRPr="000143AB" w:rsidRDefault="000143AB" w:rsidP="000143AB">
      <w:pPr>
        <w:pStyle w:val="SingleTxtG"/>
        <w:spacing w:before="0"/>
        <w:ind w:left="2259" w:hanging="1125"/>
        <w:rPr>
          <w:rFonts w:ascii="Times New Roman" w:hAnsi="Times New Roman"/>
          <w:b/>
        </w:rPr>
      </w:pPr>
      <w:r w:rsidRPr="000143AB">
        <w:rPr>
          <w:rFonts w:ascii="Times New Roman" w:hAnsi="Times New Roman"/>
          <w:b/>
        </w:rPr>
        <w:t>"5.11.</w:t>
      </w:r>
      <w:r w:rsidRPr="000143AB">
        <w:rPr>
          <w:rFonts w:ascii="Times New Roman" w:hAnsi="Times New Roman"/>
          <w:b/>
        </w:rPr>
        <w:tab/>
        <w:t>Instead of requirements of this UN Regulation, headlamps may conform with requirements of the latest version of the UN Regulation [RID] as it relates to headlamps emitting a symmetric passing beam."</w:t>
      </w:r>
    </w:p>
    <w:p w:rsidR="000143AB" w:rsidRPr="000143AB" w:rsidRDefault="000143AB" w:rsidP="000143AB">
      <w:pPr>
        <w:pStyle w:val="HChG"/>
        <w:spacing w:line="260" w:lineRule="exact"/>
        <w:ind w:right="1133" w:hanging="425"/>
        <w:rPr>
          <w:b w:val="0"/>
        </w:rPr>
      </w:pPr>
      <w:r w:rsidRPr="000143AB">
        <w:rPr>
          <w:sz w:val="24"/>
          <w:szCs w:val="24"/>
        </w:rPr>
        <w:t xml:space="preserve">E. </w:t>
      </w:r>
      <w:r w:rsidRPr="000143AB">
        <w:rPr>
          <w:sz w:val="24"/>
          <w:szCs w:val="24"/>
        </w:rPr>
        <w:tab/>
      </w:r>
      <w:r w:rsidRPr="000143AB">
        <w:rPr>
          <w:bCs/>
          <w:sz w:val="24"/>
          <w:szCs w:val="24"/>
        </w:rPr>
        <w:t xml:space="preserve">Supplement [10] to the [01] series of amendments of </w:t>
      </w:r>
      <w:r>
        <w:rPr>
          <w:bCs/>
          <w:sz w:val="24"/>
          <w:szCs w:val="24"/>
        </w:rPr>
        <w:t xml:space="preserve">UN </w:t>
      </w:r>
      <w:r w:rsidRPr="000143AB">
        <w:rPr>
          <w:bCs/>
          <w:sz w:val="24"/>
          <w:szCs w:val="24"/>
        </w:rPr>
        <w:t>Regulation No. 123</w:t>
      </w:r>
    </w:p>
    <w:p w:rsidR="000143AB" w:rsidRPr="000143AB" w:rsidRDefault="000143AB" w:rsidP="000143AB">
      <w:pPr>
        <w:pStyle w:val="SingleTxtG"/>
        <w:spacing w:before="0"/>
        <w:ind w:left="2268" w:hanging="1134"/>
        <w:rPr>
          <w:rFonts w:ascii="Times New Roman" w:hAnsi="Times New Roman"/>
          <w:i/>
        </w:rPr>
      </w:pPr>
      <w:r w:rsidRPr="000143AB">
        <w:rPr>
          <w:rFonts w:ascii="Times New Roman" w:hAnsi="Times New Roman"/>
          <w:i/>
          <w:iCs/>
          <w:lang w:eastAsia="ja-JP"/>
        </w:rPr>
        <w:t>Add</w:t>
      </w:r>
      <w:r w:rsidRPr="000143AB">
        <w:rPr>
          <w:rFonts w:ascii="Times New Roman" w:hAnsi="Times New Roman"/>
          <w:i/>
        </w:rPr>
        <w:t xml:space="preserve"> new paragraph 5.16., </w:t>
      </w:r>
      <w:r w:rsidRPr="000143AB">
        <w:rPr>
          <w:rFonts w:ascii="Times New Roman" w:hAnsi="Times New Roman"/>
        </w:rPr>
        <w:t>to read:</w:t>
      </w:r>
    </w:p>
    <w:p w:rsidR="000143AB" w:rsidRPr="000143AB" w:rsidRDefault="000143AB" w:rsidP="000143AB">
      <w:pPr>
        <w:pStyle w:val="SingleTxtG"/>
        <w:spacing w:before="0"/>
        <w:ind w:left="2259" w:hanging="1125"/>
        <w:rPr>
          <w:rFonts w:ascii="Times New Roman" w:hAnsi="Times New Roman"/>
          <w:b/>
        </w:rPr>
      </w:pPr>
      <w:r w:rsidRPr="000143AB">
        <w:rPr>
          <w:rFonts w:ascii="Times New Roman" w:hAnsi="Times New Roman"/>
          <w:b/>
        </w:rPr>
        <w:t>"5.16.</w:t>
      </w:r>
      <w:r w:rsidRPr="000143AB">
        <w:rPr>
          <w:rFonts w:ascii="Times New Roman" w:hAnsi="Times New Roman"/>
          <w:b/>
        </w:rPr>
        <w:tab/>
        <w:t>Instead of requirements of this UN Regulation, headlamps may conform with requirements of the latest version of the UN Regulation [RID] as it relates to the adaptive forward-illumination system."</w:t>
      </w:r>
    </w:p>
    <w:p w:rsidR="000143AB" w:rsidRPr="000143AB" w:rsidRDefault="000143AB" w:rsidP="007D29E6">
      <w:pPr>
        <w:spacing w:after="120" w:line="240" w:lineRule="auto"/>
        <w:ind w:left="1134"/>
        <w:rPr>
          <w:bCs/>
          <w:i/>
          <w:iCs/>
          <w:color w:val="000000"/>
          <w:lang w:val="en-US"/>
        </w:rPr>
      </w:pPr>
    </w:p>
    <w:p w:rsidR="000143AB" w:rsidRPr="000143AB" w:rsidRDefault="000143AB" w:rsidP="007D29E6">
      <w:pPr>
        <w:spacing w:after="120" w:line="240" w:lineRule="auto"/>
        <w:ind w:left="1134"/>
        <w:rPr>
          <w:bCs/>
          <w:i/>
          <w:iCs/>
          <w:color w:val="000000"/>
          <w:lang w:val="en-GB"/>
        </w:rPr>
      </w:pPr>
    </w:p>
    <w:p w:rsidR="007D29E6" w:rsidRPr="000143AB" w:rsidRDefault="007D29E6" w:rsidP="007D29E6">
      <w:pPr>
        <w:pStyle w:val="SingleTxtG"/>
        <w:ind w:left="2268" w:hanging="1134"/>
        <w:rPr>
          <w:rFonts w:ascii="Times New Roman" w:hAnsi="Times New Roman"/>
        </w:rPr>
      </w:pPr>
    </w:p>
    <w:p w:rsidR="00804F52" w:rsidRPr="007958C9" w:rsidRDefault="00263E6D" w:rsidP="00C278A9">
      <w:pPr>
        <w:pStyle w:val="HChG"/>
        <w:tabs>
          <w:tab w:val="clear" w:pos="851"/>
        </w:tabs>
        <w:ind w:hanging="567"/>
        <w:rPr>
          <w:szCs w:val="22"/>
        </w:rPr>
      </w:pPr>
      <w:r>
        <w:lastRenderedPageBreak/>
        <w:t xml:space="preserve"> </w:t>
      </w:r>
      <w:r w:rsidR="00804F52" w:rsidRPr="007958C9">
        <w:t>II.</w:t>
      </w:r>
      <w:r w:rsidR="00804F52" w:rsidRPr="007958C9">
        <w:tab/>
        <w:t xml:space="preserve">Justification </w:t>
      </w:r>
      <w:r w:rsidR="00804F52" w:rsidRPr="007958C9">
        <w:rPr>
          <w:szCs w:val="22"/>
        </w:rPr>
        <w:t xml:space="preserve"> </w:t>
      </w:r>
    </w:p>
    <w:p w:rsidR="000143AB" w:rsidRPr="000143AB" w:rsidRDefault="00554097" w:rsidP="000143AB">
      <w:pPr>
        <w:spacing w:after="120"/>
        <w:ind w:left="1134" w:right="1134"/>
        <w:jc w:val="both"/>
        <w:rPr>
          <w:lang w:val="en-GB"/>
        </w:rPr>
      </w:pPr>
      <w:r w:rsidRPr="007958C9">
        <w:rPr>
          <w:lang w:val="en-GB"/>
        </w:rPr>
        <w:t>1.</w:t>
      </w:r>
      <w:r w:rsidRPr="007958C9">
        <w:rPr>
          <w:lang w:val="en-GB"/>
        </w:rPr>
        <w:tab/>
      </w:r>
      <w:r w:rsidR="000143AB" w:rsidRPr="000143AB">
        <w:rPr>
          <w:lang w:val="en-GB"/>
        </w:rPr>
        <w:t>Recent amendment to Canad</w:t>
      </w:r>
      <w:r w:rsidR="000143AB">
        <w:rPr>
          <w:lang w:val="en-GB"/>
        </w:rPr>
        <w:t>ian</w:t>
      </w:r>
      <w:r w:rsidR="000143AB" w:rsidRPr="000143AB">
        <w:rPr>
          <w:lang w:val="en-GB"/>
        </w:rPr>
        <w:t xml:space="preserve"> Motor Vehicle Safety Standards (CMVSS) </w:t>
      </w:r>
      <w:r w:rsidR="000143AB">
        <w:rPr>
          <w:lang w:val="en-GB"/>
        </w:rPr>
        <w:t xml:space="preserve">No. </w:t>
      </w:r>
      <w:r w:rsidR="000143AB" w:rsidRPr="000143AB">
        <w:rPr>
          <w:lang w:val="en-GB"/>
        </w:rPr>
        <w:t xml:space="preserve">108 allows </w:t>
      </w:r>
      <w:r w:rsidR="000143AB">
        <w:rPr>
          <w:lang w:val="en-GB"/>
        </w:rPr>
        <w:t xml:space="preserve">a </w:t>
      </w:r>
      <w:r w:rsidR="000143AB" w:rsidRPr="000143AB">
        <w:rPr>
          <w:lang w:val="en-GB"/>
        </w:rPr>
        <w:t>UN Regulation headlamp to be used on vehicles in Canada. CMVSS</w:t>
      </w:r>
      <w:r w:rsidR="000143AB">
        <w:rPr>
          <w:lang w:val="en-GB"/>
        </w:rPr>
        <w:t xml:space="preserve"> No.</w:t>
      </w:r>
      <w:r w:rsidR="000143AB" w:rsidRPr="000143AB">
        <w:rPr>
          <w:lang w:val="en-GB"/>
        </w:rPr>
        <w:t xml:space="preserve"> 108 specifically refers to</w:t>
      </w:r>
      <w:r w:rsidR="000143AB">
        <w:rPr>
          <w:lang w:val="en-GB"/>
        </w:rPr>
        <w:t xml:space="preserve"> the</w:t>
      </w:r>
      <w:r w:rsidR="000143AB" w:rsidRPr="000143AB">
        <w:rPr>
          <w:lang w:val="en-GB"/>
        </w:rPr>
        <w:t xml:space="preserve"> present UN Regulations. These </w:t>
      </w:r>
      <w:r w:rsidR="000143AB">
        <w:rPr>
          <w:lang w:val="en-GB"/>
        </w:rPr>
        <w:t xml:space="preserve">UN </w:t>
      </w:r>
      <w:r w:rsidR="000143AB" w:rsidRPr="000143AB">
        <w:rPr>
          <w:lang w:val="en-GB"/>
        </w:rPr>
        <w:t xml:space="preserve">Regulations are to be soon frozen and no more improvements will be added to them. </w:t>
      </w:r>
    </w:p>
    <w:p w:rsidR="000143AB" w:rsidRDefault="000143AB" w:rsidP="000143AB">
      <w:pPr>
        <w:spacing w:after="120"/>
        <w:ind w:left="1134" w:right="1134"/>
        <w:jc w:val="both"/>
        <w:rPr>
          <w:lang w:val="en-GB"/>
        </w:rPr>
      </w:pPr>
      <w:r w:rsidRPr="000143AB">
        <w:rPr>
          <w:lang w:val="en-GB"/>
        </w:rPr>
        <w:t>2.</w:t>
      </w:r>
      <w:r w:rsidRPr="000143AB">
        <w:rPr>
          <w:lang w:val="en-GB"/>
        </w:rPr>
        <w:tab/>
        <w:t>To continue the allowance in Canada of UN Regulation headlamps conforming to the new UN Regulation [RID]</w:t>
      </w:r>
      <w:r>
        <w:rPr>
          <w:lang w:val="en-GB"/>
        </w:rPr>
        <w:t>,</w:t>
      </w:r>
      <w:r w:rsidRPr="000143AB">
        <w:rPr>
          <w:lang w:val="en-GB"/>
        </w:rPr>
        <w:t xml:space="preserve"> the frozen UN Regulations should make a clear reference to </w:t>
      </w:r>
      <w:r>
        <w:rPr>
          <w:lang w:val="en-GB"/>
        </w:rPr>
        <w:t xml:space="preserve">the new </w:t>
      </w:r>
      <w:r w:rsidRPr="000143AB">
        <w:rPr>
          <w:lang w:val="en-GB"/>
        </w:rPr>
        <w:t>UN Regulation [RID].</w:t>
      </w:r>
    </w:p>
    <w:p w:rsidR="00804F52" w:rsidRPr="00732F78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it-IT"/>
        </w:rPr>
      </w:pPr>
      <w:r>
        <w:rPr>
          <w:snapToGrid w:val="0"/>
          <w:color w:val="000000"/>
          <w:szCs w:val="22"/>
          <w:u w:val="single"/>
          <w:lang w:val="it-IT"/>
        </w:rPr>
        <w:tab/>
      </w:r>
      <w:r>
        <w:rPr>
          <w:snapToGrid w:val="0"/>
          <w:color w:val="000000"/>
          <w:szCs w:val="22"/>
          <w:u w:val="single"/>
          <w:lang w:val="it-IT"/>
        </w:rPr>
        <w:tab/>
      </w:r>
      <w:r>
        <w:rPr>
          <w:snapToGrid w:val="0"/>
          <w:color w:val="000000"/>
          <w:szCs w:val="22"/>
          <w:u w:val="single"/>
          <w:lang w:val="it-IT"/>
        </w:rPr>
        <w:tab/>
      </w:r>
    </w:p>
    <w:sectPr w:rsidR="00804F52" w:rsidRPr="00732F78" w:rsidSect="00B428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00" w:rsidRDefault="00CE4D00" w:rsidP="0041326E">
      <w:pPr>
        <w:spacing w:line="240" w:lineRule="auto"/>
      </w:pPr>
      <w:r>
        <w:separator/>
      </w:r>
    </w:p>
  </w:endnote>
  <w:endnote w:type="continuationSeparator" w:id="0">
    <w:p w:rsidR="00CE4D00" w:rsidRDefault="00CE4D00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974B17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974B17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Default="00F1567F" w:rsidP="001B57EA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4415790</wp:posOffset>
          </wp:positionH>
          <wp:positionV relativeFrom="margin">
            <wp:posOffset>8294370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D00" w:rsidRDefault="00F1567F" w:rsidP="00F1567F">
    <w:pPr>
      <w:pStyle w:val="Footer"/>
    </w:pPr>
    <w:r>
      <w:rPr>
        <w:rFonts w:ascii="C39T30Lfz" w:hAnsi="C39T30Lfz"/>
        <w:noProof/>
        <w:sz w:val="56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5459730</wp:posOffset>
          </wp:positionH>
          <wp:positionV relativeFrom="margin">
            <wp:posOffset>7912100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8/3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67F" w:rsidRDefault="00F1567F" w:rsidP="00F1567F">
    <w:pPr>
      <w:pStyle w:val="Footer"/>
      <w:ind w:right="1134"/>
    </w:pPr>
    <w:r>
      <w:t>GE.18-13154(E)</w:t>
    </w:r>
  </w:p>
  <w:p w:rsidR="00F1567F" w:rsidRPr="00F1567F" w:rsidRDefault="00F1567F" w:rsidP="00F1567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00" w:rsidRPr="00927788" w:rsidRDefault="00CE4D00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4D00" w:rsidRDefault="00CE4D00" w:rsidP="0041326E">
      <w:pPr>
        <w:spacing w:line="240" w:lineRule="auto"/>
      </w:pPr>
      <w:r>
        <w:continuationSeparator/>
      </w:r>
    </w:p>
  </w:footnote>
  <w:footnote w:id="1">
    <w:p w:rsidR="00CE4D00" w:rsidRPr="00706101" w:rsidRDefault="00CE4D00" w:rsidP="00361DD4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</w:t>
    </w:r>
    <w:r w:rsidR="001B5134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1B513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5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E0F"/>
    <w:rsid w:val="00142B1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E0140"/>
    <w:rsid w:val="001E178F"/>
    <w:rsid w:val="001E57DE"/>
    <w:rsid w:val="001F0B67"/>
    <w:rsid w:val="001F4B17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63E6D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66BD"/>
    <w:rsid w:val="002C109D"/>
    <w:rsid w:val="002C391E"/>
    <w:rsid w:val="002C488C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24A22"/>
    <w:rsid w:val="004304D2"/>
    <w:rsid w:val="00434817"/>
    <w:rsid w:val="00435E53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0F0B"/>
    <w:rsid w:val="0049253D"/>
    <w:rsid w:val="00497C10"/>
    <w:rsid w:val="004A1A51"/>
    <w:rsid w:val="004B2324"/>
    <w:rsid w:val="004B3902"/>
    <w:rsid w:val="004B618A"/>
    <w:rsid w:val="004C55A7"/>
    <w:rsid w:val="004D1B18"/>
    <w:rsid w:val="004D605A"/>
    <w:rsid w:val="004E3ECF"/>
    <w:rsid w:val="004E7574"/>
    <w:rsid w:val="004F25A5"/>
    <w:rsid w:val="004F3EBB"/>
    <w:rsid w:val="004F4072"/>
    <w:rsid w:val="004F6F35"/>
    <w:rsid w:val="00504809"/>
    <w:rsid w:val="00505B5E"/>
    <w:rsid w:val="00515CC6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918E4"/>
    <w:rsid w:val="00596CD9"/>
    <w:rsid w:val="005A3004"/>
    <w:rsid w:val="005A485E"/>
    <w:rsid w:val="005A65C1"/>
    <w:rsid w:val="005A6CE2"/>
    <w:rsid w:val="005B050B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5E63"/>
    <w:rsid w:val="006923F3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F4060"/>
    <w:rsid w:val="007009E2"/>
    <w:rsid w:val="00702689"/>
    <w:rsid w:val="00702783"/>
    <w:rsid w:val="00702F9E"/>
    <w:rsid w:val="0070449A"/>
    <w:rsid w:val="00704B05"/>
    <w:rsid w:val="0071581B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74AFA"/>
    <w:rsid w:val="00777726"/>
    <w:rsid w:val="00777D16"/>
    <w:rsid w:val="00780FC3"/>
    <w:rsid w:val="00792793"/>
    <w:rsid w:val="007937F5"/>
    <w:rsid w:val="0079426D"/>
    <w:rsid w:val="00795084"/>
    <w:rsid w:val="007958C9"/>
    <w:rsid w:val="007977DE"/>
    <w:rsid w:val="00797F2D"/>
    <w:rsid w:val="007A3790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72F"/>
    <w:rsid w:val="008F0D45"/>
    <w:rsid w:val="008F3582"/>
    <w:rsid w:val="008F37D2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4B17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57C"/>
    <w:rsid w:val="009C764C"/>
    <w:rsid w:val="009D4AD2"/>
    <w:rsid w:val="009E0978"/>
    <w:rsid w:val="009E34D3"/>
    <w:rsid w:val="009E49A7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E5D"/>
    <w:rsid w:val="00A472C4"/>
    <w:rsid w:val="00A51EBC"/>
    <w:rsid w:val="00A57B4D"/>
    <w:rsid w:val="00A63FFB"/>
    <w:rsid w:val="00A67462"/>
    <w:rsid w:val="00A7747B"/>
    <w:rsid w:val="00A95AE4"/>
    <w:rsid w:val="00A96540"/>
    <w:rsid w:val="00AA6A1E"/>
    <w:rsid w:val="00AB1FCC"/>
    <w:rsid w:val="00AB3421"/>
    <w:rsid w:val="00AB576C"/>
    <w:rsid w:val="00AB599A"/>
    <w:rsid w:val="00AB6042"/>
    <w:rsid w:val="00AC316E"/>
    <w:rsid w:val="00AD2EAE"/>
    <w:rsid w:val="00AE5210"/>
    <w:rsid w:val="00AF2510"/>
    <w:rsid w:val="00AF55A6"/>
    <w:rsid w:val="00B1023F"/>
    <w:rsid w:val="00B10D68"/>
    <w:rsid w:val="00B14A43"/>
    <w:rsid w:val="00B27179"/>
    <w:rsid w:val="00B31BA5"/>
    <w:rsid w:val="00B323E5"/>
    <w:rsid w:val="00B35847"/>
    <w:rsid w:val="00B428E6"/>
    <w:rsid w:val="00B4500F"/>
    <w:rsid w:val="00B5470E"/>
    <w:rsid w:val="00B54DC6"/>
    <w:rsid w:val="00B77E11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63B3"/>
    <w:rsid w:val="00DB7A95"/>
    <w:rsid w:val="00DC3DB8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4448C"/>
    <w:rsid w:val="00E45080"/>
    <w:rsid w:val="00E5003B"/>
    <w:rsid w:val="00E5291E"/>
    <w:rsid w:val="00E55DD7"/>
    <w:rsid w:val="00E57A99"/>
    <w:rsid w:val="00E74CDB"/>
    <w:rsid w:val="00E81FF0"/>
    <w:rsid w:val="00E940F0"/>
    <w:rsid w:val="00EA2638"/>
    <w:rsid w:val="00EA4753"/>
    <w:rsid w:val="00EA765B"/>
    <w:rsid w:val="00EA7F55"/>
    <w:rsid w:val="00EB1418"/>
    <w:rsid w:val="00EB7AB1"/>
    <w:rsid w:val="00EC485D"/>
    <w:rsid w:val="00EF35C5"/>
    <w:rsid w:val="00F07198"/>
    <w:rsid w:val="00F10F31"/>
    <w:rsid w:val="00F1567F"/>
    <w:rsid w:val="00F322E6"/>
    <w:rsid w:val="00F3294B"/>
    <w:rsid w:val="00F33DFF"/>
    <w:rsid w:val="00F3529C"/>
    <w:rsid w:val="00F3610C"/>
    <w:rsid w:val="00F364FA"/>
    <w:rsid w:val="00F427F1"/>
    <w:rsid w:val="00F435BD"/>
    <w:rsid w:val="00F53C29"/>
    <w:rsid w:val="00F74E60"/>
    <w:rsid w:val="00F82835"/>
    <w:rsid w:val="00F84560"/>
    <w:rsid w:val="00F877B4"/>
    <w:rsid w:val="00F939BD"/>
    <w:rsid w:val="00F9469D"/>
    <w:rsid w:val="00F95735"/>
    <w:rsid w:val="00F97270"/>
    <w:rsid w:val="00FA2BAC"/>
    <w:rsid w:val="00FB097F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F5C4153-D13A-4649-B449-085C5DD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AEEF-FFF3-4CF4-A590-9329A912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ECE/TRANS/WP.29/GRE/2018/32</vt:lpstr>
      <vt:lpstr/>
      <vt:lpstr/>
    </vt:vector>
  </TitlesOfParts>
  <Company>RDW Voertuiginformatie en -toelating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ECE/TRANS/WP.29/GRE/2018/32</dc:title>
  <dc:subject>1813154</dc:subject>
  <dc:creator>Rovers;Guichard</dc:creator>
  <cp:keywords/>
  <dc:description/>
  <cp:lastModifiedBy>Benedicte Boudol</cp:lastModifiedBy>
  <cp:revision>2</cp:revision>
  <cp:lastPrinted>2018-08-07T08:51:00Z</cp:lastPrinted>
  <dcterms:created xsi:type="dcterms:W3CDTF">2018-09-07T10:48:00Z</dcterms:created>
  <dcterms:modified xsi:type="dcterms:W3CDTF">2018-09-07T10:48:00Z</dcterms:modified>
</cp:coreProperties>
</file>