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F71D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F71DD" w:rsidP="006F71DD">
            <w:pPr>
              <w:jc w:val="right"/>
            </w:pPr>
            <w:r w:rsidRPr="006F71DD">
              <w:rPr>
                <w:sz w:val="40"/>
              </w:rPr>
              <w:t>ECE</w:t>
            </w:r>
            <w:r>
              <w:t>/TRANS/WP.29/GRVA/2018/8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F71DD" w:rsidP="00C97039">
            <w:pPr>
              <w:spacing w:before="240"/>
            </w:pPr>
            <w:r>
              <w:t>Distr. générale</w:t>
            </w:r>
          </w:p>
          <w:p w:rsidR="006F71DD" w:rsidRDefault="006F71DD" w:rsidP="006F71DD">
            <w:pPr>
              <w:spacing w:line="240" w:lineRule="exact"/>
            </w:pPr>
            <w:r>
              <w:t>17 juillet 2018</w:t>
            </w:r>
          </w:p>
          <w:p w:rsidR="006F71DD" w:rsidRDefault="006F71DD" w:rsidP="006F71DD">
            <w:pPr>
              <w:spacing w:line="240" w:lineRule="exact"/>
            </w:pPr>
            <w:r>
              <w:t>Français</w:t>
            </w:r>
          </w:p>
          <w:p w:rsidR="006F71DD" w:rsidRPr="00DB58B5" w:rsidRDefault="006F71DD" w:rsidP="006F71D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62F9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07E3" w:rsidRDefault="002807E3" w:rsidP="002807E3">
      <w:pPr>
        <w:spacing w:before="120" w:after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62F9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807E3" w:rsidRPr="002807E3" w:rsidRDefault="002807E3" w:rsidP="002807E3">
      <w:pPr>
        <w:spacing w:after="120"/>
        <w:rPr>
          <w:b/>
          <w:bCs/>
        </w:rPr>
      </w:pPr>
      <w:bookmarkStart w:id="1" w:name="_Hlk518466992"/>
      <w:r>
        <w:rPr>
          <w:b/>
          <w:bCs/>
          <w:lang w:val="fr-FR"/>
        </w:rPr>
        <w:t xml:space="preserve">Groupe de travail </w:t>
      </w:r>
      <w:r w:rsidRPr="001D5ECB">
        <w:rPr>
          <w:b/>
          <w:bCs/>
          <w:lang w:val="fr-FR"/>
        </w:rPr>
        <w:t>des véhicules automatisés</w:t>
      </w:r>
      <w:r>
        <w:rPr>
          <w:b/>
          <w:bCs/>
          <w:lang w:val="fr-FR"/>
        </w:rPr>
        <w:t>/</w:t>
      </w:r>
      <w:r w:rsidRPr="001D5ECB">
        <w:rPr>
          <w:b/>
          <w:bCs/>
          <w:lang w:val="fr-FR"/>
        </w:rPr>
        <w:t>autonomes</w:t>
      </w:r>
      <w:r>
        <w:rPr>
          <w:b/>
          <w:bCs/>
          <w:lang w:val="fr-FR"/>
        </w:rPr>
        <w:t xml:space="preserve"> et connectés</w:t>
      </w:r>
      <w:r w:rsidRPr="002807E3">
        <w:rPr>
          <w:rStyle w:val="FootnoteReference"/>
          <w:vertAlign w:val="baseline"/>
          <w:lang w:val="fr-FR"/>
        </w:rPr>
        <w:footnoteReference w:customMarkFollows="1" w:id="2"/>
        <w:t>*</w:t>
      </w:r>
      <w:bookmarkEnd w:id="1"/>
    </w:p>
    <w:p w:rsidR="002807E3" w:rsidRPr="004C4906" w:rsidRDefault="002807E3" w:rsidP="002807E3">
      <w:pPr>
        <w:rPr>
          <w:b/>
        </w:rPr>
      </w:pPr>
      <w:r>
        <w:rPr>
          <w:b/>
          <w:bCs/>
          <w:lang w:val="fr-FR"/>
        </w:rPr>
        <w:t>Première session</w:t>
      </w:r>
    </w:p>
    <w:p w:rsidR="002807E3" w:rsidRPr="004C4906" w:rsidRDefault="002807E3" w:rsidP="002807E3">
      <w:r>
        <w:rPr>
          <w:lang w:val="fr-FR"/>
        </w:rPr>
        <w:t>Genève, 25-28 septembre 2018</w:t>
      </w:r>
    </w:p>
    <w:p w:rsidR="002807E3" w:rsidRDefault="002807E3" w:rsidP="002807E3">
      <w:r>
        <w:rPr>
          <w:lang w:val="fr-FR"/>
        </w:rPr>
        <w:t>Point 14 a) de l</w:t>
      </w:r>
      <w:r w:rsidR="00B62F9A">
        <w:rPr>
          <w:lang w:val="fr-FR"/>
        </w:rPr>
        <w:t>’</w:t>
      </w:r>
      <w:r>
        <w:rPr>
          <w:lang w:val="fr-FR"/>
        </w:rPr>
        <w:t>ordre du jour provisoire</w:t>
      </w:r>
    </w:p>
    <w:p w:rsidR="002807E3" w:rsidRDefault="002807E3" w:rsidP="002807E3">
      <w:pPr>
        <w:rPr>
          <w:b/>
          <w:bCs/>
        </w:rPr>
      </w:pPr>
      <w:r>
        <w:rPr>
          <w:b/>
          <w:bCs/>
          <w:lang w:val="fr-FR"/>
        </w:rPr>
        <w:t>Activités restantes de l</w:t>
      </w:r>
      <w:r w:rsidR="00B62F9A">
        <w:rPr>
          <w:b/>
          <w:bCs/>
          <w:lang w:val="fr-FR"/>
        </w:rPr>
        <w:t>’</w:t>
      </w:r>
      <w:r>
        <w:rPr>
          <w:b/>
          <w:bCs/>
          <w:lang w:val="fr-FR"/>
        </w:rPr>
        <w:t>ancien Groupe de travail en matière</w:t>
      </w:r>
      <w:r>
        <w:rPr>
          <w:b/>
          <w:bCs/>
          <w:lang w:val="fr-FR"/>
        </w:rPr>
        <w:br/>
        <w:t>de roulement et de freinage (période de transfert des responsabilités) :</w:t>
      </w:r>
    </w:p>
    <w:p w:rsidR="002807E3" w:rsidRPr="004C4906" w:rsidRDefault="00367066" w:rsidP="002807E3">
      <w:pPr>
        <w:rPr>
          <w:b/>
        </w:rPr>
      </w:pPr>
      <w:r>
        <w:rPr>
          <w:b/>
          <w:bCs/>
          <w:lang w:val="fr-FR"/>
        </w:rPr>
        <w:t>P</w:t>
      </w:r>
      <w:r w:rsidR="002807E3">
        <w:rPr>
          <w:b/>
          <w:bCs/>
          <w:lang w:val="fr-FR"/>
        </w:rPr>
        <w:t>neumatiques</w:t>
      </w:r>
    </w:p>
    <w:p w:rsidR="002807E3" w:rsidRPr="004C4906" w:rsidRDefault="002807E3" w:rsidP="002807E3">
      <w:pPr>
        <w:pStyle w:val="HChG"/>
      </w:pPr>
      <w:bookmarkStart w:id="2" w:name="OLE_LINK2"/>
      <w:r>
        <w:rPr>
          <w:lang w:val="fr-FR"/>
        </w:rPr>
        <w:tab/>
      </w:r>
      <w:r>
        <w:rPr>
          <w:lang w:val="fr-FR"/>
        </w:rPr>
        <w:tab/>
        <w:t>Proposition d</w:t>
      </w:r>
      <w:r w:rsidR="00B62F9A">
        <w:rPr>
          <w:lang w:val="fr-FR"/>
        </w:rPr>
        <w:t>’</w:t>
      </w:r>
      <w:r>
        <w:rPr>
          <w:lang w:val="fr-FR"/>
        </w:rPr>
        <w:t>amendements au Règlement ONU n</w:t>
      </w:r>
      <w:r w:rsidRPr="001D5ECB">
        <w:rPr>
          <w:vertAlign w:val="superscript"/>
          <w:lang w:val="fr-FR"/>
        </w:rPr>
        <w:t>o</w:t>
      </w:r>
      <w:r w:rsidR="00391D0E">
        <w:rPr>
          <w:lang w:val="fr-FR"/>
        </w:rPr>
        <w:t> </w:t>
      </w:r>
      <w:r>
        <w:rPr>
          <w:lang w:val="fr-FR"/>
        </w:rPr>
        <w:t>106 (Pneumatiques pour véhicules agricoles et leurs remorques)</w:t>
      </w:r>
      <w:bookmarkEnd w:id="2"/>
    </w:p>
    <w:p w:rsidR="002807E3" w:rsidRDefault="002807E3" w:rsidP="002807E3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B62F9A">
        <w:rPr>
          <w:lang w:val="fr-FR"/>
        </w:rPr>
        <w:t>’</w:t>
      </w:r>
      <w:r>
        <w:rPr>
          <w:lang w:val="fr-FR"/>
        </w:rPr>
        <w:t>expert de l</w:t>
      </w:r>
      <w:r w:rsidR="00B62F9A">
        <w:rPr>
          <w:lang w:val="fr-FR"/>
        </w:rPr>
        <w:t>’</w:t>
      </w:r>
      <w:r>
        <w:rPr>
          <w:lang w:val="fr-FR"/>
        </w:rPr>
        <w:t>Organisation technique européenne</w:t>
      </w:r>
      <w:r>
        <w:rPr>
          <w:lang w:val="fr-FR"/>
        </w:rPr>
        <w:br/>
        <w:t>du pneumatique et de la jante (ETRTO)</w:t>
      </w:r>
      <w:r w:rsidRPr="002807E3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**</w:t>
      </w:r>
    </w:p>
    <w:p w:rsidR="002807E3" w:rsidRPr="009F1A57" w:rsidRDefault="002807E3" w:rsidP="002807E3">
      <w:pPr>
        <w:pStyle w:val="SingleTxtG"/>
        <w:ind w:firstLine="567"/>
      </w:pPr>
      <w:r>
        <w:rPr>
          <w:lang w:val="fr-FR"/>
        </w:rPr>
        <w:t>Le texte ci-après, établi par les experts de l</w:t>
      </w:r>
      <w:r w:rsidR="00B62F9A">
        <w:rPr>
          <w:lang w:val="fr-FR"/>
        </w:rPr>
        <w:t>’</w:t>
      </w:r>
      <w:r>
        <w:rPr>
          <w:lang w:val="fr-FR"/>
        </w:rPr>
        <w:t>Organisation technique européenne du pneumatique et de la jante (ETRTO), vise à modifier le Règlement n</w:t>
      </w:r>
      <w:r w:rsidRPr="00455F49">
        <w:rPr>
          <w:vertAlign w:val="superscript"/>
          <w:lang w:val="fr-FR"/>
        </w:rPr>
        <w:t>o</w:t>
      </w:r>
      <w:r w:rsidR="00391D0E">
        <w:rPr>
          <w:lang w:val="fr-FR"/>
        </w:rPr>
        <w:t> </w:t>
      </w:r>
      <w:r>
        <w:rPr>
          <w:lang w:val="fr-FR"/>
        </w:rPr>
        <w:t>106. Sauf indications contraires, les modifications qu</w:t>
      </w:r>
      <w:r w:rsidR="00B62F9A">
        <w:rPr>
          <w:lang w:val="fr-FR"/>
        </w:rPr>
        <w:t>’</w:t>
      </w:r>
      <w:r>
        <w:rPr>
          <w:lang w:val="fr-FR"/>
        </w:rPr>
        <w:t>il est proposé d</w:t>
      </w:r>
      <w:r w:rsidR="00B62F9A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:rsidR="002807E3" w:rsidRDefault="002807E3" w:rsidP="002807E3">
      <w:pPr>
        <w:pStyle w:val="HChG"/>
      </w:pPr>
      <w:r>
        <w:rPr>
          <w:lang w:val="fr-FR"/>
        </w:rPr>
        <w:tab/>
      </w:r>
      <w:r w:rsidR="00C55A5E">
        <w:rPr>
          <w:lang w:val="fr-FR"/>
        </w:rPr>
        <w:br w:type="page"/>
      </w:r>
      <w:r>
        <w:rPr>
          <w:lang w:val="fr-FR"/>
        </w:rPr>
        <w:lastRenderedPageBreak/>
        <w:t>I.</w:t>
      </w:r>
      <w:r>
        <w:rPr>
          <w:lang w:val="fr-FR"/>
        </w:rPr>
        <w:tab/>
        <w:t>Proposition</w:t>
      </w:r>
    </w:p>
    <w:p w:rsidR="002807E3" w:rsidRDefault="002807E3" w:rsidP="002807E3">
      <w:pPr>
        <w:pStyle w:val="SingleTxtG"/>
        <w:rPr>
          <w:bCs/>
        </w:rPr>
      </w:pPr>
      <w:r>
        <w:rPr>
          <w:i/>
          <w:iCs/>
          <w:lang w:val="fr-FR"/>
        </w:rPr>
        <w:t>Paragraphe 1</w:t>
      </w:r>
      <w:r>
        <w:rPr>
          <w:lang w:val="fr-FR"/>
        </w:rPr>
        <w:t>, modifier comme suit :</w:t>
      </w:r>
    </w:p>
    <w:p w:rsidR="002807E3" w:rsidRPr="002807E3" w:rsidRDefault="002807E3" w:rsidP="002807E3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  <w:rPr>
          <w:b/>
        </w:rPr>
      </w:pPr>
      <w:r>
        <w:rPr>
          <w:lang w:val="fr-FR"/>
        </w:rPr>
        <w:t>« </w:t>
      </w:r>
      <w:r w:rsidRPr="002807E3">
        <w:rPr>
          <w:b/>
          <w:lang w:val="fr-FR"/>
        </w:rPr>
        <w:t>1.</w:t>
      </w:r>
      <w:r w:rsidRPr="002807E3">
        <w:rPr>
          <w:b/>
          <w:lang w:val="fr-FR"/>
        </w:rPr>
        <w:tab/>
        <w:t>Domaine d</w:t>
      </w:r>
      <w:r w:rsidR="00B62F9A">
        <w:rPr>
          <w:b/>
          <w:lang w:val="fr-FR"/>
        </w:rPr>
        <w:t>’</w:t>
      </w:r>
      <w:r w:rsidRPr="002807E3">
        <w:rPr>
          <w:b/>
          <w:lang w:val="fr-FR"/>
        </w:rPr>
        <w:t>application</w:t>
      </w:r>
    </w:p>
    <w:p w:rsidR="00970D53" w:rsidRDefault="002807E3" w:rsidP="00970D53">
      <w:pPr>
        <w:pStyle w:val="SingleTxtG"/>
        <w:ind w:left="2268"/>
        <w:rPr>
          <w:strike/>
          <w:lang w:val="fr-FR"/>
        </w:rPr>
      </w:pPr>
      <w:r w:rsidRPr="002807E3">
        <w:rPr>
          <w:strike/>
          <w:lang w:val="fr-FR"/>
        </w:rPr>
        <w:t>Le présent Règlement s</w:t>
      </w:r>
      <w:r w:rsidR="00B62F9A">
        <w:rPr>
          <w:strike/>
          <w:lang w:val="fr-FR"/>
        </w:rPr>
        <w:t>’</w:t>
      </w:r>
      <w:r w:rsidRPr="002807E3">
        <w:rPr>
          <w:strike/>
          <w:lang w:val="fr-FR"/>
        </w:rPr>
        <w:t>applique aux pneumatiques neufs conçus principalement, mais pas exclusivement, pour les véhicules agricoles et forestiers (véhicules à moteur de la catégorie</w:t>
      </w:r>
      <w:r w:rsidR="00E41491">
        <w:rPr>
          <w:strike/>
          <w:lang w:val="fr-FR"/>
        </w:rPr>
        <w:t xml:space="preserve"> T1), les machines agricoles (à </w:t>
      </w:r>
      <w:r w:rsidRPr="002807E3">
        <w:rPr>
          <w:strike/>
          <w:lang w:val="fr-FR"/>
        </w:rPr>
        <w:t>moteur et remorquées) et les remorques agricoles, et définis par des codes de catégorie de vitesse correspondant à des vitess</w:t>
      </w:r>
      <w:r>
        <w:rPr>
          <w:strike/>
          <w:lang w:val="fr-FR"/>
        </w:rPr>
        <w:t>es de 65 km/h (code de vitesse “</w:t>
      </w:r>
      <w:r w:rsidRPr="002807E3">
        <w:rPr>
          <w:strike/>
          <w:lang w:val="fr-FR"/>
        </w:rPr>
        <w:t>D</w:t>
      </w:r>
      <w:r>
        <w:rPr>
          <w:strike/>
          <w:lang w:val="fr-FR"/>
        </w:rPr>
        <w:t>”</w:t>
      </w:r>
      <w:r w:rsidRPr="002807E3">
        <w:rPr>
          <w:strike/>
          <w:lang w:val="fr-FR"/>
        </w:rPr>
        <w:t>) au maximum.</w:t>
      </w:r>
    </w:p>
    <w:p w:rsidR="00970D53" w:rsidRDefault="002807E3" w:rsidP="00970D53">
      <w:pPr>
        <w:pStyle w:val="SingleTxtG"/>
        <w:ind w:left="2268"/>
        <w:rPr>
          <w:strike/>
          <w:lang w:val="fr-FR"/>
        </w:rPr>
      </w:pPr>
      <w:r>
        <w:rPr>
          <w:lang w:val="fr-FR"/>
        </w:rPr>
        <w:tab/>
      </w:r>
      <w:r>
        <w:rPr>
          <w:strike/>
          <w:lang w:val="fr-FR"/>
        </w:rPr>
        <w:t>Il ne s</w:t>
      </w:r>
      <w:r w:rsidR="00B62F9A">
        <w:rPr>
          <w:strike/>
          <w:lang w:val="fr-FR"/>
        </w:rPr>
        <w:t>’</w:t>
      </w:r>
      <w:r>
        <w:rPr>
          <w:strike/>
          <w:lang w:val="fr-FR"/>
        </w:rPr>
        <w:t>applique pas aux types de pneumatique principalement conçus pour d</w:t>
      </w:r>
      <w:r w:rsidR="00B62F9A">
        <w:rPr>
          <w:strike/>
          <w:lang w:val="fr-FR"/>
        </w:rPr>
        <w:t>’</w:t>
      </w:r>
      <w:r>
        <w:rPr>
          <w:strike/>
          <w:lang w:val="fr-FR"/>
        </w:rPr>
        <w:t>autres usages, tels que</w:t>
      </w:r>
      <w:r w:rsidR="00970D53">
        <w:t> </w:t>
      </w:r>
      <w:r>
        <w:rPr>
          <w:strike/>
          <w:lang w:val="fr-FR"/>
        </w:rPr>
        <w:t>:</w:t>
      </w:r>
    </w:p>
    <w:p w:rsidR="00970D53" w:rsidRDefault="002807E3" w:rsidP="00970D53">
      <w:pPr>
        <w:pStyle w:val="SingleTxtG"/>
        <w:ind w:left="2268"/>
        <w:rPr>
          <w:strike/>
          <w:lang w:val="fr-FR"/>
        </w:rPr>
      </w:pPr>
      <w:r>
        <w:rPr>
          <w:strike/>
          <w:lang w:val="fr-FR"/>
        </w:rPr>
        <w:t>a)</w:t>
      </w:r>
      <w:r w:rsidRPr="00B40CD8">
        <w:rPr>
          <w:strike/>
          <w:lang w:val="fr-FR"/>
        </w:rPr>
        <w:tab/>
      </w:r>
      <w:r w:rsidR="00970D53">
        <w:rPr>
          <w:strike/>
          <w:lang w:val="fr-FR"/>
        </w:rPr>
        <w:t>Les engins de génie civil ;</w:t>
      </w:r>
    </w:p>
    <w:p w:rsidR="002807E3" w:rsidRDefault="002807E3" w:rsidP="00970D53">
      <w:pPr>
        <w:pStyle w:val="SingleTxtG"/>
        <w:ind w:left="2268"/>
        <w:rPr>
          <w:strike/>
          <w:lang w:val="fr-FR"/>
        </w:rPr>
      </w:pPr>
      <w:r>
        <w:rPr>
          <w:strike/>
          <w:lang w:val="fr-FR"/>
        </w:rPr>
        <w:t>b)</w:t>
      </w:r>
      <w:r w:rsidRPr="00B40CD8">
        <w:rPr>
          <w:strike/>
          <w:lang w:val="fr-FR"/>
        </w:rPr>
        <w:tab/>
      </w:r>
      <w:r>
        <w:rPr>
          <w:strike/>
          <w:lang w:val="fr-FR"/>
        </w:rPr>
        <w:t>Les engins de manutention et les chariots élévateurs.</w:t>
      </w:r>
    </w:p>
    <w:p w:rsidR="002807E3" w:rsidRPr="00345ED4" w:rsidRDefault="002807E3" w:rsidP="004A7A9D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  <w:rPr>
          <w:b/>
          <w:bCs/>
        </w:rPr>
      </w:pPr>
      <w:r w:rsidRPr="00455F49">
        <w:rPr>
          <w:b/>
          <w:lang w:val="fr-FR"/>
        </w:rPr>
        <w:t>1.1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6C4676">
        <w:rPr>
          <w:b/>
          <w:bCs/>
          <w:lang w:val="fr-FR"/>
        </w:rPr>
        <w:t xml:space="preserve">Le présent </w:t>
      </w:r>
      <w:r>
        <w:rPr>
          <w:b/>
          <w:bCs/>
          <w:lang w:val="fr-FR"/>
        </w:rPr>
        <w:t>Règlement ONU s</w:t>
      </w:r>
      <w:r w:rsidR="00B62F9A">
        <w:rPr>
          <w:b/>
          <w:bCs/>
          <w:lang w:val="fr-FR"/>
        </w:rPr>
        <w:t>’</w:t>
      </w:r>
      <w:r>
        <w:rPr>
          <w:b/>
          <w:bCs/>
          <w:lang w:val="fr-FR"/>
        </w:rPr>
        <w:t>applique aux pneumatiques neufs conçus principalement, mais pas exclusivement, pour les véhicules agricoles et forestiers des catégories T, R et S</w:t>
      </w:r>
      <w:r>
        <w:rPr>
          <w:b/>
          <w:bCs/>
          <w:vertAlign w:val="superscript"/>
          <w:lang w:val="fr-FR"/>
        </w:rPr>
        <w:t>1</w:t>
      </w:r>
      <w:r>
        <w:rPr>
          <w:b/>
          <w:bCs/>
          <w:lang w:val="fr-FR"/>
        </w:rPr>
        <w:t>.</w:t>
      </w:r>
      <w:r>
        <w:rPr>
          <w:lang w:val="fr-FR"/>
        </w:rPr>
        <w:t xml:space="preserve"> </w:t>
      </w:r>
    </w:p>
    <w:p w:rsidR="002807E3" w:rsidRPr="00345ED4" w:rsidRDefault="002807E3" w:rsidP="004A7A9D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  <w:rPr>
          <w:b/>
          <w:bCs/>
        </w:rPr>
      </w:pPr>
      <w:r w:rsidRPr="00455F49">
        <w:rPr>
          <w:b/>
          <w:lang w:val="fr-FR"/>
        </w:rPr>
        <w:t>1.2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6C4676">
        <w:rPr>
          <w:b/>
          <w:bCs/>
          <w:lang w:val="fr-FR"/>
        </w:rPr>
        <w:t xml:space="preserve">Le présent </w:t>
      </w:r>
      <w:r>
        <w:rPr>
          <w:b/>
          <w:bCs/>
          <w:lang w:val="fr-FR"/>
        </w:rPr>
        <w:t>Règlement ONU ne s</w:t>
      </w:r>
      <w:r w:rsidR="00B62F9A">
        <w:rPr>
          <w:b/>
          <w:bCs/>
          <w:lang w:val="fr-FR"/>
        </w:rPr>
        <w:t>’</w:t>
      </w:r>
      <w:r>
        <w:rPr>
          <w:b/>
          <w:bCs/>
          <w:lang w:val="fr-FR"/>
        </w:rPr>
        <w:t>applique pas (des homologations ONU ne peuvent pas être accordées en vertu de ce Règlement) aux pneumatiques</w:t>
      </w:r>
      <w:r w:rsidR="00E41491">
        <w:rPr>
          <w:b/>
          <w:bCs/>
          <w:lang w:val="fr-FR"/>
        </w:rPr>
        <w:t xml:space="preserve"> </w:t>
      </w:r>
      <w:r w:rsidR="0067637B">
        <w:rPr>
          <w:b/>
          <w:bCs/>
          <w:lang w:val="fr-FR"/>
        </w:rPr>
        <w:t>suivants </w:t>
      </w:r>
      <w:r>
        <w:rPr>
          <w:b/>
          <w:bCs/>
          <w:lang w:val="fr-FR"/>
        </w:rPr>
        <w:t>:</w:t>
      </w:r>
      <w:r>
        <w:rPr>
          <w:lang w:val="fr-FR"/>
        </w:rPr>
        <w:t xml:space="preserve"> </w:t>
      </w:r>
    </w:p>
    <w:p w:rsidR="002807E3" w:rsidRPr="00345ED4" w:rsidRDefault="002807E3" w:rsidP="004A7A9D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  <w:rPr>
          <w:b/>
          <w:bCs/>
        </w:rPr>
      </w:pPr>
      <w:r w:rsidRPr="00455F49">
        <w:rPr>
          <w:b/>
          <w:lang w:val="fr-FR"/>
        </w:rPr>
        <w:t>1.2.1</w:t>
      </w:r>
      <w:r>
        <w:rPr>
          <w:lang w:val="fr-FR"/>
        </w:rPr>
        <w:tab/>
      </w:r>
      <w:r>
        <w:rPr>
          <w:b/>
          <w:bCs/>
          <w:lang w:val="fr-FR"/>
        </w:rPr>
        <w:t>Pneumatiques portant des symboles de catégorie de vitesse correspondant à des vitesses supérieures à 65 km/h (c</w:t>
      </w:r>
      <w:r w:rsidR="00B62F9A">
        <w:rPr>
          <w:b/>
          <w:bCs/>
          <w:lang w:val="fr-FR"/>
        </w:rPr>
        <w:t>’</w:t>
      </w:r>
      <w:r>
        <w:rPr>
          <w:b/>
          <w:bCs/>
          <w:lang w:val="fr-FR"/>
        </w:rPr>
        <w:t>est-à-dire, des symboles de caté</w:t>
      </w:r>
      <w:r w:rsidR="004A7A9D">
        <w:rPr>
          <w:b/>
          <w:bCs/>
          <w:lang w:val="fr-FR"/>
        </w:rPr>
        <w:t>gorie de vitesse supérieurs à “D”</w:t>
      </w:r>
      <w:r>
        <w:rPr>
          <w:b/>
          <w:bCs/>
          <w:lang w:val="fr-FR"/>
        </w:rPr>
        <w:t>.</w:t>
      </w:r>
    </w:p>
    <w:p w:rsidR="002807E3" w:rsidRPr="00345ED4" w:rsidRDefault="002807E3" w:rsidP="004A7A9D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  <w:rPr>
          <w:b/>
          <w:bCs/>
        </w:rPr>
      </w:pPr>
      <w:r w:rsidRPr="00455F49">
        <w:rPr>
          <w:b/>
          <w:lang w:val="fr-FR"/>
        </w:rPr>
        <w:t>1.2.2</w:t>
      </w:r>
      <w:r>
        <w:rPr>
          <w:lang w:val="fr-FR"/>
        </w:rPr>
        <w:tab/>
      </w:r>
      <w:r>
        <w:rPr>
          <w:b/>
          <w:bCs/>
          <w:lang w:val="fr-FR"/>
        </w:rPr>
        <w:t>Pneumatiques principalement conçus pour d</w:t>
      </w:r>
      <w:r w:rsidR="00B62F9A">
        <w:rPr>
          <w:b/>
          <w:bCs/>
          <w:lang w:val="fr-FR"/>
        </w:rPr>
        <w:t>’</w:t>
      </w:r>
      <w:r w:rsidR="004A7A9D">
        <w:rPr>
          <w:b/>
          <w:bCs/>
          <w:lang w:val="fr-FR"/>
        </w:rPr>
        <w:t>autres usages, tels que </w:t>
      </w:r>
      <w:r>
        <w:rPr>
          <w:b/>
          <w:bCs/>
          <w:lang w:val="fr-FR"/>
        </w:rPr>
        <w:t>:</w:t>
      </w:r>
    </w:p>
    <w:p w:rsidR="002807E3" w:rsidRPr="00345ED4" w:rsidRDefault="002807E3" w:rsidP="004A7A9D">
      <w:pPr>
        <w:pStyle w:val="SingleTxtG"/>
        <w:ind w:left="2268"/>
        <w:rPr>
          <w:b/>
          <w:bCs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 w:rsidR="004A7A9D">
        <w:rPr>
          <w:b/>
          <w:bCs/>
          <w:lang w:val="fr-FR"/>
        </w:rPr>
        <w:t>Les engins de génie civil ;</w:t>
      </w:r>
    </w:p>
    <w:p w:rsidR="002807E3" w:rsidRDefault="002807E3" w:rsidP="004A7A9D">
      <w:pPr>
        <w:pStyle w:val="SingleTxtG"/>
        <w:ind w:left="2268"/>
        <w:rPr>
          <w:b/>
          <w:bCs/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>Les engins de manutention et les chariots élévateurs.</w:t>
      </w:r>
      <w:r w:rsidR="004A7A9D">
        <w:rPr>
          <w:b/>
          <w:bCs/>
          <w:lang w:val="fr-FR"/>
        </w:rPr>
        <w:t> </w:t>
      </w:r>
      <w:r>
        <w:rPr>
          <w:b/>
          <w:bCs/>
          <w:lang w:val="fr-FR"/>
        </w:rPr>
        <w:t>».</w:t>
      </w:r>
    </w:p>
    <w:p w:rsidR="002807E3" w:rsidRDefault="002807E3" w:rsidP="004A7A9D">
      <w:pPr>
        <w:pStyle w:val="SingleTxtG"/>
        <w:rPr>
          <w:iCs/>
        </w:rPr>
      </w:pPr>
      <w:r>
        <w:rPr>
          <w:i/>
          <w:iCs/>
          <w:lang w:val="fr-FR"/>
        </w:rPr>
        <w:t>Le paragraphe 3.1.9.2</w:t>
      </w:r>
      <w:r>
        <w:rPr>
          <w:lang w:val="fr-FR"/>
        </w:rPr>
        <w:t xml:space="preserve"> devient le paragraphe 3.1.10.1 et est modifié </w:t>
      </w:r>
      <w:r w:rsidR="004A7A9D">
        <w:rPr>
          <w:lang w:val="fr-FR"/>
        </w:rPr>
        <w:t>comme suit </w:t>
      </w:r>
      <w:r>
        <w:rPr>
          <w:lang w:val="fr-FR"/>
        </w:rPr>
        <w:t>:</w:t>
      </w:r>
    </w:p>
    <w:p w:rsidR="002807E3" w:rsidRDefault="004A7A9D" w:rsidP="004A7A9D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</w:pPr>
      <w:r>
        <w:rPr>
          <w:lang w:val="fr-FR"/>
        </w:rPr>
        <w:t>« </w:t>
      </w:r>
      <w:r w:rsidR="002807E3">
        <w:rPr>
          <w:lang w:val="fr-FR"/>
        </w:rPr>
        <w:t>3.1.</w:t>
      </w:r>
      <w:r w:rsidR="002807E3">
        <w:rPr>
          <w:strike/>
          <w:lang w:val="fr-FR"/>
        </w:rPr>
        <w:t>9.2.</w:t>
      </w:r>
      <w:r w:rsidR="002807E3">
        <w:rPr>
          <w:b/>
          <w:bCs/>
          <w:lang w:val="fr-FR"/>
        </w:rPr>
        <w:t>10.1</w:t>
      </w:r>
      <w:r w:rsidR="002807E3">
        <w:rPr>
          <w:lang w:val="fr-FR"/>
        </w:rPr>
        <w:tab/>
        <w:t>L</w:t>
      </w:r>
      <w:r w:rsidR="00B62F9A">
        <w:rPr>
          <w:lang w:val="fr-FR"/>
        </w:rPr>
        <w:t>’</w:t>
      </w:r>
      <w:r w:rsidR="002807E3">
        <w:rPr>
          <w:lang w:val="fr-FR"/>
        </w:rPr>
        <w:t xml:space="preserve">inscription </w:t>
      </w:r>
      <w:r w:rsidR="00B86F48">
        <w:rPr>
          <w:lang w:val="fr-FR"/>
        </w:rPr>
        <w:t>“</w:t>
      </w:r>
      <w:r w:rsidR="002807E3">
        <w:rPr>
          <w:lang w:val="fr-FR"/>
        </w:rPr>
        <w:t>I-3</w:t>
      </w:r>
      <w:r w:rsidR="00B86F48">
        <w:rPr>
          <w:lang w:val="fr-FR"/>
        </w:rPr>
        <w:t>”</w:t>
      </w:r>
      <w:r w:rsidR="002807E3">
        <w:rPr>
          <w:lang w:val="fr-FR"/>
        </w:rPr>
        <w:t xml:space="preserve"> pour les pneumatiques pour machines agricoles de type </w:t>
      </w:r>
      <w:r w:rsidR="00B86F48">
        <w:rPr>
          <w:lang w:val="fr-FR"/>
        </w:rPr>
        <w:t>“</w:t>
      </w:r>
      <w:r w:rsidR="002807E3">
        <w:rPr>
          <w:lang w:val="fr-FR"/>
        </w:rPr>
        <w:t>traction</w:t>
      </w:r>
      <w:r w:rsidR="00B86F48">
        <w:rPr>
          <w:lang w:val="fr-FR"/>
        </w:rPr>
        <w:t>”</w:t>
      </w:r>
      <w:r w:rsidR="002807E3">
        <w:rPr>
          <w:lang w:val="fr-FR"/>
        </w:rPr>
        <w:t>, comme indiqué à l</w:t>
      </w:r>
      <w:r w:rsidR="00B62F9A">
        <w:rPr>
          <w:lang w:val="fr-FR"/>
        </w:rPr>
        <w:t>’</w:t>
      </w:r>
      <w:r>
        <w:rPr>
          <w:lang w:val="fr-FR"/>
        </w:rPr>
        <w:t>annexe 5, tableaux 5 et 6. </w:t>
      </w:r>
      <w:r w:rsidR="002807E3">
        <w:rPr>
          <w:lang w:val="fr-FR"/>
        </w:rPr>
        <w:t>».</w:t>
      </w:r>
    </w:p>
    <w:p w:rsidR="002807E3" w:rsidRPr="00455F49" w:rsidRDefault="002807E3" w:rsidP="004A7A9D">
      <w:pPr>
        <w:pStyle w:val="SingleTxtG"/>
      </w:pPr>
      <w:r>
        <w:rPr>
          <w:i/>
          <w:iCs/>
          <w:lang w:val="fr-FR"/>
        </w:rPr>
        <w:t>Annexe 5, tableau 5, note 3</w:t>
      </w:r>
      <w:r w:rsidRPr="00B86F48">
        <w:rPr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modifier comme suit :</w:t>
      </w:r>
    </w:p>
    <w:p w:rsidR="002807E3" w:rsidRDefault="004A7A9D" w:rsidP="004A7A9D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  <w:rPr>
          <w:sz w:val="18"/>
          <w:szCs w:val="18"/>
        </w:rPr>
      </w:pPr>
      <w:r>
        <w:rPr>
          <w:lang w:val="fr-FR"/>
        </w:rPr>
        <w:t>« </w:t>
      </w:r>
      <w:r w:rsidR="002807E3">
        <w:rPr>
          <w:lang w:val="fr-FR"/>
        </w:rPr>
        <w:t>3.</w:t>
      </w:r>
      <w:r w:rsidR="002807E3">
        <w:rPr>
          <w:lang w:val="fr-FR"/>
        </w:rPr>
        <w:tab/>
        <w:t>Les diamètres hors tout (D) figurant dans la colonne (*) concernent les pneumatiques por</w:t>
      </w:r>
      <w:r>
        <w:rPr>
          <w:lang w:val="fr-FR"/>
        </w:rPr>
        <w:t>tant le code de classification “</w:t>
      </w:r>
      <w:r w:rsidR="002807E3">
        <w:rPr>
          <w:lang w:val="fr-FR"/>
        </w:rPr>
        <w:t>I-3</w:t>
      </w:r>
      <w:r>
        <w:rPr>
          <w:lang w:val="fr-FR"/>
        </w:rPr>
        <w:t>”</w:t>
      </w:r>
      <w:r w:rsidR="002807E3">
        <w:rPr>
          <w:lang w:val="fr-FR"/>
        </w:rPr>
        <w:t xml:space="preserve"> </w:t>
      </w:r>
      <w:r>
        <w:rPr>
          <w:lang w:val="fr-FR"/>
        </w:rPr>
        <w:t>− (voir par. </w:t>
      </w:r>
      <w:r w:rsidR="002807E3" w:rsidRPr="005B3BF3">
        <w:rPr>
          <w:lang w:val="fr-FR"/>
        </w:rPr>
        <w:t>3.1.</w:t>
      </w:r>
      <w:r w:rsidR="002807E3" w:rsidRPr="005B3BF3">
        <w:rPr>
          <w:strike/>
          <w:lang w:val="fr-FR"/>
        </w:rPr>
        <w:t>9.2.</w:t>
      </w:r>
      <w:r w:rsidR="002807E3">
        <w:rPr>
          <w:b/>
          <w:bCs/>
          <w:lang w:val="fr-FR"/>
        </w:rPr>
        <w:t>10.1</w:t>
      </w:r>
      <w:r w:rsidR="002807E3">
        <w:rPr>
          <w:lang w:val="fr-FR"/>
        </w:rPr>
        <w:t xml:space="preserve"> du présent Règlement).</w:t>
      </w:r>
      <w:r>
        <w:rPr>
          <w:lang w:val="fr-FR"/>
        </w:rPr>
        <w:t> </w:t>
      </w:r>
      <w:r w:rsidR="002807E3">
        <w:rPr>
          <w:lang w:val="fr-FR"/>
        </w:rPr>
        <w:t>».</w:t>
      </w:r>
    </w:p>
    <w:p w:rsidR="002807E3" w:rsidRPr="00827F24" w:rsidRDefault="002807E3" w:rsidP="004A7A9D">
      <w:pPr>
        <w:pStyle w:val="SingleTxtG"/>
      </w:pPr>
      <w:r>
        <w:rPr>
          <w:i/>
          <w:iCs/>
          <w:lang w:val="fr-FR"/>
        </w:rPr>
        <w:t>Annexe 5, tableau 6, note 3</w:t>
      </w:r>
      <w:r w:rsidRPr="00B86F48">
        <w:rPr>
          <w:iCs/>
          <w:lang w:val="fr-FR"/>
        </w:rPr>
        <w:t>,</w:t>
      </w:r>
      <w:r w:rsidR="004A7A9D">
        <w:rPr>
          <w:lang w:val="fr-FR"/>
        </w:rPr>
        <w:t xml:space="preserve"> modifier comme suit </w:t>
      </w:r>
      <w:r>
        <w:rPr>
          <w:lang w:val="fr-FR"/>
        </w:rPr>
        <w:t>:</w:t>
      </w:r>
    </w:p>
    <w:p w:rsidR="002807E3" w:rsidRDefault="002807E3" w:rsidP="004A7A9D">
      <w:pPr>
        <w:suppressAutoHyphens w:val="0"/>
        <w:kinsoku/>
        <w:overflowPunct/>
        <w:snapToGrid/>
        <w:spacing w:after="120" w:line="240" w:lineRule="auto"/>
        <w:ind w:left="2268" w:right="1134" w:hanging="1134"/>
        <w:jc w:val="both"/>
        <w:rPr>
          <w:sz w:val="18"/>
          <w:szCs w:val="18"/>
        </w:rPr>
      </w:pPr>
      <w:r>
        <w:rPr>
          <w:lang w:val="fr-FR"/>
        </w:rPr>
        <w:t>«</w:t>
      </w:r>
      <w:r w:rsidR="004A7A9D">
        <w:rPr>
          <w:lang w:val="fr-FR"/>
        </w:rPr>
        <w:t> </w:t>
      </w:r>
      <w:r>
        <w:rPr>
          <w:lang w:val="fr-FR"/>
        </w:rPr>
        <w:t>3.</w:t>
      </w:r>
      <w:r>
        <w:rPr>
          <w:lang w:val="fr-FR"/>
        </w:rPr>
        <w:tab/>
        <w:t xml:space="preserve">Les diamètres hors tout (D) figurant dans la colonne (*) concernent les pneumatiques portant le code de classification </w:t>
      </w:r>
      <w:r w:rsidR="0067637B">
        <w:rPr>
          <w:lang w:val="fr-FR"/>
        </w:rPr>
        <w:t>“</w:t>
      </w:r>
      <w:r>
        <w:rPr>
          <w:lang w:val="fr-FR"/>
        </w:rPr>
        <w:t>I-3</w:t>
      </w:r>
      <w:r w:rsidR="0067637B">
        <w:rPr>
          <w:lang w:val="fr-FR"/>
        </w:rPr>
        <w:t>”</w:t>
      </w:r>
      <w:r>
        <w:rPr>
          <w:lang w:val="fr-FR"/>
        </w:rPr>
        <w:t xml:space="preserve"> − (voir par. </w:t>
      </w:r>
      <w:r w:rsidRPr="005B3BF3">
        <w:rPr>
          <w:lang w:val="fr-FR"/>
        </w:rPr>
        <w:t>3.1.</w:t>
      </w:r>
      <w:r w:rsidRPr="005B3BF3">
        <w:rPr>
          <w:strike/>
          <w:lang w:val="fr-FR"/>
        </w:rPr>
        <w:t>9.2</w:t>
      </w:r>
      <w:r>
        <w:rPr>
          <w:lang w:val="fr-FR"/>
        </w:rPr>
        <w:t>.</w:t>
      </w:r>
      <w:r>
        <w:rPr>
          <w:b/>
          <w:bCs/>
          <w:lang w:val="fr-FR"/>
        </w:rPr>
        <w:t xml:space="preserve">10.1 </w:t>
      </w:r>
      <w:r>
        <w:rPr>
          <w:lang w:val="fr-FR"/>
        </w:rPr>
        <w:t>du présent Règlement).</w:t>
      </w:r>
      <w:r w:rsidR="004A7A9D">
        <w:rPr>
          <w:lang w:val="fr-FR"/>
        </w:rPr>
        <w:t> </w:t>
      </w:r>
      <w:r>
        <w:rPr>
          <w:lang w:val="fr-FR"/>
        </w:rPr>
        <w:t>».</w:t>
      </w:r>
    </w:p>
    <w:p w:rsidR="002807E3" w:rsidRDefault="002807E3" w:rsidP="004A7A9D">
      <w:pPr>
        <w:pStyle w:val="SingleTxtG"/>
        <w:rPr>
          <w:lang w:val="fr-FR"/>
        </w:rPr>
      </w:pPr>
      <w:r>
        <w:rPr>
          <w:i/>
          <w:iCs/>
          <w:lang w:val="fr-FR"/>
        </w:rPr>
        <w:t>Annexe 5, tableau 7 (3 de 4)</w:t>
      </w:r>
      <w:r w:rsidR="004A7A9D">
        <w:rPr>
          <w:lang w:val="fr-FR"/>
        </w:rPr>
        <w:t>, modifier comme suit </w:t>
      </w:r>
      <w:r>
        <w:rPr>
          <w:lang w:val="fr-FR"/>
        </w:rPr>
        <w:t>:</w:t>
      </w:r>
    </w:p>
    <w:tbl>
      <w:tblPr>
        <w:tblStyle w:val="TableGrid"/>
        <w:tblW w:w="8505" w:type="dxa"/>
        <w:tblInd w:w="113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1688"/>
        <w:gridCol w:w="1688"/>
        <w:gridCol w:w="1688"/>
        <w:gridCol w:w="1688"/>
      </w:tblGrid>
      <w:tr w:rsidR="0026329A" w:rsidTr="00E05F5D">
        <w:tc>
          <w:tcPr>
            <w:tcW w:w="17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329A" w:rsidRPr="0026329A" w:rsidRDefault="0026329A" w:rsidP="0026329A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D</w:t>
            </w:r>
            <w:r>
              <w:rPr>
                <w:i/>
                <w:iCs/>
                <w:sz w:val="16"/>
                <w:szCs w:val="16"/>
                <w:lang w:val="fr-FR"/>
              </w:rPr>
              <w:t>ésignation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la dimension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du pneumatique</w:t>
            </w:r>
            <w:r w:rsidRPr="0026329A">
              <w:rPr>
                <w:i/>
                <w:iCs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329A" w:rsidRPr="0026329A" w:rsidRDefault="0026329A" w:rsidP="00F23E2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329A" w:rsidRPr="0026329A" w:rsidRDefault="00A809E5" w:rsidP="00F23E21">
            <w:pPr>
              <w:spacing w:before="80" w:after="80" w:line="200" w:lineRule="exact"/>
              <w:ind w:left="57" w:right="57"/>
              <w:jc w:val="center"/>
              <w:rPr>
                <w:i/>
                <w:w w:val="99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 xml:space="preserve">Grosseur nominale </w:t>
            </w:r>
            <w:r w:rsidR="0026329A" w:rsidRPr="0026329A">
              <w:rPr>
                <w:i/>
                <w:iCs/>
                <w:sz w:val="16"/>
                <w:szCs w:val="16"/>
                <w:lang w:val="fr-FR"/>
              </w:rPr>
              <w:t>du boudin (S1) (en mm)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329A" w:rsidRPr="0026329A" w:rsidRDefault="0026329A" w:rsidP="00F23E21">
            <w:pPr>
              <w:spacing w:before="80" w:after="80" w:line="200" w:lineRule="exact"/>
              <w:ind w:left="57" w:right="57"/>
              <w:jc w:val="center"/>
              <w:rPr>
                <w:i/>
                <w:w w:val="98"/>
                <w:sz w:val="16"/>
                <w:szCs w:val="16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Diamètre hors tout (D) (en mm)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329A" w:rsidRPr="0026329A" w:rsidRDefault="0026329A" w:rsidP="00F23E2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Diamètre nominal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de la jante (d) (en mm)</w:t>
            </w:r>
          </w:p>
        </w:tc>
      </w:tr>
      <w:tr w:rsidR="0026329A" w:rsidTr="00E05F5D">
        <w:tc>
          <w:tcPr>
            <w:tcW w:w="1764" w:type="dxa"/>
            <w:tcBorders>
              <w:top w:val="single" w:sz="12" w:space="0" w:color="auto"/>
            </w:tcBorders>
            <w:vAlign w:val="bottom"/>
          </w:tcPr>
          <w:p w:rsidR="0026329A" w:rsidRPr="005C7CCC" w:rsidRDefault="0026329A" w:rsidP="0026329A">
            <w:pPr>
              <w:spacing w:before="40" w:after="40"/>
              <w:ind w:left="57" w:right="57"/>
            </w:pPr>
            <w:r>
              <w:rPr>
                <w:lang w:val="fr-FR"/>
              </w:rPr>
              <w:t>...</w:t>
            </w:r>
          </w:p>
        </w:tc>
        <w:tc>
          <w:tcPr>
            <w:tcW w:w="1689" w:type="dxa"/>
            <w:tcBorders>
              <w:top w:val="single" w:sz="12" w:space="0" w:color="auto"/>
            </w:tcBorders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</w:tr>
      <w:tr w:rsidR="0026329A" w:rsidTr="00E05F5D">
        <w:tc>
          <w:tcPr>
            <w:tcW w:w="1764" w:type="dxa"/>
            <w:vAlign w:val="bottom"/>
          </w:tcPr>
          <w:p w:rsidR="0026329A" w:rsidRPr="005C7CCC" w:rsidRDefault="0026329A" w:rsidP="0026329A">
            <w:pPr>
              <w:spacing w:before="40" w:after="40"/>
              <w:ind w:left="57" w:right="57"/>
              <w:rPr>
                <w:i/>
                <w:u w:val="words"/>
              </w:rPr>
            </w:pPr>
            <w:r>
              <w:rPr>
                <w:strike/>
                <w:lang w:val="fr-FR"/>
              </w:rPr>
              <w:t>35</w:t>
            </w:r>
            <w:r>
              <w:rPr>
                <w:b/>
                <w:bCs/>
                <w:lang w:val="fr-FR"/>
              </w:rPr>
              <w:t>36</w:t>
            </w:r>
            <w:r>
              <w:rPr>
                <w:lang w:val="fr-FR"/>
              </w:rPr>
              <w:t xml:space="preserve">x16-17,5 </w:t>
            </w:r>
          </w:p>
        </w:tc>
        <w:tc>
          <w:tcPr>
            <w:tcW w:w="1689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10,5</w:t>
            </w:r>
          </w:p>
        </w:tc>
        <w:tc>
          <w:tcPr>
            <w:tcW w:w="1685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406</w:t>
            </w:r>
          </w:p>
        </w:tc>
        <w:tc>
          <w:tcPr>
            <w:tcW w:w="1688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914</w:t>
            </w:r>
          </w:p>
        </w:tc>
        <w:tc>
          <w:tcPr>
            <w:tcW w:w="1688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445</w:t>
            </w:r>
          </w:p>
        </w:tc>
      </w:tr>
      <w:tr w:rsidR="0026329A" w:rsidTr="00E05F5D">
        <w:tc>
          <w:tcPr>
            <w:tcW w:w="1764" w:type="dxa"/>
            <w:vAlign w:val="bottom"/>
          </w:tcPr>
          <w:p w:rsidR="0026329A" w:rsidRPr="005C7CCC" w:rsidRDefault="0026329A" w:rsidP="0026329A">
            <w:pPr>
              <w:spacing w:before="40" w:after="40"/>
              <w:ind w:left="57" w:right="57"/>
            </w:pPr>
            <w:r>
              <w:rPr>
                <w:lang w:val="fr-FR"/>
              </w:rPr>
              <w:t>...</w:t>
            </w:r>
          </w:p>
        </w:tc>
        <w:tc>
          <w:tcPr>
            <w:tcW w:w="1689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1685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1688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  <w:tc>
          <w:tcPr>
            <w:tcW w:w="1688" w:type="dxa"/>
            <w:vAlign w:val="bottom"/>
          </w:tcPr>
          <w:p w:rsidR="0026329A" w:rsidRPr="005C7CCC" w:rsidRDefault="0026329A" w:rsidP="00F23E21">
            <w:pPr>
              <w:spacing w:before="40" w:after="40"/>
              <w:ind w:left="57" w:right="57"/>
              <w:jc w:val="center"/>
            </w:pPr>
            <w:r>
              <w:rPr>
                <w:lang w:val="fr-FR"/>
              </w:rPr>
              <w:t>...</w:t>
            </w:r>
          </w:p>
        </w:tc>
      </w:tr>
    </w:tbl>
    <w:p w:rsidR="002807E3" w:rsidRDefault="002807E3" w:rsidP="003F5E86">
      <w:pPr>
        <w:pStyle w:val="SingleTxtG"/>
        <w:keepNext/>
        <w:keepLines/>
        <w:spacing w:before="240"/>
      </w:pPr>
      <w:r w:rsidRPr="00516367">
        <w:rPr>
          <w:i/>
          <w:lang w:val="fr-FR"/>
        </w:rPr>
        <w:lastRenderedPageBreak/>
        <w:t>Annexe 7, partie E</w:t>
      </w:r>
      <w:r w:rsidRPr="0026329A">
        <w:rPr>
          <w:lang w:val="fr-FR"/>
        </w:rPr>
        <w:t>,</w:t>
      </w:r>
      <w:r>
        <w:rPr>
          <w:lang w:val="fr-FR"/>
        </w:rPr>
        <w:t xml:space="preserve"> modifier le tableau</w:t>
      </w:r>
      <w:r w:rsidR="004A7A9D">
        <w:rPr>
          <w:lang w:val="fr-FR"/>
        </w:rPr>
        <w:t xml:space="preserve"> comme suit </w:t>
      </w:r>
      <w:r>
        <w:rPr>
          <w:lang w:val="fr-FR"/>
        </w:rPr>
        <w:t>:</w:t>
      </w:r>
    </w:p>
    <w:tbl>
      <w:tblPr>
        <w:tblW w:w="8505" w:type="dxa"/>
        <w:tblInd w:w="1134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8"/>
        <w:gridCol w:w="1418"/>
        <w:gridCol w:w="1418"/>
      </w:tblGrid>
      <w:tr w:rsidR="002807E3" w:rsidRPr="005C7CCC" w:rsidTr="00B62F9A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E3" w:rsidRPr="00B62F9A" w:rsidRDefault="002807E3" w:rsidP="003F5E86">
            <w:pPr>
              <w:keepNext/>
              <w:keepLines/>
              <w:spacing w:before="80" w:after="80" w:line="200" w:lineRule="exact"/>
              <w:rPr>
                <w:bCs/>
                <w:i/>
                <w:sz w:val="16"/>
                <w:szCs w:val="16"/>
              </w:rPr>
            </w:pPr>
            <w:r w:rsidRPr="00B62F9A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E3" w:rsidRPr="00B62F9A" w:rsidRDefault="002807E3" w:rsidP="003F5E86">
            <w:pPr>
              <w:keepNext/>
              <w:keepLines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B62F9A">
              <w:rPr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</w:tr>
      <w:tr w:rsidR="002807E3" w:rsidRPr="005C7CCC" w:rsidTr="00B62F9A">
        <w:trPr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E3" w:rsidRPr="00B62F9A" w:rsidRDefault="002807E3" w:rsidP="00B62F9A">
            <w:pPr>
              <w:spacing w:before="80" w:after="80" w:line="200" w:lineRule="exact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B62F9A">
              <w:rPr>
                <w:i/>
                <w:iCs/>
                <w:sz w:val="16"/>
                <w:szCs w:val="16"/>
                <w:lang w:val="fr-FR"/>
              </w:rPr>
              <w:t>A2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B62F9A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62F9A">
              <w:rPr>
                <w:b/>
                <w:bCs/>
                <w:i/>
                <w:iCs/>
                <w:sz w:val="16"/>
                <w:szCs w:val="16"/>
                <w:lang w:val="fr-FR"/>
              </w:rPr>
              <w:t>D</w:t>
            </w:r>
          </w:p>
        </w:tc>
      </w:tr>
      <w:tr w:rsidR="002807E3" w:rsidRPr="005C7CCC" w:rsidTr="006D6FDF">
        <w:trPr>
          <w:tblHeader/>
        </w:trPr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80" w:after="80" w:line="200" w:lineRule="exact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B62F9A">
              <w:rPr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B62F9A">
              <w:rPr>
                <w:i/>
                <w:iCs/>
                <w:sz w:val="16"/>
                <w:szCs w:val="16"/>
                <w:lang w:val="fr-FR"/>
              </w:rPr>
              <w:t>Applications cycliques</w:t>
            </w:r>
            <w:r w:rsidR="00B62F9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B62F9A">
              <w:rPr>
                <w:i/>
                <w:iCs/>
                <w:sz w:val="16"/>
                <w:szCs w:val="16"/>
                <w:lang w:val="fr-FR"/>
              </w:rPr>
              <w:t>(+)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62F9A">
              <w:rPr>
                <w:b/>
                <w:bCs/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807E3" w:rsidRPr="00B62F9A" w:rsidRDefault="002807E3" w:rsidP="00B62F9A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B62F9A">
              <w:rPr>
                <w:b/>
                <w:bCs/>
                <w:i/>
                <w:iCs/>
                <w:sz w:val="16"/>
                <w:szCs w:val="16"/>
                <w:lang w:val="fr-FR"/>
              </w:rPr>
              <w:t>Applications cycliques</w:t>
            </w:r>
            <w:r w:rsidR="00B62F9A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62F9A" w:rsidRPr="00B62F9A">
              <w:rPr>
                <w:i/>
                <w:iCs/>
                <w:sz w:val="16"/>
                <w:szCs w:val="16"/>
                <w:lang w:val="fr-FR"/>
              </w:rPr>
              <w:t>(+)</w:t>
            </w:r>
          </w:p>
        </w:tc>
      </w:tr>
      <w:tr w:rsidR="002807E3" w:rsidRPr="005C7CCC" w:rsidTr="006D6FDF"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67 (1)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bCs/>
                <w:sz w:val="18"/>
                <w:szCs w:val="18"/>
                <w:lang w:val="fr-FR"/>
              </w:rPr>
              <w:t>+67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bCs/>
                <w:sz w:val="18"/>
                <w:szCs w:val="18"/>
                <w:lang w:val="fr-FR"/>
              </w:rPr>
              <w:t>+92 (1)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50 (2)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bCs/>
                <w:sz w:val="18"/>
                <w:szCs w:val="18"/>
                <w:lang w:val="fr-FR"/>
              </w:rPr>
              <w:t>+44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bCs/>
                <w:sz w:val="18"/>
                <w:szCs w:val="18"/>
                <w:lang w:val="fr-FR"/>
              </w:rPr>
              <w:t>+73 (2)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+54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+42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+28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32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+23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33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+</w:t>
            </w:r>
            <w:r w:rsidR="002807E3" w:rsidRPr="00B62F9A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+19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34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+15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+15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+12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37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B62F9A" w:rsidP="00652E1A">
            <w:pPr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B62F9A">
              <w:rPr>
                <w:sz w:val="18"/>
                <w:szCs w:val="18"/>
                <w:lang w:val="fr-FR"/>
              </w:rPr>
              <w:t>-</w:t>
            </w:r>
            <w:r w:rsidR="002807E3" w:rsidRPr="00B62F9A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+8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55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+5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+3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65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0</w:t>
            </w:r>
          </w:p>
        </w:tc>
      </w:tr>
      <w:tr w:rsidR="002807E3" w:rsidRPr="005C7CCC" w:rsidTr="006D6FDF"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07E3" w:rsidRPr="00B62F9A" w:rsidRDefault="002807E3" w:rsidP="00B62F9A">
            <w:pPr>
              <w:spacing w:before="40" w:after="4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70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62F9A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-9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807E3" w:rsidRPr="00B62F9A" w:rsidRDefault="002807E3" w:rsidP="00652E1A">
            <w:pPr>
              <w:spacing w:before="40" w:after="4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62F9A">
              <w:rPr>
                <w:b/>
                <w:sz w:val="18"/>
                <w:szCs w:val="18"/>
                <w:lang w:val="fr-FR"/>
              </w:rPr>
              <w:t>-9</w:t>
            </w:r>
          </w:p>
        </w:tc>
      </w:tr>
    </w:tbl>
    <w:p w:rsidR="002807E3" w:rsidRDefault="00B62F9A" w:rsidP="00B62F9A">
      <w:pPr>
        <w:pStyle w:val="HChG"/>
      </w:pPr>
      <w:r>
        <w:rPr>
          <w:lang w:val="fr-FR"/>
        </w:rPr>
        <w:tab/>
      </w:r>
      <w:r w:rsidR="002807E3">
        <w:rPr>
          <w:lang w:val="fr-FR"/>
        </w:rPr>
        <w:t>II.</w:t>
      </w:r>
      <w:r w:rsidR="002807E3">
        <w:rPr>
          <w:lang w:val="fr-FR"/>
        </w:rPr>
        <w:tab/>
        <w:t>Justification</w:t>
      </w:r>
    </w:p>
    <w:p w:rsidR="002807E3" w:rsidRDefault="002807E3" w:rsidP="00B62F9A">
      <w:pPr>
        <w:pStyle w:val="SingleTxtG"/>
        <w:rPr>
          <w:color w:val="222222"/>
          <w:shd w:val="clear" w:color="auto" w:fill="FFFFFF"/>
        </w:rPr>
      </w:pPr>
      <w:r>
        <w:rPr>
          <w:lang w:val="fr-FR"/>
        </w:rPr>
        <w:t>1.</w:t>
      </w:r>
      <w:r>
        <w:rPr>
          <w:lang w:val="fr-FR"/>
        </w:rPr>
        <w:tab/>
        <w:t>La modification de la structure du champ d</w:t>
      </w:r>
      <w:r w:rsidR="00B62F9A">
        <w:rPr>
          <w:lang w:val="fr-FR"/>
        </w:rPr>
        <w:t>’</w:t>
      </w:r>
      <w:r>
        <w:rPr>
          <w:lang w:val="fr-FR"/>
        </w:rPr>
        <w:t>application est opérée conformément à l</w:t>
      </w:r>
      <w:r w:rsidR="00B62F9A">
        <w:rPr>
          <w:lang w:val="fr-FR"/>
        </w:rPr>
        <w:t>’</w:t>
      </w:r>
      <w:r>
        <w:rPr>
          <w:lang w:val="fr-FR"/>
        </w:rPr>
        <w:t>exemple fourni à l</w:t>
      </w:r>
      <w:r w:rsidR="00B62F9A">
        <w:rPr>
          <w:lang w:val="fr-FR"/>
        </w:rPr>
        <w:t>’</w:t>
      </w:r>
      <w:r>
        <w:rPr>
          <w:lang w:val="fr-FR"/>
        </w:rPr>
        <w:t>annexe 2 du document informel WP29-175-03. En outre, la proposition de modification du champ d</w:t>
      </w:r>
      <w:r w:rsidR="00B62F9A">
        <w:rPr>
          <w:lang w:val="fr-FR"/>
        </w:rPr>
        <w:t>’</w:t>
      </w:r>
      <w:r>
        <w:rPr>
          <w:lang w:val="fr-FR"/>
        </w:rPr>
        <w:t>application s</w:t>
      </w:r>
      <w:r w:rsidR="00B62F9A">
        <w:rPr>
          <w:lang w:val="fr-FR"/>
        </w:rPr>
        <w:t>’</w:t>
      </w:r>
      <w:r>
        <w:rPr>
          <w:lang w:val="fr-FR"/>
        </w:rPr>
        <w:t>applique aux catégories de véhicules S et R, définies comme suit dans la Résolution d</w:t>
      </w:r>
      <w:r w:rsidR="00B62F9A">
        <w:rPr>
          <w:lang w:val="fr-FR"/>
        </w:rPr>
        <w:t>’</w:t>
      </w:r>
      <w:r>
        <w:rPr>
          <w:lang w:val="fr-FR"/>
        </w:rPr>
        <w:t>ensemble sur la construction des véhicules (R.E.3)</w:t>
      </w:r>
      <w:r w:rsidR="00B62F9A">
        <w:rPr>
          <w:lang w:val="fr-FR"/>
        </w:rPr>
        <w:t> :</w:t>
      </w:r>
    </w:p>
    <w:p w:rsidR="002807E3" w:rsidRPr="00B62F9A" w:rsidRDefault="00B62F9A" w:rsidP="00B62F9A">
      <w:pPr>
        <w:pStyle w:val="SingleTxtGR"/>
        <w:tabs>
          <w:tab w:val="clear" w:pos="1701"/>
        </w:tabs>
        <w:rPr>
          <w:lang w:val="fr-CH"/>
        </w:rPr>
      </w:pPr>
      <w:r>
        <w:rPr>
          <w:lang w:val="fr-FR"/>
        </w:rPr>
        <w:t>« </w:t>
      </w:r>
      <w:r w:rsidR="002807E3">
        <w:rPr>
          <w:lang w:val="fr-FR"/>
        </w:rPr>
        <w:t>2.6</w:t>
      </w:r>
      <w:r w:rsidR="002807E3">
        <w:rPr>
          <w:lang w:val="fr-FR"/>
        </w:rPr>
        <w:tab/>
        <w:t>Véhicules agricoles (catégories T, R et S)</w:t>
      </w:r>
    </w:p>
    <w:p w:rsidR="002807E3" w:rsidRPr="00B62F9A" w:rsidRDefault="002807E3" w:rsidP="00B62F9A">
      <w:pPr>
        <w:pStyle w:val="SingleTxtGR"/>
        <w:tabs>
          <w:tab w:val="clear" w:pos="1701"/>
        </w:tabs>
        <w:ind w:left="2268" w:hanging="1134"/>
        <w:rPr>
          <w:lang w:val="fr-CH"/>
        </w:rPr>
      </w:pPr>
      <w:r>
        <w:rPr>
          <w:lang w:val="fr-FR"/>
        </w:rPr>
        <w:t>2.6.1</w:t>
      </w:r>
      <w:r w:rsidR="00B62F9A">
        <w:rPr>
          <w:lang w:val="fr-FR"/>
        </w:rPr>
        <w:tab/>
        <w:t>“</w:t>
      </w:r>
      <w:r w:rsidRPr="00110093">
        <w:rPr>
          <w:i/>
          <w:lang w:val="fr-FR"/>
        </w:rPr>
        <w:t>Catégorie T</w:t>
      </w:r>
      <w:r w:rsidR="00B62F9A">
        <w:rPr>
          <w:lang w:val="fr-FR"/>
        </w:rPr>
        <w:t>”</w:t>
      </w:r>
      <w:r>
        <w:rPr>
          <w:lang w:val="fr-FR"/>
        </w:rPr>
        <w:t xml:space="preserve"> − Tout véhicule agricole ou forestier à roues ou à chenilles, à moteur, ayant au moins deux essieux et une vitesse maximale par construction égale ou supérieure à 6 km/h, dont la fonction réside essentiellement dans sa puissance de traction et qui est spécialement conçu pour tirer, pousser, porter ou actionner certains équipements interchangeables destinés à des usages agricoles ou forestiers, ou tracter des remorques ou engins agrico</w:t>
      </w:r>
      <w:r w:rsidR="00B62F9A">
        <w:rPr>
          <w:lang w:val="fr-FR"/>
        </w:rPr>
        <w:t>les ou forestiers </w:t>
      </w:r>
      <w:r>
        <w:rPr>
          <w:lang w:val="fr-FR"/>
        </w:rPr>
        <w:t>; il peut être aménagé pour transporter une charge dans un contexte agricole ou forestier et/ou peut être équipé d</w:t>
      </w:r>
      <w:r w:rsidR="00B62F9A">
        <w:rPr>
          <w:lang w:val="fr-FR"/>
        </w:rPr>
        <w:t>’</w:t>
      </w:r>
      <w:r>
        <w:rPr>
          <w:lang w:val="fr-FR"/>
        </w:rPr>
        <w:t>un ou de plusieurs sièges passagers.</w:t>
      </w:r>
    </w:p>
    <w:p w:rsidR="002807E3" w:rsidRPr="00B62F9A" w:rsidRDefault="002807E3" w:rsidP="00B62F9A">
      <w:pPr>
        <w:pStyle w:val="SingleTxtGR"/>
        <w:tabs>
          <w:tab w:val="clear" w:pos="1701"/>
        </w:tabs>
        <w:ind w:left="2268" w:hanging="1134"/>
        <w:rPr>
          <w:bCs/>
          <w:lang w:val="fr-CH"/>
        </w:rPr>
      </w:pPr>
      <w:r>
        <w:rPr>
          <w:lang w:val="fr-FR"/>
        </w:rPr>
        <w:t>2.6.2</w:t>
      </w:r>
      <w:r w:rsidR="00B62F9A">
        <w:rPr>
          <w:lang w:val="fr-FR"/>
        </w:rPr>
        <w:tab/>
        <w:t>“</w:t>
      </w:r>
      <w:r w:rsidRPr="00110093">
        <w:rPr>
          <w:i/>
          <w:lang w:val="fr-FR"/>
        </w:rPr>
        <w:t>Catégorie R</w:t>
      </w:r>
      <w:r w:rsidR="00B62F9A">
        <w:rPr>
          <w:lang w:val="fr-FR"/>
        </w:rPr>
        <w:t xml:space="preserve"> </w:t>
      </w:r>
      <w:r w:rsidR="00B62F9A" w:rsidRPr="00515439">
        <w:rPr>
          <w:i/>
          <w:lang w:val="fr-FR"/>
        </w:rPr>
        <w:t>− Remorque agricole</w:t>
      </w:r>
      <w:r w:rsidR="00515439">
        <w:rPr>
          <w:lang w:val="fr-FR"/>
        </w:rPr>
        <w:t>”</w:t>
      </w:r>
      <w:r w:rsidR="00B62F9A">
        <w:rPr>
          <w:lang w:val="fr-FR"/>
        </w:rPr>
        <w:t> </w:t>
      </w:r>
      <w:r>
        <w:rPr>
          <w:lang w:val="fr-FR"/>
        </w:rPr>
        <w:t>: Tout véhicule agricole ou forestier principalement conçu pour être attelé à un tracteur et principalement destiné au transport de chargements ou au traitement de matières et pour lequel le rapport charge maximale techniquement admissible/masse à vide est supérieur ou égal à 3,0.</w:t>
      </w:r>
    </w:p>
    <w:p w:rsidR="002807E3" w:rsidRPr="00B62F9A" w:rsidRDefault="002807E3" w:rsidP="00B62F9A">
      <w:pPr>
        <w:pStyle w:val="SingleTxtGR"/>
        <w:tabs>
          <w:tab w:val="clear" w:pos="1701"/>
        </w:tabs>
        <w:ind w:left="2268" w:hanging="1134"/>
        <w:rPr>
          <w:bCs/>
          <w:lang w:val="fr-CH"/>
        </w:rPr>
      </w:pPr>
      <w:r>
        <w:rPr>
          <w:lang w:val="fr-FR"/>
        </w:rPr>
        <w:t>2.6.3</w:t>
      </w:r>
      <w:r w:rsidR="00B62F9A">
        <w:rPr>
          <w:lang w:val="fr-FR"/>
        </w:rPr>
        <w:tab/>
        <w:t>“</w:t>
      </w:r>
      <w:r w:rsidRPr="00110093">
        <w:rPr>
          <w:i/>
          <w:lang w:val="fr-FR"/>
        </w:rPr>
        <w:t>Catégorie S</w:t>
      </w:r>
      <w:r>
        <w:rPr>
          <w:lang w:val="fr-FR"/>
        </w:rPr>
        <w:t xml:space="preserve"> − </w:t>
      </w:r>
      <w:r w:rsidRPr="00515439">
        <w:rPr>
          <w:i/>
          <w:lang w:val="fr-FR"/>
        </w:rPr>
        <w:t>Équipements interchangeables tractés</w:t>
      </w:r>
      <w:r w:rsidR="00515439">
        <w:rPr>
          <w:lang w:val="fr-FR"/>
        </w:rPr>
        <w:t>”</w:t>
      </w:r>
      <w:r w:rsidR="00B62F9A">
        <w:rPr>
          <w:lang w:val="fr-FR"/>
        </w:rPr>
        <w:t> </w:t>
      </w:r>
      <w:r>
        <w:rPr>
          <w:lang w:val="fr-FR"/>
        </w:rPr>
        <w:t>: Tout véhicule agricole ou forestier conçu pour être attelé à un tracteur, et dont les fonctions peuvent être modifiées ou étendues, qui comporte un outil à demeure ou est conçu pour traiter des matières, qui peut comporter un plateau de chargement conçu et réalisé pour recevoir les outils et dispositifs nécessaires à l</w:t>
      </w:r>
      <w:r w:rsidR="00B62F9A">
        <w:rPr>
          <w:lang w:val="fr-FR"/>
        </w:rPr>
        <w:t>’</w:t>
      </w:r>
      <w:r>
        <w:rPr>
          <w:lang w:val="fr-FR"/>
        </w:rPr>
        <w:t xml:space="preserve">exécution de ces tâches, ainsi que pour entreposer temporairement des matières produites ou nécessaires pendant le travail et pour lequel le rapport </w:t>
      </w:r>
      <w:r>
        <w:rPr>
          <w:lang w:val="fr-FR"/>
        </w:rPr>
        <w:lastRenderedPageBreak/>
        <w:t>charge maximale techniquement admissible/ma</w:t>
      </w:r>
      <w:r w:rsidR="00E05F5D">
        <w:rPr>
          <w:lang w:val="fr-FR"/>
        </w:rPr>
        <w:t>sse à vide est inférieur à </w:t>
      </w:r>
      <w:r w:rsidR="00B62F9A">
        <w:rPr>
          <w:lang w:val="fr-FR"/>
        </w:rPr>
        <w:t>3,0. </w:t>
      </w:r>
      <w:r>
        <w:rPr>
          <w:lang w:val="fr-FR"/>
        </w:rPr>
        <w:t>».</w:t>
      </w:r>
    </w:p>
    <w:p w:rsidR="002807E3" w:rsidRDefault="002807E3" w:rsidP="00B62F9A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Il s</w:t>
      </w:r>
      <w:r w:rsidR="00B62F9A">
        <w:rPr>
          <w:lang w:val="fr-FR"/>
        </w:rPr>
        <w:t>’</w:t>
      </w:r>
      <w:r>
        <w:rPr>
          <w:lang w:val="fr-FR"/>
        </w:rPr>
        <w:t>avère nécessaire de transformer le paragraphe 3.1.9.2 en paragraphe 3.1.10.1, car le paragraphe 3.1.9.2 renvoie aux pneumatiques pour machines agricoles</w:t>
      </w:r>
      <w:r w:rsidR="00E05F5D">
        <w:rPr>
          <w:lang w:val="fr-FR"/>
        </w:rPr>
        <w:t xml:space="preserve"> tandis que le paragraphe </w:t>
      </w:r>
      <w:r>
        <w:rPr>
          <w:lang w:val="fr-FR"/>
        </w:rPr>
        <w:t>3.1.9 porte sur les pneumatiques pour engins forestiers</w:t>
      </w:r>
      <w:r w:rsidR="00E05F5D">
        <w:rPr>
          <w:lang w:val="fr-FR"/>
        </w:rPr>
        <w:t>. Sachant que le paragraphe </w:t>
      </w:r>
      <w:r>
        <w:rPr>
          <w:lang w:val="fr-FR"/>
        </w:rPr>
        <w:t>3.1.10 renvoie aux pneumatiques pour machines agricoles, il apparaît plus judicieux de procéder à cette renumérotation. Les</w:t>
      </w:r>
      <w:r w:rsidR="00E05F5D">
        <w:rPr>
          <w:lang w:val="fr-FR"/>
        </w:rPr>
        <w:t xml:space="preserve"> notes 3 du </w:t>
      </w:r>
      <w:r>
        <w:rPr>
          <w:lang w:val="fr-FR"/>
        </w:rPr>
        <w:t>tableau 5 et du tableau 6 de l</w:t>
      </w:r>
      <w:r w:rsidR="00B62F9A">
        <w:rPr>
          <w:lang w:val="fr-FR"/>
        </w:rPr>
        <w:t>’</w:t>
      </w:r>
      <w:r w:rsidR="00E05F5D">
        <w:rPr>
          <w:lang w:val="fr-FR"/>
        </w:rPr>
        <w:t>annexe </w:t>
      </w:r>
      <w:r>
        <w:rPr>
          <w:lang w:val="fr-FR"/>
        </w:rPr>
        <w:t>5 devront être modifiées en conséquence.</w:t>
      </w:r>
    </w:p>
    <w:p w:rsidR="002807E3" w:rsidRDefault="002807E3" w:rsidP="00B62F9A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 xml:space="preserve">Dans le complément 16, la ligne 35x16 – 17,5 </w:t>
      </w:r>
      <w:r w:rsidRPr="0086165B">
        <w:rPr>
          <w:lang w:val="fr-FR"/>
        </w:rPr>
        <w:t xml:space="preserve">a été ajoutée par erreur </w:t>
      </w:r>
      <w:r>
        <w:rPr>
          <w:lang w:val="fr-FR"/>
        </w:rPr>
        <w:t>dans le tableau</w:t>
      </w:r>
      <w:r w:rsidR="00E05F5D">
        <w:rPr>
          <w:lang w:val="fr-FR"/>
        </w:rPr>
        <w:t> </w:t>
      </w:r>
      <w:r>
        <w:rPr>
          <w:lang w:val="fr-FR"/>
        </w:rPr>
        <w:t>7 (3 de 4) de l</w:t>
      </w:r>
      <w:r w:rsidR="00B62F9A">
        <w:rPr>
          <w:lang w:val="fr-FR"/>
        </w:rPr>
        <w:t>’</w:t>
      </w:r>
      <w:r>
        <w:rPr>
          <w:lang w:val="fr-FR"/>
        </w:rPr>
        <w:t>annexe 5, au lieu de 36x16</w:t>
      </w:r>
      <w:r w:rsidR="00E41491">
        <w:rPr>
          <w:lang w:val="fr-FR"/>
        </w:rPr>
        <w:t xml:space="preserve"> </w:t>
      </w:r>
      <w:r>
        <w:rPr>
          <w:lang w:val="fr-FR"/>
        </w:rPr>
        <w:t>– 17,5 ; la présente proposition vise à corriger cette erreur.</w:t>
      </w:r>
    </w:p>
    <w:p w:rsidR="00970D53" w:rsidRDefault="002807E3" w:rsidP="00B62F9A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Il apparaît nécessaire de modifier (étendre) le tableau</w:t>
      </w:r>
      <w:r w:rsidR="00E41491">
        <w:rPr>
          <w:lang w:val="fr-FR"/>
        </w:rPr>
        <w:t xml:space="preserve"> </w:t>
      </w:r>
      <w:r>
        <w:rPr>
          <w:lang w:val="fr-FR"/>
        </w:rPr>
        <w:t xml:space="preserve">qui figure dans la partie E de </w:t>
      </w:r>
      <w:r w:rsidRPr="00E05F5D">
        <w:t>l</w:t>
      </w:r>
      <w:r w:rsidR="00B62F9A" w:rsidRPr="00E05F5D">
        <w:t>’</w:t>
      </w:r>
      <w:r w:rsidR="00E05F5D" w:rsidRPr="00E05F5D">
        <w:t>annexe</w:t>
      </w:r>
      <w:r w:rsidR="00E05F5D">
        <w:t> </w:t>
      </w:r>
      <w:r w:rsidRPr="00E05F5D">
        <w:t>7</w:t>
      </w:r>
      <w:r>
        <w:rPr>
          <w:lang w:val="fr-FR"/>
        </w:rPr>
        <w:t xml:space="preserve"> pour tenir compte de la variation de la capacité de charge des pneumatiques pour engins de travaux publics (tracteurs industriels ou</w:t>
      </w:r>
      <w:r w:rsidR="00E41491">
        <w:rPr>
          <w:lang w:val="fr-FR"/>
        </w:rPr>
        <w:t xml:space="preserve"> </w:t>
      </w:r>
      <w:r>
        <w:rPr>
          <w:lang w:val="fr-FR"/>
        </w:rPr>
        <w:t>chargeuses</w:t>
      </w:r>
      <w:r w:rsidRPr="000F4001">
        <w:t xml:space="preserve"> </w:t>
      </w:r>
      <w:r w:rsidRPr="000F4001">
        <w:rPr>
          <w:lang w:val="fr-FR"/>
        </w:rPr>
        <w:t>à direction à glissement</w:t>
      </w:r>
      <w:r>
        <w:rPr>
          <w:lang w:val="fr-FR"/>
        </w:rPr>
        <w:t xml:space="preserve"> /mini-chargeuses) portant le symbole de catégorie de vitesse</w:t>
      </w:r>
      <w:r w:rsidR="00E05F5D">
        <w:rPr>
          <w:lang w:val="fr-FR"/>
        </w:rPr>
        <w:t xml:space="preserve"> « </w:t>
      </w:r>
      <w:r>
        <w:rPr>
          <w:lang w:val="fr-FR"/>
        </w:rPr>
        <w:t>D</w:t>
      </w:r>
      <w:r w:rsidR="00E05F5D">
        <w:rPr>
          <w:lang w:val="fr-FR"/>
        </w:rPr>
        <w:t> </w:t>
      </w:r>
      <w:r>
        <w:rPr>
          <w:lang w:val="fr-FR"/>
        </w:rPr>
        <w:t>».</w:t>
      </w:r>
    </w:p>
    <w:p w:rsidR="00B62F9A" w:rsidRPr="00B62F9A" w:rsidRDefault="00B62F9A" w:rsidP="00B62F9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62F9A" w:rsidRPr="00B62F9A" w:rsidSect="006F71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08" w:rsidRDefault="00734008" w:rsidP="00F95C08">
      <w:pPr>
        <w:spacing w:line="240" w:lineRule="auto"/>
      </w:pPr>
    </w:p>
  </w:endnote>
  <w:endnote w:type="continuationSeparator" w:id="0">
    <w:p w:rsidR="00734008" w:rsidRPr="00AC3823" w:rsidRDefault="00734008" w:rsidP="00AC3823">
      <w:pPr>
        <w:pStyle w:val="Footer"/>
      </w:pPr>
    </w:p>
  </w:endnote>
  <w:endnote w:type="continuationNotice" w:id="1">
    <w:p w:rsidR="00734008" w:rsidRDefault="007340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DD" w:rsidRPr="006F71DD" w:rsidRDefault="006F71DD" w:rsidP="006F71DD">
    <w:pPr>
      <w:pStyle w:val="Footer"/>
      <w:tabs>
        <w:tab w:val="right" w:pos="9638"/>
      </w:tabs>
    </w:pPr>
    <w:r w:rsidRPr="006F71DD">
      <w:rPr>
        <w:b/>
        <w:sz w:val="18"/>
      </w:rPr>
      <w:fldChar w:fldCharType="begin"/>
    </w:r>
    <w:r w:rsidRPr="006F71DD">
      <w:rPr>
        <w:b/>
        <w:sz w:val="18"/>
      </w:rPr>
      <w:instrText xml:space="preserve"> PAGE  \* MERGEFORMAT </w:instrText>
    </w:r>
    <w:r w:rsidRPr="006F71DD">
      <w:rPr>
        <w:b/>
        <w:sz w:val="18"/>
      </w:rPr>
      <w:fldChar w:fldCharType="separate"/>
    </w:r>
    <w:r w:rsidR="00CE595E">
      <w:rPr>
        <w:b/>
        <w:noProof/>
        <w:sz w:val="18"/>
      </w:rPr>
      <w:t>2</w:t>
    </w:r>
    <w:r w:rsidRPr="006F71DD">
      <w:rPr>
        <w:b/>
        <w:sz w:val="18"/>
      </w:rPr>
      <w:fldChar w:fldCharType="end"/>
    </w:r>
    <w:r>
      <w:rPr>
        <w:b/>
        <w:sz w:val="18"/>
      </w:rPr>
      <w:tab/>
    </w:r>
    <w:r>
      <w:t>GE.18-11813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DD" w:rsidRPr="006F71DD" w:rsidRDefault="006F71DD" w:rsidP="006F71DD">
    <w:pPr>
      <w:pStyle w:val="Footer"/>
      <w:tabs>
        <w:tab w:val="right" w:pos="9638"/>
      </w:tabs>
      <w:rPr>
        <w:b/>
        <w:sz w:val="18"/>
      </w:rPr>
    </w:pPr>
    <w:r>
      <w:t>GE.18-11813</w:t>
    </w:r>
    <w:r>
      <w:tab/>
    </w:r>
    <w:r w:rsidRPr="006F71DD">
      <w:rPr>
        <w:b/>
        <w:sz w:val="18"/>
      </w:rPr>
      <w:fldChar w:fldCharType="begin"/>
    </w:r>
    <w:r w:rsidRPr="006F71DD">
      <w:rPr>
        <w:b/>
        <w:sz w:val="18"/>
      </w:rPr>
      <w:instrText xml:space="preserve"> PAGE  \* MERGEFORMAT </w:instrText>
    </w:r>
    <w:r w:rsidRPr="006F71DD">
      <w:rPr>
        <w:b/>
        <w:sz w:val="18"/>
      </w:rPr>
      <w:fldChar w:fldCharType="separate"/>
    </w:r>
    <w:r w:rsidR="00CE595E">
      <w:rPr>
        <w:b/>
        <w:noProof/>
        <w:sz w:val="18"/>
      </w:rPr>
      <w:t>3</w:t>
    </w:r>
    <w:r w:rsidRPr="006F71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F71DD" w:rsidRDefault="006F71DD" w:rsidP="006F71D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18-11813  (F)    260718    100818</w:t>
    </w:r>
    <w:r>
      <w:rPr>
        <w:sz w:val="20"/>
      </w:rPr>
      <w:br/>
    </w:r>
    <w:r w:rsidRPr="006F71DD">
      <w:rPr>
        <w:rFonts w:ascii="C39T30Lfz" w:hAnsi="C39T30Lfz"/>
        <w:sz w:val="56"/>
      </w:rPr>
      <w:t></w:t>
    </w:r>
    <w:r w:rsidRPr="006F71DD">
      <w:rPr>
        <w:rFonts w:ascii="C39T30Lfz" w:hAnsi="C39T30Lfz"/>
        <w:sz w:val="56"/>
      </w:rPr>
      <w:t></w:t>
    </w:r>
    <w:r w:rsidRPr="006F71DD">
      <w:rPr>
        <w:rFonts w:ascii="C39T30Lfz" w:hAnsi="C39T30Lfz"/>
        <w:sz w:val="56"/>
      </w:rPr>
      <w:t></w:t>
    </w:r>
    <w:r w:rsidRPr="006F71DD">
      <w:rPr>
        <w:rFonts w:ascii="C39T30Lfz" w:hAnsi="C39T30Lfz"/>
        <w:sz w:val="56"/>
      </w:rPr>
      <w:t></w:t>
    </w:r>
    <w:r w:rsidRPr="006F71DD">
      <w:rPr>
        <w:rFonts w:ascii="C39T30Lfz" w:hAnsi="C39T30Lfz"/>
        <w:sz w:val="56"/>
      </w:rPr>
      <w:t></w:t>
    </w:r>
    <w:r w:rsidRPr="006F71DD">
      <w:rPr>
        <w:rFonts w:ascii="C39T30Lfz" w:hAnsi="C39T30Lfz"/>
        <w:sz w:val="56"/>
      </w:rPr>
      <w:t></w:t>
    </w:r>
    <w:r w:rsidRPr="006F71DD">
      <w:rPr>
        <w:rFonts w:ascii="C39T30Lfz" w:hAnsi="C39T30Lfz"/>
        <w:sz w:val="56"/>
      </w:rPr>
      <w:t></w:t>
    </w:r>
    <w:r w:rsidRPr="006F71DD">
      <w:rPr>
        <w:rFonts w:ascii="C39T30Lfz" w:hAnsi="C39T30Lfz"/>
        <w:sz w:val="56"/>
      </w:rPr>
      <w:t></w:t>
    </w:r>
    <w:r w:rsidRPr="006F71D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8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08" w:rsidRPr="00AC3823" w:rsidRDefault="007340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4008" w:rsidRPr="00AC3823" w:rsidRDefault="007340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4008" w:rsidRPr="00AC3823" w:rsidRDefault="00734008">
      <w:pPr>
        <w:spacing w:line="240" w:lineRule="auto"/>
        <w:rPr>
          <w:sz w:val="2"/>
          <w:szCs w:val="2"/>
        </w:rPr>
      </w:pPr>
    </w:p>
  </w:footnote>
  <w:footnote w:id="2">
    <w:p w:rsidR="002807E3" w:rsidRPr="00557010" w:rsidRDefault="002807E3" w:rsidP="002807E3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 xml:space="preserve">Anciennement : </w:t>
      </w:r>
      <w:r w:rsidRPr="002807E3">
        <w:rPr>
          <w:b/>
          <w:lang w:val="fr-FR"/>
        </w:rPr>
        <w:t>Groupe de travail en matière de roulement et de freinage (GRRF)</w:t>
      </w:r>
      <w:r w:rsidRPr="002807E3">
        <w:rPr>
          <w:lang w:val="fr-FR"/>
        </w:rPr>
        <w:t>.</w:t>
      </w:r>
    </w:p>
  </w:footnote>
  <w:footnote w:id="3">
    <w:p w:rsidR="002807E3" w:rsidRPr="00557010" w:rsidRDefault="002807E3" w:rsidP="002807E3">
      <w:pPr>
        <w:pStyle w:val="FootnoteText"/>
      </w:pPr>
      <w:r>
        <w:rPr>
          <w:lang w:val="fr-FR"/>
        </w:rPr>
        <w:tab/>
        <w:t>**</w:t>
      </w:r>
      <w:r>
        <w:rPr>
          <w:lang w:val="fr-FR"/>
        </w:rPr>
        <w:tab/>
        <w:t>Conformément au document ECE/TRANS/274, par. 52, au document ECE/TRANS/WP.29/1139, par. 33 et au programme de travail du Comité des transports intérieurs pour la période 2014-2018 (ECE/TRANS/240, par. 105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  <w:bookmarkStart w:id="3" w:name="_Hlk518911396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DD" w:rsidRPr="006F71DD" w:rsidRDefault="0039382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E595E">
      <w:t>ECE/TRANS/WP.29/GRVA/2018/8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DD" w:rsidRPr="006F71DD" w:rsidRDefault="00393827" w:rsidP="006F71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E595E">
      <w:t>ECE/TRANS/WP.29/GRVA/2018/8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0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6329A"/>
    <w:rsid w:val="002744B8"/>
    <w:rsid w:val="002807E3"/>
    <w:rsid w:val="002832AC"/>
    <w:rsid w:val="002D7C93"/>
    <w:rsid w:val="00305801"/>
    <w:rsid w:val="00367066"/>
    <w:rsid w:val="003916DE"/>
    <w:rsid w:val="00391D0E"/>
    <w:rsid w:val="00393827"/>
    <w:rsid w:val="003F5E86"/>
    <w:rsid w:val="004251D3"/>
    <w:rsid w:val="00441C3B"/>
    <w:rsid w:val="00446FE5"/>
    <w:rsid w:val="00452396"/>
    <w:rsid w:val="004837D8"/>
    <w:rsid w:val="004A7A9D"/>
    <w:rsid w:val="004E468C"/>
    <w:rsid w:val="00515439"/>
    <w:rsid w:val="005505B7"/>
    <w:rsid w:val="00573BE5"/>
    <w:rsid w:val="00586ED3"/>
    <w:rsid w:val="00596AA9"/>
    <w:rsid w:val="00652E1A"/>
    <w:rsid w:val="0067637B"/>
    <w:rsid w:val="006D6FDF"/>
    <w:rsid w:val="006F71DD"/>
    <w:rsid w:val="0071601D"/>
    <w:rsid w:val="00734008"/>
    <w:rsid w:val="007A62E6"/>
    <w:rsid w:val="007F20FA"/>
    <w:rsid w:val="0080684C"/>
    <w:rsid w:val="00871C75"/>
    <w:rsid w:val="008776DC"/>
    <w:rsid w:val="009446C0"/>
    <w:rsid w:val="009705C8"/>
    <w:rsid w:val="00970D53"/>
    <w:rsid w:val="00973F69"/>
    <w:rsid w:val="009C1CF4"/>
    <w:rsid w:val="009F6B74"/>
    <w:rsid w:val="00A30353"/>
    <w:rsid w:val="00A809E5"/>
    <w:rsid w:val="00AC3823"/>
    <w:rsid w:val="00AE323C"/>
    <w:rsid w:val="00AF0CB5"/>
    <w:rsid w:val="00B00181"/>
    <w:rsid w:val="00B00B0D"/>
    <w:rsid w:val="00B40CD8"/>
    <w:rsid w:val="00B62F9A"/>
    <w:rsid w:val="00B765F7"/>
    <w:rsid w:val="00B86F48"/>
    <w:rsid w:val="00BA0CA9"/>
    <w:rsid w:val="00C02897"/>
    <w:rsid w:val="00C55A5E"/>
    <w:rsid w:val="00C97039"/>
    <w:rsid w:val="00CE595E"/>
    <w:rsid w:val="00D3439C"/>
    <w:rsid w:val="00DB1831"/>
    <w:rsid w:val="00DD3BFD"/>
    <w:rsid w:val="00DF6678"/>
    <w:rsid w:val="00E0299A"/>
    <w:rsid w:val="00E05F5D"/>
    <w:rsid w:val="00E41491"/>
    <w:rsid w:val="00E85C74"/>
    <w:rsid w:val="00EA6547"/>
    <w:rsid w:val="00EF2E22"/>
    <w:rsid w:val="00F23E2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43657D-4464-4F24-B747-5685673E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GR">
    <w:name w:val="_ Single Txt_GR"/>
    <w:basedOn w:val="Normal"/>
    <w:qFormat/>
    <w:rsid w:val="00B62F9A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ECE/TRANS/WP.29/GRVA/2018/8</vt:lpstr>
      <vt:lpstr>ECE/TRANS/WP.29/GRVA/2018/8</vt:lpstr>
    </vt:vector>
  </TitlesOfParts>
  <Company>DCM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ECE/TRANS/WP.29/GRVA/2018/8</dc:title>
  <dc:subject/>
  <dc:creator>Sylvie LAMY</dc:creator>
  <cp:keywords/>
  <cp:lastModifiedBy>Benedicte Boudol</cp:lastModifiedBy>
  <cp:revision>2</cp:revision>
  <cp:lastPrinted>2018-08-10T08:24:00Z</cp:lastPrinted>
  <dcterms:created xsi:type="dcterms:W3CDTF">2018-08-10T08:50:00Z</dcterms:created>
  <dcterms:modified xsi:type="dcterms:W3CDTF">2018-08-10T08:50:00Z</dcterms:modified>
</cp:coreProperties>
</file>