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4C7BF3" w14:paraId="0DAF0E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18860" w14:textId="77777777" w:rsidR="003003A7" w:rsidRPr="004C7BF3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9A611" w14:textId="77777777" w:rsidR="003003A7" w:rsidRPr="004C7BF3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48FD3" w14:textId="77777777" w:rsidR="003003A7" w:rsidRPr="004C7BF3" w:rsidRDefault="003003A7" w:rsidP="003003A7">
            <w:pPr>
              <w:jc w:val="right"/>
              <w:rPr>
                <w:b/>
                <w:sz w:val="40"/>
                <w:szCs w:val="40"/>
              </w:rPr>
            </w:pPr>
            <w:r w:rsidRPr="004C7BF3">
              <w:rPr>
                <w:b/>
                <w:sz w:val="40"/>
                <w:szCs w:val="40"/>
              </w:rPr>
              <w:t>UN/SCEGHS/</w:t>
            </w:r>
            <w:r w:rsidR="00FD5246" w:rsidRPr="004C7BF3">
              <w:rPr>
                <w:b/>
                <w:sz w:val="40"/>
                <w:szCs w:val="40"/>
              </w:rPr>
              <w:t>38</w:t>
            </w:r>
            <w:r w:rsidRPr="004C7BF3">
              <w:rPr>
                <w:b/>
                <w:sz w:val="40"/>
                <w:szCs w:val="40"/>
              </w:rPr>
              <w:t>/INF.</w:t>
            </w:r>
            <w:r w:rsidR="008256B4">
              <w:rPr>
                <w:b/>
                <w:sz w:val="40"/>
                <w:szCs w:val="40"/>
              </w:rPr>
              <w:t>32</w:t>
            </w:r>
          </w:p>
          <w:p w14:paraId="1BAE6D98" w14:textId="77777777" w:rsidR="003003A7" w:rsidRPr="004C7BF3" w:rsidRDefault="003003A7" w:rsidP="003003A7">
            <w:pPr>
              <w:jc w:val="right"/>
            </w:pPr>
          </w:p>
        </w:tc>
      </w:tr>
    </w:tbl>
    <w:p w14:paraId="0FD88DBF" w14:textId="77777777" w:rsidR="000019B8" w:rsidRPr="004C7BF3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366"/>
      </w:tblGrid>
      <w:tr w:rsidR="00645A0B" w:rsidRPr="004C7BF3" w14:paraId="1F5150E6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1C28ABE" w14:textId="77777777" w:rsidR="00645A0B" w:rsidRPr="004C7BF3" w:rsidRDefault="00645A0B" w:rsidP="00F94792">
            <w:pPr>
              <w:tabs>
                <w:tab w:val="right" w:pos="9214"/>
              </w:tabs>
            </w:pPr>
            <w:r w:rsidRPr="004C7BF3">
              <w:rPr>
                <w:b/>
                <w:sz w:val="24"/>
                <w:szCs w:val="24"/>
              </w:rPr>
              <w:t>Committee of Experts on the Transport of Dangerous Goods</w:t>
            </w:r>
            <w:r w:rsidRPr="004C7BF3">
              <w:rPr>
                <w:b/>
                <w:sz w:val="24"/>
                <w:szCs w:val="24"/>
              </w:rPr>
              <w:tab/>
            </w:r>
            <w:r w:rsidRPr="004C7BF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C7BF3">
              <w:rPr>
                <w:b/>
                <w:sz w:val="24"/>
                <w:szCs w:val="24"/>
              </w:rPr>
              <w:br/>
              <w:t>and Labelling of Chemicals</w:t>
            </w:r>
            <w:r w:rsidRPr="004C7BF3">
              <w:rPr>
                <w:b/>
              </w:rPr>
              <w:tab/>
            </w:r>
            <w:r w:rsidR="008256B4">
              <w:rPr>
                <w:b/>
              </w:rPr>
              <w:t>12</w:t>
            </w:r>
            <w:r w:rsidR="00F07619" w:rsidRPr="004C7BF3">
              <w:rPr>
                <w:b/>
              </w:rPr>
              <w:t xml:space="preserve"> </w:t>
            </w:r>
            <w:r w:rsidR="00F94792" w:rsidRPr="004C7BF3">
              <w:rPr>
                <w:b/>
              </w:rPr>
              <w:t>Dec</w:t>
            </w:r>
            <w:r w:rsidR="00E0695F" w:rsidRPr="004C7BF3">
              <w:rPr>
                <w:b/>
              </w:rPr>
              <w:t>ember</w:t>
            </w:r>
            <w:r w:rsidR="007932E3" w:rsidRPr="004C7BF3">
              <w:rPr>
                <w:b/>
              </w:rPr>
              <w:t xml:space="preserve"> </w:t>
            </w:r>
            <w:r w:rsidR="00D42C29" w:rsidRPr="004C7BF3">
              <w:rPr>
                <w:b/>
                <w:sz w:val="18"/>
                <w:szCs w:val="24"/>
              </w:rPr>
              <w:t>2019</w:t>
            </w:r>
          </w:p>
        </w:tc>
      </w:tr>
      <w:tr w:rsidR="00AA7DBF" w:rsidRPr="004C7BF3" w14:paraId="189442E3" w14:textId="77777777" w:rsidTr="00A93985">
        <w:tc>
          <w:tcPr>
            <w:tcW w:w="527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D99520A" w14:textId="77777777" w:rsidR="00AA7DBF" w:rsidRPr="004C7BF3" w:rsidRDefault="00AA7DBF" w:rsidP="00AA7DBF">
            <w:pPr>
              <w:spacing w:before="120"/>
              <w:rPr>
                <w:b/>
              </w:rPr>
            </w:pPr>
            <w:r w:rsidRPr="004C7BF3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36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DED02E1" w14:textId="77777777" w:rsidR="00AA7DBF" w:rsidRPr="004C7BF3" w:rsidRDefault="00AA7DBF" w:rsidP="00AA7DBF">
            <w:pPr>
              <w:spacing w:before="120"/>
              <w:rPr>
                <w:b/>
              </w:rPr>
            </w:pPr>
          </w:p>
        </w:tc>
      </w:tr>
      <w:tr w:rsidR="00AA7DBF" w:rsidRPr="004C7BF3" w14:paraId="6885FDF8" w14:textId="77777777" w:rsidTr="00A93985">
        <w:tc>
          <w:tcPr>
            <w:tcW w:w="527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AD6CD71" w14:textId="77777777" w:rsidR="00AA7DBF" w:rsidRPr="004C7BF3" w:rsidRDefault="00AA7DBF" w:rsidP="00AA7DBF">
            <w:pPr>
              <w:spacing w:before="120"/>
              <w:ind w:left="34" w:hanging="34"/>
              <w:rPr>
                <w:b/>
              </w:rPr>
            </w:pPr>
            <w:r w:rsidRPr="004C7BF3">
              <w:rPr>
                <w:b/>
              </w:rPr>
              <w:t xml:space="preserve">Thirty-eight session </w:t>
            </w:r>
          </w:p>
        </w:tc>
        <w:tc>
          <w:tcPr>
            <w:tcW w:w="436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D942CC2" w14:textId="77777777" w:rsidR="00AA7DBF" w:rsidRPr="004C7BF3" w:rsidRDefault="00AA7DBF" w:rsidP="00AA7DBF">
            <w:pPr>
              <w:spacing w:before="120"/>
              <w:ind w:left="34" w:hanging="34"/>
              <w:rPr>
                <w:b/>
              </w:rPr>
            </w:pPr>
          </w:p>
        </w:tc>
      </w:tr>
      <w:tr w:rsidR="00AA7DBF" w:rsidRPr="004C7BF3" w14:paraId="07FBDFE4" w14:textId="77777777" w:rsidTr="00A93985">
        <w:tc>
          <w:tcPr>
            <w:tcW w:w="5279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76CF7B8" w14:textId="77777777" w:rsidR="00AA7DBF" w:rsidRPr="004C7BF3" w:rsidRDefault="00AA7DBF" w:rsidP="00AA7DBF">
            <w:pPr>
              <w:spacing w:before="40"/>
            </w:pPr>
            <w:r w:rsidRPr="004C7BF3">
              <w:t>Geneva, 11-13 December 2019</w:t>
            </w:r>
          </w:p>
          <w:p w14:paraId="2A684BE0" w14:textId="77777777" w:rsidR="00AA7DBF" w:rsidRPr="004C7BF3" w:rsidRDefault="00AA7DBF" w:rsidP="00AA7DBF">
            <w:pPr>
              <w:spacing w:before="40"/>
            </w:pPr>
            <w:r w:rsidRPr="004C7BF3">
              <w:t>Item 2 (b) of the provisional agenda</w:t>
            </w:r>
          </w:p>
          <w:p w14:paraId="7E3397EE" w14:textId="77777777" w:rsidR="00AA7DBF" w:rsidRPr="004C7BF3" w:rsidRDefault="00AA7DBF" w:rsidP="00AA7DBF">
            <w:pPr>
              <w:spacing w:before="40"/>
              <w:rPr>
                <w:b/>
              </w:rPr>
            </w:pPr>
            <w:r w:rsidRPr="004C7BF3">
              <w:rPr>
                <w:b/>
              </w:rPr>
              <w:t>Classification criteria and related hazard communication: review of Chapter 2.1</w:t>
            </w:r>
          </w:p>
        </w:tc>
        <w:tc>
          <w:tcPr>
            <w:tcW w:w="4366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C587136" w14:textId="77777777" w:rsidR="00AA7DBF" w:rsidRPr="004C7BF3" w:rsidRDefault="00AA7DBF" w:rsidP="00AA7DBF">
            <w:pPr>
              <w:spacing w:before="40"/>
              <w:rPr>
                <w:b/>
              </w:rPr>
            </w:pPr>
          </w:p>
        </w:tc>
      </w:tr>
    </w:tbl>
    <w:p w14:paraId="64C8D4F0" w14:textId="77777777" w:rsidR="0086013A" w:rsidRPr="004C7BF3" w:rsidRDefault="0086013A" w:rsidP="00CF6D3F">
      <w:pPr>
        <w:pStyle w:val="HChG"/>
        <w:rPr>
          <w:rFonts w:eastAsia="MS Mincho"/>
          <w:sz w:val="24"/>
          <w:lang w:val="en-GB" w:eastAsia="ja-JP"/>
        </w:rPr>
      </w:pPr>
      <w:r w:rsidRPr="004C7BF3">
        <w:rPr>
          <w:rFonts w:eastAsia="MS Mincho"/>
          <w:sz w:val="24"/>
          <w:lang w:val="en-GB" w:eastAsia="ja-JP"/>
        </w:rPr>
        <w:tab/>
      </w:r>
      <w:r w:rsidRPr="004C7BF3">
        <w:rPr>
          <w:rFonts w:eastAsia="MS Mincho"/>
          <w:sz w:val="24"/>
          <w:lang w:val="en-GB" w:eastAsia="ja-JP"/>
        </w:rPr>
        <w:tab/>
      </w:r>
      <w:r w:rsidR="0048583D" w:rsidRPr="004C7BF3">
        <w:rPr>
          <w:rFonts w:eastAsia="MS Mincho"/>
          <w:szCs w:val="28"/>
          <w:lang w:val="en-GB" w:eastAsia="ja-JP"/>
        </w:rPr>
        <w:t xml:space="preserve">Outcome of the discussions in the meeting of the </w:t>
      </w:r>
      <w:r w:rsidR="00A93985" w:rsidRPr="004C7BF3">
        <w:rPr>
          <w:rFonts w:eastAsia="MS Mincho"/>
          <w:szCs w:val="28"/>
          <w:lang w:val="en-GB" w:eastAsia="ja-JP"/>
        </w:rPr>
        <w:t>i</w:t>
      </w:r>
      <w:r w:rsidR="00AA7DBF" w:rsidRPr="004C7BF3">
        <w:rPr>
          <w:rFonts w:eastAsia="MS Mincho"/>
          <w:szCs w:val="28"/>
          <w:lang w:val="en-GB" w:eastAsia="ja-JP"/>
        </w:rPr>
        <w:t>nform</w:t>
      </w:r>
      <w:r w:rsidR="00A93985" w:rsidRPr="004C7BF3">
        <w:rPr>
          <w:rFonts w:eastAsia="MS Mincho"/>
          <w:szCs w:val="28"/>
          <w:lang w:val="en-GB" w:eastAsia="ja-JP"/>
        </w:rPr>
        <w:t xml:space="preserve">al </w:t>
      </w:r>
      <w:r w:rsidR="00A93985" w:rsidRPr="004C7BF3">
        <w:rPr>
          <w:rFonts w:eastAsia="MS Mincho"/>
          <w:lang w:val="en-GB" w:eastAsia="ja-JP"/>
        </w:rPr>
        <w:t>correspondence group on the r</w:t>
      </w:r>
      <w:r w:rsidR="00AA7DBF" w:rsidRPr="004C7BF3">
        <w:rPr>
          <w:rFonts w:eastAsia="MS Mincho"/>
          <w:lang w:val="en-GB" w:eastAsia="ja-JP"/>
        </w:rPr>
        <w:t>eview of GHS Chapter 2.1</w:t>
      </w:r>
      <w:r w:rsidR="0048583D" w:rsidRPr="004C7BF3">
        <w:rPr>
          <w:rFonts w:eastAsia="MS Mincho"/>
          <w:lang w:val="en-GB" w:eastAsia="ja-JP"/>
        </w:rPr>
        <w:t xml:space="preserve"> on the 11:th December 2019</w:t>
      </w:r>
    </w:p>
    <w:p w14:paraId="079DF45A" w14:textId="77777777" w:rsidR="00FD5246" w:rsidRPr="004C7BF3" w:rsidRDefault="0086013A" w:rsidP="008678DA">
      <w:pPr>
        <w:pStyle w:val="H1G"/>
        <w:rPr>
          <w:rFonts w:eastAsia="MS Mincho"/>
          <w:sz w:val="20"/>
        </w:rPr>
      </w:pPr>
      <w:r w:rsidRPr="004C7BF3">
        <w:rPr>
          <w:rFonts w:eastAsia="MS Mincho"/>
          <w:sz w:val="20"/>
        </w:rPr>
        <w:tab/>
      </w:r>
      <w:r w:rsidRPr="004C7BF3">
        <w:rPr>
          <w:rFonts w:eastAsia="MS Mincho"/>
          <w:sz w:val="20"/>
        </w:rPr>
        <w:tab/>
      </w:r>
      <w:r w:rsidRPr="004C7BF3">
        <w:rPr>
          <w:rFonts w:eastAsia="MS Mincho"/>
        </w:rPr>
        <w:t xml:space="preserve">Transmitted by the </w:t>
      </w:r>
      <w:r w:rsidRPr="004C7BF3">
        <w:t>expert from Sweden</w:t>
      </w:r>
    </w:p>
    <w:p w14:paraId="51B3C928" w14:textId="77777777" w:rsidR="0048583D" w:rsidRPr="004C7BF3" w:rsidRDefault="0048583D" w:rsidP="0048583D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>The Informal Correspondence Group (ICG) on the review of Chapter 2.1 convened on Wednesday the 11:th December 2019, as part of the 38:th session of the SCEGHS. The meeting was chaired by the expert from Sweden, who leads the ICG, and conducted according to the agenda as presented in</w:t>
      </w:r>
      <w:r w:rsidR="005548B9" w:rsidRPr="004C7BF3">
        <w:rPr>
          <w:sz w:val="20"/>
          <w:lang w:val="en-GB"/>
        </w:rPr>
        <w:t xml:space="preserve"> the annex to</w:t>
      </w:r>
      <w:r w:rsidRPr="004C7BF3">
        <w:rPr>
          <w:sz w:val="20"/>
          <w:lang w:val="en-GB"/>
        </w:rPr>
        <w:t xml:space="preserve"> INF.26.</w:t>
      </w:r>
    </w:p>
    <w:p w14:paraId="7938E0AA" w14:textId="77777777" w:rsidR="0048583D" w:rsidRPr="004C7BF3" w:rsidRDefault="0048583D" w:rsidP="0048583D">
      <w:pPr>
        <w:rPr>
          <w:sz w:val="16"/>
        </w:rPr>
      </w:pPr>
    </w:p>
    <w:p w14:paraId="160FD17F" w14:textId="77777777" w:rsidR="0048583D" w:rsidRPr="004C7BF3" w:rsidRDefault="0048583D" w:rsidP="0048583D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>After having introduced the advanced draft of a new Chapter 2.1 as presented in annex I to INF.</w:t>
      </w:r>
      <w:proofErr w:type="gramStart"/>
      <w:r w:rsidRPr="004C7BF3">
        <w:rPr>
          <w:sz w:val="20"/>
          <w:lang w:val="en-GB"/>
        </w:rPr>
        <w:t>6, and</w:t>
      </w:r>
      <w:proofErr w:type="gramEnd"/>
      <w:r w:rsidRPr="004C7BF3">
        <w:rPr>
          <w:sz w:val="20"/>
          <w:lang w:val="en-GB"/>
        </w:rPr>
        <w:t xml:space="preserve"> summarized the main comments that had been given within the ICG, the expert from Sweden turned to the three open issues on hazard communication that were addressed in INF.6</w:t>
      </w:r>
      <w:r w:rsidR="00E64C65" w:rsidRPr="004C7BF3">
        <w:rPr>
          <w:sz w:val="20"/>
          <w:lang w:val="en-GB"/>
        </w:rPr>
        <w:t xml:space="preserve">, as announced in </w:t>
      </w:r>
      <w:r w:rsidRPr="004C7BF3">
        <w:rPr>
          <w:sz w:val="20"/>
          <w:lang w:val="en-GB"/>
        </w:rPr>
        <w:t xml:space="preserve">agenda point 3. </w:t>
      </w:r>
    </w:p>
    <w:p w14:paraId="77E4B2CD" w14:textId="77777777" w:rsidR="0048583D" w:rsidRPr="004C7BF3" w:rsidRDefault="0048583D" w:rsidP="0048583D">
      <w:pPr>
        <w:ind w:left="1134"/>
        <w:rPr>
          <w:b/>
        </w:rPr>
      </w:pPr>
      <w:r w:rsidRPr="004C7BF3">
        <w:br/>
      </w:r>
      <w:r w:rsidRPr="004C7BF3">
        <w:rPr>
          <w:b/>
        </w:rPr>
        <w:t>The symbol, or no symbol, for Sub-category 2C</w:t>
      </w:r>
      <w:r w:rsidR="004C7BF3" w:rsidRPr="004C7BF3">
        <w:rPr>
          <w:b/>
        </w:rPr>
        <w:t xml:space="preserve"> (agenda item 3a)</w:t>
      </w:r>
    </w:p>
    <w:p w14:paraId="1BAC4F1F" w14:textId="77777777" w:rsidR="0048583D" w:rsidRPr="004C7BF3" w:rsidRDefault="0048583D" w:rsidP="0048583D">
      <w:r w:rsidRPr="004C7BF3">
        <w:tab/>
      </w:r>
    </w:p>
    <w:p w14:paraId="3C641A6D" w14:textId="77777777" w:rsidR="00DC5A39" w:rsidRPr="004C7BF3" w:rsidRDefault="0048583D" w:rsidP="00DC5A39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>A presentation was given illustrating the criteria for Division 1.4 S, which is a prerequisite to qualify for Sub-category 2C, and the</w:t>
      </w:r>
      <w:r w:rsidR="004C7BF3" w:rsidRPr="004C7BF3">
        <w:rPr>
          <w:sz w:val="20"/>
          <w:lang w:val="en-GB"/>
        </w:rPr>
        <w:t xml:space="preserve"> further</w:t>
      </w:r>
      <w:r w:rsidRPr="004C7BF3">
        <w:rPr>
          <w:sz w:val="20"/>
          <w:lang w:val="en-GB"/>
        </w:rPr>
        <w:t xml:space="preserve"> criteria for the </w:t>
      </w:r>
      <w:r w:rsidR="004C7BF3" w:rsidRPr="004C7BF3">
        <w:rPr>
          <w:sz w:val="20"/>
          <w:lang w:val="en-GB"/>
        </w:rPr>
        <w:t>S</w:t>
      </w:r>
      <w:r w:rsidRPr="004C7BF3">
        <w:rPr>
          <w:sz w:val="20"/>
          <w:lang w:val="en-GB"/>
        </w:rPr>
        <w:t>ub-category</w:t>
      </w:r>
      <w:r w:rsidR="004C7BF3" w:rsidRPr="004C7BF3">
        <w:rPr>
          <w:sz w:val="20"/>
          <w:lang w:val="en-GB"/>
        </w:rPr>
        <w:t xml:space="preserve"> 2C</w:t>
      </w:r>
      <w:r w:rsidRPr="004C7BF3">
        <w:rPr>
          <w:sz w:val="20"/>
          <w:lang w:val="en-GB"/>
        </w:rPr>
        <w:t xml:space="preserve">. </w:t>
      </w:r>
      <w:r w:rsidR="00DC5A39" w:rsidRPr="004C7BF3">
        <w:rPr>
          <w:sz w:val="20"/>
          <w:lang w:val="en-GB"/>
        </w:rPr>
        <w:t>Effects from practical testing were shown for explosives tha</w:t>
      </w:r>
      <w:r w:rsidR="004C7BF3" w:rsidRPr="004C7BF3">
        <w:rPr>
          <w:sz w:val="20"/>
          <w:lang w:val="en-GB"/>
        </w:rPr>
        <w:t>t would qualify for Sub-category</w:t>
      </w:r>
      <w:r w:rsidR="00DC5A39" w:rsidRPr="004C7BF3">
        <w:rPr>
          <w:sz w:val="20"/>
          <w:lang w:val="en-GB"/>
        </w:rPr>
        <w:t xml:space="preserve"> 2C versus explosives that would not, for comparison. </w:t>
      </w:r>
      <w:proofErr w:type="gramStart"/>
      <w:r w:rsidRPr="004C7BF3">
        <w:rPr>
          <w:sz w:val="20"/>
          <w:lang w:val="en-GB"/>
        </w:rPr>
        <w:t>A number of</w:t>
      </w:r>
      <w:proofErr w:type="gramEnd"/>
      <w:r w:rsidRPr="004C7BF3">
        <w:rPr>
          <w:sz w:val="20"/>
          <w:lang w:val="en-GB"/>
        </w:rPr>
        <w:t xml:space="preserve"> examples of explosives that would likely be classified as Sub-category 2C were </w:t>
      </w:r>
      <w:r w:rsidR="00DC5A39" w:rsidRPr="004C7BF3">
        <w:rPr>
          <w:sz w:val="20"/>
          <w:lang w:val="en-GB"/>
        </w:rPr>
        <w:t xml:space="preserve">also </w:t>
      </w:r>
      <w:r w:rsidRPr="004C7BF3">
        <w:rPr>
          <w:sz w:val="20"/>
          <w:lang w:val="en-GB"/>
        </w:rPr>
        <w:t>shown, whereof the vast majority were small articles.</w:t>
      </w:r>
    </w:p>
    <w:p w14:paraId="675689FB" w14:textId="77777777" w:rsidR="0048583D" w:rsidRPr="004C7BF3" w:rsidRDefault="0048583D" w:rsidP="00DC5A39">
      <w:pPr>
        <w:pStyle w:val="ListParagraph"/>
        <w:ind w:left="1494"/>
        <w:rPr>
          <w:sz w:val="20"/>
          <w:lang w:val="en-GB"/>
        </w:rPr>
      </w:pPr>
      <w:r w:rsidRPr="004C7BF3">
        <w:rPr>
          <w:sz w:val="20"/>
          <w:lang w:val="en-GB"/>
        </w:rPr>
        <w:t xml:space="preserve"> </w:t>
      </w:r>
    </w:p>
    <w:p w14:paraId="7DF85FD6" w14:textId="77777777" w:rsidR="00CC3106" w:rsidRPr="004C7BF3" w:rsidRDefault="0048583D" w:rsidP="004C7BF3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 xml:space="preserve">Most experts that spoke felt that Sub-category 2C should have a symbol, and that that symbol should be either the flame (GHS02) or the exclamation mark (GHS07). There were however different opinions on which one of these </w:t>
      </w:r>
      <w:r w:rsidR="00E64C65" w:rsidRPr="004C7BF3">
        <w:rPr>
          <w:sz w:val="20"/>
          <w:lang w:val="en-GB"/>
        </w:rPr>
        <w:t xml:space="preserve">symbols </w:t>
      </w:r>
      <w:r w:rsidRPr="004C7BF3">
        <w:rPr>
          <w:sz w:val="20"/>
          <w:lang w:val="en-GB"/>
        </w:rPr>
        <w:t>would be the better in relation to the hazard posed. Some experts felt that the flame would be the more appropriate as it is a</w:t>
      </w:r>
      <w:r w:rsidR="00DC5A39" w:rsidRPr="004C7BF3">
        <w:rPr>
          <w:sz w:val="20"/>
          <w:lang w:val="en-GB"/>
        </w:rPr>
        <w:t>n existing</w:t>
      </w:r>
      <w:r w:rsidRPr="004C7BF3">
        <w:rPr>
          <w:sz w:val="20"/>
          <w:lang w:val="en-GB"/>
        </w:rPr>
        <w:t xml:space="preserve"> symbol for physical hazard</w:t>
      </w:r>
      <w:r w:rsidR="004C7BF3" w:rsidRPr="004C7BF3">
        <w:rPr>
          <w:sz w:val="20"/>
          <w:lang w:val="en-GB"/>
        </w:rPr>
        <w:t>s</w:t>
      </w:r>
      <w:r w:rsidRPr="004C7BF3">
        <w:rPr>
          <w:sz w:val="20"/>
          <w:lang w:val="en-GB"/>
        </w:rPr>
        <w:t xml:space="preserve"> and is well understood. Others felt that the exclamation mark would be </w:t>
      </w:r>
      <w:r w:rsidR="00937318" w:rsidRPr="004C7BF3">
        <w:rPr>
          <w:sz w:val="20"/>
          <w:lang w:val="en-GB"/>
        </w:rPr>
        <w:t xml:space="preserve">the </w:t>
      </w:r>
      <w:r w:rsidRPr="004C7BF3">
        <w:rPr>
          <w:sz w:val="20"/>
          <w:lang w:val="en-GB"/>
        </w:rPr>
        <w:t>better</w:t>
      </w:r>
      <w:r w:rsidR="00937318" w:rsidRPr="004C7BF3">
        <w:rPr>
          <w:sz w:val="20"/>
          <w:lang w:val="en-GB"/>
        </w:rPr>
        <w:t xml:space="preserve"> option</w:t>
      </w:r>
      <w:r w:rsidRPr="004C7BF3">
        <w:rPr>
          <w:sz w:val="20"/>
          <w:lang w:val="en-GB"/>
        </w:rPr>
        <w:t xml:space="preserve">, as </w:t>
      </w:r>
      <w:proofErr w:type="gramStart"/>
      <w:r w:rsidRPr="004C7BF3">
        <w:rPr>
          <w:sz w:val="20"/>
          <w:lang w:val="en-GB"/>
        </w:rPr>
        <w:t>the majority of</w:t>
      </w:r>
      <w:proofErr w:type="gramEnd"/>
      <w:r w:rsidRPr="004C7BF3">
        <w:rPr>
          <w:sz w:val="20"/>
          <w:lang w:val="en-GB"/>
        </w:rPr>
        <w:t xml:space="preserve"> the explosives in Sub-category 2C would pose more of a projection than a fire hazard. </w:t>
      </w:r>
      <w:r w:rsidR="00DA5B9A" w:rsidRPr="004C7BF3">
        <w:rPr>
          <w:sz w:val="20"/>
          <w:lang w:val="en-GB"/>
        </w:rPr>
        <w:t>In summary, t</w:t>
      </w:r>
      <w:r w:rsidRPr="004C7BF3">
        <w:rPr>
          <w:sz w:val="20"/>
          <w:lang w:val="en-GB"/>
        </w:rPr>
        <w:t xml:space="preserve">here appeared to </w:t>
      </w:r>
      <w:r w:rsidR="001B71CF" w:rsidRPr="004C7BF3">
        <w:rPr>
          <w:sz w:val="20"/>
          <w:lang w:val="en-GB"/>
        </w:rPr>
        <w:t xml:space="preserve">be </w:t>
      </w:r>
      <w:r w:rsidR="00344D28" w:rsidRPr="004C7BF3">
        <w:rPr>
          <w:sz w:val="20"/>
          <w:lang w:val="en-GB"/>
        </w:rPr>
        <w:t>some</w:t>
      </w:r>
      <w:r w:rsidRPr="004C7BF3">
        <w:rPr>
          <w:sz w:val="20"/>
          <w:lang w:val="en-GB"/>
        </w:rPr>
        <w:t xml:space="preserve"> preference towards the exclamation mark</w:t>
      </w:r>
      <w:r w:rsidR="008F7E81" w:rsidRPr="004C7BF3">
        <w:rPr>
          <w:sz w:val="20"/>
          <w:lang w:val="en-GB"/>
        </w:rPr>
        <w:t xml:space="preserve"> over the flame, and neither the exploding bomb nor having no symbol at all was deemed to be adequate</w:t>
      </w:r>
      <w:r w:rsidRPr="004C7BF3">
        <w:rPr>
          <w:sz w:val="20"/>
          <w:lang w:val="en-GB"/>
        </w:rPr>
        <w:t>.</w:t>
      </w:r>
    </w:p>
    <w:p w14:paraId="3C818609" w14:textId="77777777" w:rsidR="0048583D" w:rsidRPr="004C7BF3" w:rsidRDefault="0048583D" w:rsidP="0048583D">
      <w:pPr>
        <w:ind w:left="1134"/>
        <w:rPr>
          <w:b/>
        </w:rPr>
      </w:pPr>
      <w:bookmarkStart w:id="0" w:name="_GoBack"/>
      <w:bookmarkEnd w:id="0"/>
      <w:r w:rsidRPr="004C7BF3">
        <w:br/>
      </w:r>
      <w:r w:rsidRPr="004C7BF3">
        <w:rPr>
          <w:b/>
        </w:rPr>
        <w:t>The hazard statements for Sub-categories 2B and 2C</w:t>
      </w:r>
      <w:r w:rsidR="004C7BF3" w:rsidRPr="004C7BF3">
        <w:rPr>
          <w:b/>
        </w:rPr>
        <w:t xml:space="preserve"> (agenda item 3b)</w:t>
      </w:r>
      <w:r w:rsidRPr="004C7BF3">
        <w:br/>
      </w:r>
    </w:p>
    <w:p w14:paraId="4FFFD352" w14:textId="77777777" w:rsidR="0048583D" w:rsidRPr="004C7BF3" w:rsidRDefault="0048583D" w:rsidP="00495783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>The various options for hazard statements as in INF.26 were presente</w:t>
      </w:r>
      <w:r w:rsidR="00495783" w:rsidRPr="004C7BF3">
        <w:rPr>
          <w:sz w:val="20"/>
          <w:lang w:val="en-GB"/>
        </w:rPr>
        <w:t xml:space="preserve">d and discussed. </w:t>
      </w:r>
      <w:r w:rsidR="00023EB0" w:rsidRPr="004C7BF3">
        <w:rPr>
          <w:sz w:val="20"/>
          <w:lang w:val="en-GB"/>
        </w:rPr>
        <w:t>None of the</w:t>
      </w:r>
      <w:r w:rsidR="004C7BF3">
        <w:rPr>
          <w:sz w:val="20"/>
          <w:lang w:val="en-GB"/>
        </w:rPr>
        <w:t>se</w:t>
      </w:r>
      <w:r w:rsidR="00023EB0" w:rsidRPr="004C7BF3">
        <w:rPr>
          <w:sz w:val="20"/>
          <w:lang w:val="en-GB"/>
        </w:rPr>
        <w:t xml:space="preserve"> options were particularly favoured</w:t>
      </w:r>
      <w:r w:rsidR="004C7BF3">
        <w:rPr>
          <w:sz w:val="20"/>
          <w:lang w:val="en-GB"/>
        </w:rPr>
        <w:t>.</w:t>
      </w:r>
      <w:r w:rsidR="00023EB0" w:rsidRPr="004C7BF3">
        <w:rPr>
          <w:sz w:val="20"/>
          <w:lang w:val="en-GB"/>
        </w:rPr>
        <w:t xml:space="preserve"> </w:t>
      </w:r>
      <w:r w:rsidR="00495783" w:rsidRPr="004C7BF3">
        <w:rPr>
          <w:sz w:val="20"/>
          <w:lang w:val="en-GB"/>
        </w:rPr>
        <w:t>Some</w:t>
      </w:r>
      <w:r w:rsidR="00CC3106" w:rsidRPr="004C7BF3">
        <w:rPr>
          <w:sz w:val="20"/>
          <w:lang w:val="en-GB"/>
        </w:rPr>
        <w:t xml:space="preserve"> experts w</w:t>
      </w:r>
      <w:r w:rsidRPr="004C7BF3">
        <w:rPr>
          <w:sz w:val="20"/>
          <w:lang w:val="en-GB"/>
        </w:rPr>
        <w:t>ere of the view that it would not be a problem to retain the hazard statement “Fire or projection hazard” (H204) for both</w:t>
      </w:r>
      <w:r w:rsidR="004C7BF3">
        <w:rPr>
          <w:sz w:val="20"/>
          <w:lang w:val="en-GB"/>
        </w:rPr>
        <w:t xml:space="preserve"> sub-categories</w:t>
      </w:r>
      <w:r w:rsidRPr="004C7BF3">
        <w:rPr>
          <w:sz w:val="20"/>
          <w:lang w:val="en-GB"/>
        </w:rPr>
        <w:t xml:space="preserve">. </w:t>
      </w:r>
      <w:r w:rsidR="00495783" w:rsidRPr="004C7BF3">
        <w:rPr>
          <w:sz w:val="20"/>
          <w:lang w:val="en-GB"/>
        </w:rPr>
        <w:t>Other</w:t>
      </w:r>
      <w:r w:rsidRPr="004C7BF3">
        <w:rPr>
          <w:sz w:val="20"/>
          <w:lang w:val="en-GB"/>
        </w:rPr>
        <w:t xml:space="preserve"> experts </w:t>
      </w:r>
      <w:r w:rsidRPr="004C7BF3">
        <w:rPr>
          <w:sz w:val="20"/>
          <w:lang w:val="en-GB"/>
        </w:rPr>
        <w:lastRenderedPageBreak/>
        <w:t xml:space="preserve">expressed that </w:t>
      </w:r>
      <w:r w:rsidR="00495783" w:rsidRPr="004C7BF3">
        <w:rPr>
          <w:sz w:val="20"/>
          <w:lang w:val="en-GB"/>
        </w:rPr>
        <w:t xml:space="preserve">the statements should preferably be differentiated, with the statement for </w:t>
      </w:r>
      <w:r w:rsidR="004C7BF3">
        <w:rPr>
          <w:sz w:val="20"/>
          <w:lang w:val="en-GB"/>
        </w:rPr>
        <w:t xml:space="preserve">Sub-category </w:t>
      </w:r>
      <w:r w:rsidR="00495783" w:rsidRPr="004C7BF3">
        <w:rPr>
          <w:sz w:val="20"/>
          <w:lang w:val="en-GB"/>
        </w:rPr>
        <w:t xml:space="preserve">2B being stronger than that for </w:t>
      </w:r>
      <w:r w:rsidR="004C7BF3">
        <w:rPr>
          <w:sz w:val="20"/>
          <w:lang w:val="en-GB"/>
        </w:rPr>
        <w:t xml:space="preserve">Sub-category </w:t>
      </w:r>
      <w:r w:rsidR="00495783" w:rsidRPr="004C7BF3">
        <w:rPr>
          <w:sz w:val="20"/>
          <w:lang w:val="en-GB"/>
        </w:rPr>
        <w:t>2C</w:t>
      </w:r>
      <w:r w:rsidRPr="004C7BF3">
        <w:rPr>
          <w:sz w:val="20"/>
          <w:lang w:val="en-GB"/>
        </w:rPr>
        <w:t xml:space="preserve">. Most experts that spoke </w:t>
      </w:r>
      <w:proofErr w:type="gramStart"/>
      <w:r w:rsidRPr="004C7BF3">
        <w:rPr>
          <w:sz w:val="20"/>
          <w:lang w:val="en-GB"/>
        </w:rPr>
        <w:t>were of the opinion that</w:t>
      </w:r>
      <w:proofErr w:type="gramEnd"/>
      <w:r w:rsidRPr="004C7BF3">
        <w:rPr>
          <w:sz w:val="20"/>
          <w:lang w:val="en-GB"/>
        </w:rPr>
        <w:t xml:space="preserve"> the word “minor” would not be appropriate in a hazard statement, at least not in </w:t>
      </w:r>
      <w:r w:rsidR="00AD4A2D" w:rsidRPr="004C7BF3">
        <w:rPr>
          <w:sz w:val="20"/>
          <w:lang w:val="en-GB"/>
        </w:rPr>
        <w:t xml:space="preserve">the beginning of it, as it appears </w:t>
      </w:r>
      <w:r w:rsidR="00E54EF1" w:rsidRPr="004C7BF3">
        <w:rPr>
          <w:sz w:val="20"/>
          <w:lang w:val="en-GB"/>
        </w:rPr>
        <w:t xml:space="preserve">somewhat </w:t>
      </w:r>
      <w:r w:rsidRPr="004C7BF3">
        <w:rPr>
          <w:sz w:val="20"/>
          <w:lang w:val="en-GB"/>
        </w:rPr>
        <w:t>contradictory to warn for a minor hazard.</w:t>
      </w:r>
    </w:p>
    <w:p w14:paraId="245AD8A4" w14:textId="77777777" w:rsidR="0048583D" w:rsidRPr="004C7BF3" w:rsidRDefault="0048583D" w:rsidP="0048583D"/>
    <w:p w14:paraId="4C35DBFA" w14:textId="77777777" w:rsidR="0048583D" w:rsidRPr="004C7BF3" w:rsidRDefault="0048583D" w:rsidP="0048583D">
      <w:pPr>
        <w:ind w:left="567" w:firstLine="567"/>
      </w:pPr>
      <w:r w:rsidRPr="004C7BF3">
        <w:rPr>
          <w:b/>
        </w:rPr>
        <w:t>Informing on the division on the GHS label</w:t>
      </w:r>
      <w:r w:rsidR="004C7BF3" w:rsidRPr="004C7BF3">
        <w:rPr>
          <w:b/>
        </w:rPr>
        <w:t xml:space="preserve"> (agenda item 3c)</w:t>
      </w:r>
    </w:p>
    <w:p w14:paraId="4944DBD6" w14:textId="77777777" w:rsidR="0048583D" w:rsidRPr="004C7BF3" w:rsidRDefault="0048583D" w:rsidP="0048583D"/>
    <w:p w14:paraId="71B28EA9" w14:textId="77777777" w:rsidR="0048583D" w:rsidRPr="004C7BF3" w:rsidRDefault="0048583D" w:rsidP="0048583D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>The versions of precautionary statements in INF.26 were presented and discussed. There were no strong v</w:t>
      </w:r>
      <w:r w:rsidR="00AD4A2D" w:rsidRPr="004C7BF3">
        <w:rPr>
          <w:sz w:val="20"/>
          <w:lang w:val="en-GB"/>
        </w:rPr>
        <w:t>iews on which version of these quite</w:t>
      </w:r>
      <w:r w:rsidRPr="004C7BF3">
        <w:rPr>
          <w:sz w:val="20"/>
          <w:lang w:val="en-GB"/>
        </w:rPr>
        <w:t xml:space="preserve"> s</w:t>
      </w:r>
      <w:r w:rsidR="004C7BF3">
        <w:rPr>
          <w:sz w:val="20"/>
          <w:lang w:val="en-GB"/>
        </w:rPr>
        <w:t xml:space="preserve">imilar options to choose, but </w:t>
      </w:r>
      <w:r w:rsidRPr="004C7BF3">
        <w:rPr>
          <w:sz w:val="20"/>
          <w:lang w:val="en-GB"/>
        </w:rPr>
        <w:t xml:space="preserve">further explanation </w:t>
      </w:r>
      <w:r w:rsidR="00AD4A2D" w:rsidRPr="004C7BF3">
        <w:rPr>
          <w:sz w:val="20"/>
          <w:lang w:val="en-GB"/>
        </w:rPr>
        <w:t>regarding</w:t>
      </w:r>
      <w:r w:rsidRPr="004C7BF3">
        <w:rPr>
          <w:sz w:val="20"/>
          <w:lang w:val="en-GB"/>
        </w:rPr>
        <w:t xml:space="preserve"> the need to include an option for </w:t>
      </w:r>
      <w:r w:rsidR="00AD4A2D" w:rsidRPr="004C7BF3">
        <w:rPr>
          <w:sz w:val="20"/>
          <w:lang w:val="en-GB"/>
        </w:rPr>
        <w:t xml:space="preserve">stating </w:t>
      </w:r>
      <w:r w:rsidRPr="004C7BF3">
        <w:rPr>
          <w:sz w:val="20"/>
          <w:lang w:val="en-GB"/>
        </w:rPr>
        <w:t>more than one division was desired. It was also pointed out that in order to make sure that the new precautionary statement would always be combined with</w:t>
      </w:r>
      <w:r w:rsidR="004C7BF3">
        <w:rPr>
          <w:sz w:val="20"/>
          <w:lang w:val="en-GB"/>
        </w:rPr>
        <w:t xml:space="preserve"> the</w:t>
      </w:r>
      <w:r w:rsidRPr="004C7BF3">
        <w:rPr>
          <w:sz w:val="20"/>
          <w:lang w:val="en-GB"/>
        </w:rPr>
        <w:t xml:space="preserve"> </w:t>
      </w:r>
      <w:r w:rsidR="004C7BF3">
        <w:rPr>
          <w:sz w:val="20"/>
          <w:lang w:val="en-GB"/>
        </w:rPr>
        <w:t>existing precautionary statement</w:t>
      </w:r>
      <w:r w:rsidRPr="004C7BF3">
        <w:rPr>
          <w:sz w:val="20"/>
          <w:lang w:val="en-GB"/>
        </w:rPr>
        <w:t xml:space="preserve"> P234 (Keep only in original </w:t>
      </w:r>
      <w:r w:rsidR="00344D28" w:rsidRPr="004C7BF3">
        <w:rPr>
          <w:sz w:val="20"/>
          <w:lang w:val="en-GB"/>
        </w:rPr>
        <w:t>packaging</w:t>
      </w:r>
      <w:r w:rsidRPr="004C7BF3">
        <w:rPr>
          <w:sz w:val="20"/>
          <w:lang w:val="en-GB"/>
        </w:rPr>
        <w:t xml:space="preserve">), it would probably be better to introduce a </w:t>
      </w:r>
      <w:r w:rsidR="0079606F" w:rsidRPr="004C7BF3">
        <w:rPr>
          <w:sz w:val="20"/>
          <w:lang w:val="en-GB"/>
        </w:rPr>
        <w:t xml:space="preserve">completely </w:t>
      </w:r>
      <w:r w:rsidRPr="004C7BF3">
        <w:rPr>
          <w:sz w:val="20"/>
          <w:lang w:val="en-GB"/>
        </w:rPr>
        <w:t xml:space="preserve">new </w:t>
      </w:r>
      <w:r w:rsidR="004C7BF3">
        <w:rPr>
          <w:sz w:val="20"/>
          <w:lang w:val="en-GB"/>
        </w:rPr>
        <w:t xml:space="preserve">precautionary </w:t>
      </w:r>
      <w:r w:rsidRPr="004C7BF3">
        <w:rPr>
          <w:sz w:val="20"/>
          <w:lang w:val="en-GB"/>
        </w:rPr>
        <w:t xml:space="preserve">statement </w:t>
      </w:r>
      <w:r w:rsidR="0079606F" w:rsidRPr="004C7BF3">
        <w:rPr>
          <w:sz w:val="20"/>
          <w:lang w:val="en-GB"/>
        </w:rPr>
        <w:t xml:space="preserve">for explosives </w:t>
      </w:r>
      <w:r w:rsidRPr="004C7BF3">
        <w:rPr>
          <w:sz w:val="20"/>
          <w:lang w:val="en-GB"/>
        </w:rPr>
        <w:t xml:space="preserve">that includes both these </w:t>
      </w:r>
      <w:r w:rsidR="0079606F" w:rsidRPr="004C7BF3">
        <w:rPr>
          <w:sz w:val="20"/>
          <w:lang w:val="en-GB"/>
        </w:rPr>
        <w:t>texts</w:t>
      </w:r>
      <w:r w:rsidRPr="004C7BF3">
        <w:rPr>
          <w:sz w:val="20"/>
          <w:lang w:val="en-GB"/>
        </w:rPr>
        <w:t>.</w:t>
      </w:r>
      <w:r w:rsidRPr="004C7BF3">
        <w:rPr>
          <w:sz w:val="20"/>
          <w:lang w:val="en-GB"/>
        </w:rPr>
        <w:br/>
      </w:r>
    </w:p>
    <w:p w14:paraId="6A17D524" w14:textId="77777777" w:rsidR="0048583D" w:rsidRPr="004C7BF3" w:rsidRDefault="0048583D" w:rsidP="0048583D">
      <w:pPr>
        <w:ind w:left="1134"/>
        <w:rPr>
          <w:b/>
        </w:rPr>
      </w:pPr>
      <w:r w:rsidRPr="004C7BF3">
        <w:rPr>
          <w:b/>
        </w:rPr>
        <w:t>Closing of the meeting</w:t>
      </w:r>
    </w:p>
    <w:p w14:paraId="2F58A7B6" w14:textId="77777777" w:rsidR="0048583D" w:rsidRPr="004C7BF3" w:rsidRDefault="0048583D" w:rsidP="0048583D">
      <w:pPr>
        <w:rPr>
          <w:sz w:val="16"/>
        </w:rPr>
      </w:pPr>
    </w:p>
    <w:p w14:paraId="7726BE97" w14:textId="77777777" w:rsidR="0048583D" w:rsidRPr="004C7BF3" w:rsidRDefault="0048583D" w:rsidP="0048583D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4C7BF3">
        <w:rPr>
          <w:sz w:val="20"/>
          <w:lang w:val="en-GB"/>
        </w:rPr>
        <w:t xml:space="preserve">As time had run out, </w:t>
      </w:r>
      <w:r w:rsidR="004630C4" w:rsidRPr="004C7BF3">
        <w:rPr>
          <w:sz w:val="20"/>
          <w:lang w:val="en-GB"/>
        </w:rPr>
        <w:t xml:space="preserve">any </w:t>
      </w:r>
      <w:r w:rsidRPr="004C7BF3">
        <w:rPr>
          <w:sz w:val="20"/>
          <w:lang w:val="en-GB"/>
        </w:rPr>
        <w:t xml:space="preserve">further discussions on issues relating to the new Chapter 2.1 were not </w:t>
      </w:r>
      <w:r w:rsidR="004630C4" w:rsidRPr="004C7BF3">
        <w:rPr>
          <w:sz w:val="20"/>
          <w:lang w:val="en-GB"/>
        </w:rPr>
        <w:t>possible</w:t>
      </w:r>
      <w:r w:rsidRPr="004C7BF3">
        <w:rPr>
          <w:sz w:val="20"/>
          <w:lang w:val="en-GB"/>
        </w:rPr>
        <w:t>. The expert from Sweden rounded the meeting of by showing the path forward to fulfil the goal of the program of work, i.e. to introduce a new Chapter 2.1 for the 9:th revised edition of the GHS.</w:t>
      </w:r>
    </w:p>
    <w:p w14:paraId="246AA004" w14:textId="77777777" w:rsidR="00551DC2" w:rsidRPr="004C7BF3" w:rsidRDefault="00551DC2" w:rsidP="007D31CC">
      <w:pPr>
        <w:suppressAutoHyphens w:val="0"/>
        <w:spacing w:line="240" w:lineRule="auto"/>
        <w:rPr>
          <w:rFonts w:eastAsia="Garamond"/>
          <w:u w:val="single"/>
        </w:rPr>
      </w:pPr>
    </w:p>
    <w:p w14:paraId="2989885B" w14:textId="77777777" w:rsidR="007D31CC" w:rsidRPr="004C7BF3" w:rsidRDefault="007D31CC">
      <w:pPr>
        <w:suppressAutoHyphens w:val="0"/>
        <w:spacing w:line="240" w:lineRule="auto"/>
        <w:rPr>
          <w:rFonts w:eastAsia="Garamond"/>
          <w:u w:val="single"/>
        </w:rPr>
      </w:pPr>
      <w:r w:rsidRPr="004C7BF3">
        <w:rPr>
          <w:rFonts w:eastAsia="Garamond"/>
          <w:u w:val="single"/>
        </w:rPr>
        <w:br w:type="page"/>
      </w:r>
    </w:p>
    <w:p w14:paraId="1C40C8CD" w14:textId="77777777" w:rsidR="00A93985" w:rsidRPr="004C7BF3" w:rsidRDefault="007D31CC" w:rsidP="00E76972">
      <w:pPr>
        <w:suppressAutoHyphens w:val="0"/>
        <w:spacing w:line="240" w:lineRule="auto"/>
        <w:rPr>
          <w:rFonts w:eastAsia="Garamond"/>
          <w:b/>
          <w:sz w:val="24"/>
        </w:rPr>
      </w:pPr>
      <w:r w:rsidRPr="004C7BF3">
        <w:rPr>
          <w:rFonts w:eastAsia="Garamond"/>
          <w:b/>
          <w:sz w:val="24"/>
        </w:rPr>
        <w:t>Annex</w:t>
      </w:r>
      <w:r w:rsidR="00E8712C" w:rsidRPr="004C7BF3">
        <w:rPr>
          <w:rFonts w:eastAsia="Garamond"/>
          <w:b/>
          <w:sz w:val="24"/>
        </w:rPr>
        <w:br/>
      </w:r>
      <w:r w:rsidR="00F94792" w:rsidRPr="004C7BF3">
        <w:rPr>
          <w:b/>
          <w:sz w:val="24"/>
        </w:rPr>
        <w:t>Provisional a</w:t>
      </w:r>
      <w:r w:rsidRPr="004C7BF3">
        <w:rPr>
          <w:b/>
          <w:sz w:val="24"/>
        </w:rPr>
        <w:t xml:space="preserve">genda for the meeting of the Informal Correspondence Group </w:t>
      </w:r>
      <w:r w:rsidR="00A93985" w:rsidRPr="004C7BF3">
        <w:rPr>
          <w:b/>
          <w:sz w:val="24"/>
        </w:rPr>
        <w:t>(ICG) on the r</w:t>
      </w:r>
      <w:r w:rsidRPr="004C7BF3">
        <w:rPr>
          <w:b/>
          <w:sz w:val="24"/>
        </w:rPr>
        <w:t>eview of GHS Chapter 2.1</w:t>
      </w:r>
      <w:r w:rsidR="00D21A45" w:rsidRPr="004C7BF3">
        <w:rPr>
          <w:b/>
          <w:sz w:val="24"/>
        </w:rPr>
        <w:t xml:space="preserve"> on 11 December 2019</w:t>
      </w:r>
    </w:p>
    <w:p w14:paraId="7C642DB8" w14:textId="77777777" w:rsidR="00A93985" w:rsidRPr="004C7BF3" w:rsidRDefault="00A93985" w:rsidP="007D31CC">
      <w:pPr>
        <w:rPr>
          <w:b/>
          <w:sz w:val="24"/>
        </w:rPr>
      </w:pPr>
    </w:p>
    <w:p w14:paraId="2A3AF676" w14:textId="77777777" w:rsidR="007D31CC" w:rsidRPr="004C7BF3" w:rsidRDefault="00A93985" w:rsidP="007D31CC">
      <w:pPr>
        <w:rPr>
          <w:b/>
          <w:sz w:val="16"/>
        </w:rPr>
      </w:pPr>
      <w:r w:rsidRPr="004C7BF3">
        <w:rPr>
          <w:b/>
        </w:rPr>
        <w:t>The basis document is UN/SCEGHS/38/INF.6-UN/SCETDG/56/INF.8, henceforth termed INF.6.</w:t>
      </w:r>
      <w:r w:rsidR="0034314F" w:rsidRPr="004C7BF3">
        <w:rPr>
          <w:b/>
          <w:sz w:val="16"/>
        </w:rPr>
        <w:br/>
      </w:r>
    </w:p>
    <w:p w14:paraId="330DE835" w14:textId="77777777" w:rsidR="007D31CC" w:rsidRPr="004C7BF3" w:rsidRDefault="007D31CC" w:rsidP="007D31CC">
      <w:r w:rsidRPr="004C7BF3">
        <w:rPr>
          <w:b/>
        </w:rPr>
        <w:t xml:space="preserve">1. </w:t>
      </w:r>
      <w:r w:rsidRPr="004C7BF3">
        <w:t xml:space="preserve">Brief introduction to the </w:t>
      </w:r>
      <w:r w:rsidR="00F94792" w:rsidRPr="004C7BF3">
        <w:t>advanced draft of Chapter 2.1 (</w:t>
      </w:r>
      <w:r w:rsidR="00A93985" w:rsidRPr="004C7BF3">
        <w:t xml:space="preserve">see annex I to </w:t>
      </w:r>
      <w:r w:rsidR="00F94792" w:rsidRPr="004C7BF3">
        <w:t>INF.6)</w:t>
      </w:r>
    </w:p>
    <w:p w14:paraId="3791FCD7" w14:textId="77777777" w:rsidR="0034314F" w:rsidRPr="004C7BF3" w:rsidRDefault="0034314F" w:rsidP="007D31CC"/>
    <w:p w14:paraId="769D97CC" w14:textId="77777777" w:rsidR="007D31CC" w:rsidRPr="004C7BF3" w:rsidRDefault="007D31CC" w:rsidP="002E60D6">
      <w:r w:rsidRPr="004C7BF3">
        <w:rPr>
          <w:b/>
        </w:rPr>
        <w:t>2.</w:t>
      </w:r>
      <w:r w:rsidRPr="004C7BF3">
        <w:t xml:space="preserve"> </w:t>
      </w:r>
      <w:r w:rsidR="002E60D6" w:rsidRPr="004C7BF3">
        <w:t>Summary of</w:t>
      </w:r>
      <w:r w:rsidRPr="004C7BF3">
        <w:t xml:space="preserve"> comments received in the ICG</w:t>
      </w:r>
    </w:p>
    <w:p w14:paraId="16D56932" w14:textId="77777777" w:rsidR="0034314F" w:rsidRPr="004C7BF3" w:rsidRDefault="0034314F" w:rsidP="007D31CC"/>
    <w:p w14:paraId="14314EDA" w14:textId="77777777" w:rsidR="007D31CC" w:rsidRPr="004C7BF3" w:rsidRDefault="007D31CC" w:rsidP="007D31CC">
      <w:r w:rsidRPr="004C7BF3">
        <w:rPr>
          <w:b/>
        </w:rPr>
        <w:t>3.</w:t>
      </w:r>
      <w:r w:rsidRPr="004C7BF3">
        <w:t xml:space="preserve"> Main open issues</w:t>
      </w:r>
      <w:r w:rsidR="006C28C0" w:rsidRPr="004C7BF3">
        <w:t xml:space="preserve"> – hazard communication</w:t>
      </w:r>
      <w:r w:rsidR="002E60D6" w:rsidRPr="004C7BF3">
        <w:br/>
      </w:r>
    </w:p>
    <w:p w14:paraId="42AAB0B3" w14:textId="77777777" w:rsidR="007D31CC" w:rsidRPr="004C7BF3" w:rsidRDefault="007D31CC" w:rsidP="00E76972">
      <w:pPr>
        <w:ind w:firstLine="567"/>
      </w:pPr>
      <w:r w:rsidRPr="004C7BF3">
        <w:rPr>
          <w:b/>
        </w:rPr>
        <w:t>a)</w:t>
      </w:r>
      <w:r w:rsidRPr="004C7BF3">
        <w:t xml:space="preserve"> The symbol, or no symbol, for Sub-category 2C</w:t>
      </w:r>
      <w:r w:rsidR="00F94792" w:rsidRPr="004C7BF3">
        <w:t xml:space="preserve"> (see paragraph 9 of </w:t>
      </w:r>
      <w:r w:rsidR="00A93985" w:rsidRPr="004C7BF3">
        <w:t>INF.6</w:t>
      </w:r>
      <w:r w:rsidR="00F94792" w:rsidRPr="004C7BF3">
        <w:t>)</w:t>
      </w:r>
    </w:p>
    <w:p w14:paraId="2949A303" w14:textId="77777777" w:rsidR="007D31CC" w:rsidRPr="004C7BF3" w:rsidRDefault="007D31CC" w:rsidP="00E76972">
      <w:pPr>
        <w:ind w:firstLine="567"/>
      </w:pPr>
      <w:r w:rsidRPr="004C7BF3">
        <w:t>Possible options</w:t>
      </w:r>
      <w:r w:rsidR="00E44629" w:rsidRPr="004C7BF3">
        <w:t xml:space="preserve"> from the ICG</w:t>
      </w:r>
      <w:r w:rsidRPr="004C7BF3">
        <w:t>:</w:t>
      </w:r>
      <w:r w:rsidR="00E44629" w:rsidRPr="004C7BF3">
        <w:br/>
      </w:r>
    </w:p>
    <w:tbl>
      <w:tblPr>
        <w:tblStyle w:val="TableGrid"/>
        <w:tblW w:w="0" w:type="auto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</w:tblGrid>
      <w:tr w:rsidR="007D31CC" w:rsidRPr="004C7BF3" w14:paraId="7C67F14F" w14:textId="77777777" w:rsidTr="00933C13">
        <w:tc>
          <w:tcPr>
            <w:tcW w:w="1418" w:type="dxa"/>
            <w:vAlign w:val="center"/>
          </w:tcPr>
          <w:p w14:paraId="08FF77B8" w14:textId="77777777" w:rsidR="007D31CC" w:rsidRPr="004C7BF3" w:rsidRDefault="007D31CC" w:rsidP="00E76972">
            <w:pPr>
              <w:jc w:val="center"/>
            </w:pPr>
            <w:r w:rsidRPr="004C7BF3">
              <w:rPr>
                <w:noProof/>
                <w:lang w:eastAsia="sv-SE"/>
              </w:rPr>
              <w:drawing>
                <wp:inline distT="0" distB="0" distL="0" distR="0" wp14:anchorId="48CD9668" wp14:editId="120FFD95">
                  <wp:extent cx="576000" cy="5760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plo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3C13" w:rsidRPr="004C7BF3">
              <w:t>GHS01</w:t>
            </w:r>
          </w:p>
        </w:tc>
        <w:tc>
          <w:tcPr>
            <w:tcW w:w="1417" w:type="dxa"/>
            <w:vAlign w:val="center"/>
          </w:tcPr>
          <w:p w14:paraId="4BA08836" w14:textId="77777777" w:rsidR="007D31CC" w:rsidRPr="004C7BF3" w:rsidRDefault="007D31CC" w:rsidP="00E76972">
            <w:pPr>
              <w:jc w:val="center"/>
            </w:pPr>
            <w:r w:rsidRPr="004C7BF3">
              <w:rPr>
                <w:noProof/>
                <w:lang w:eastAsia="sv-SE"/>
              </w:rPr>
              <w:drawing>
                <wp:inline distT="0" distB="0" distL="0" distR="0" wp14:anchorId="0A8002E4" wp14:editId="6BFB9C6C">
                  <wp:extent cx="576000" cy="5760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mm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66C90" w14:textId="77777777" w:rsidR="00933C13" w:rsidRPr="004C7BF3" w:rsidRDefault="00933C13" w:rsidP="00E76972">
            <w:pPr>
              <w:jc w:val="center"/>
            </w:pPr>
            <w:r w:rsidRPr="004C7BF3">
              <w:t>GHS02</w:t>
            </w:r>
          </w:p>
        </w:tc>
        <w:tc>
          <w:tcPr>
            <w:tcW w:w="1276" w:type="dxa"/>
            <w:vAlign w:val="center"/>
          </w:tcPr>
          <w:p w14:paraId="6DCFAE32" w14:textId="77777777" w:rsidR="007D31CC" w:rsidRPr="004C7BF3" w:rsidRDefault="007D31CC" w:rsidP="00E76972">
            <w:pPr>
              <w:jc w:val="center"/>
            </w:pPr>
            <w:r w:rsidRPr="004C7BF3">
              <w:rPr>
                <w:noProof/>
                <w:lang w:eastAsia="sv-SE"/>
              </w:rPr>
              <w:drawing>
                <wp:inline distT="0" distB="0" distL="0" distR="0" wp14:anchorId="2EACD2E5" wp14:editId="3723782E">
                  <wp:extent cx="576000" cy="5760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cla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AA4DB" w14:textId="77777777" w:rsidR="00933C13" w:rsidRPr="004C7BF3" w:rsidRDefault="00933C13" w:rsidP="00E76972">
            <w:pPr>
              <w:jc w:val="center"/>
            </w:pPr>
            <w:r w:rsidRPr="004C7BF3">
              <w:t>GHS07</w:t>
            </w:r>
          </w:p>
        </w:tc>
        <w:tc>
          <w:tcPr>
            <w:tcW w:w="1276" w:type="dxa"/>
            <w:vAlign w:val="center"/>
          </w:tcPr>
          <w:p w14:paraId="57734697" w14:textId="77777777" w:rsidR="007D31CC" w:rsidRPr="004C7BF3" w:rsidRDefault="007D31CC" w:rsidP="00E76972">
            <w:pPr>
              <w:jc w:val="center"/>
            </w:pPr>
            <w:r w:rsidRPr="004C7BF3">
              <w:rPr>
                <w:i/>
              </w:rPr>
              <w:t>No symbol</w:t>
            </w:r>
          </w:p>
        </w:tc>
      </w:tr>
    </w:tbl>
    <w:p w14:paraId="3AA15777" w14:textId="77777777" w:rsidR="007D31CC" w:rsidRPr="004C7BF3" w:rsidRDefault="007D31CC" w:rsidP="00E76972">
      <w:pPr>
        <w:ind w:firstLine="567"/>
      </w:pPr>
    </w:p>
    <w:p w14:paraId="5AA53C22" w14:textId="77777777" w:rsidR="00E8712C" w:rsidRPr="004C7BF3" w:rsidRDefault="007D31CC" w:rsidP="00E76972">
      <w:pPr>
        <w:ind w:firstLine="567"/>
      </w:pPr>
      <w:r w:rsidRPr="004C7BF3">
        <w:rPr>
          <w:b/>
        </w:rPr>
        <w:t>b)</w:t>
      </w:r>
      <w:r w:rsidRPr="004C7BF3">
        <w:t xml:space="preserve"> The hazard statements for Subcategory 2B and 2C</w:t>
      </w:r>
      <w:r w:rsidR="00F94792" w:rsidRPr="004C7BF3">
        <w:t xml:space="preserve"> (see p</w:t>
      </w:r>
      <w:r w:rsidR="00A93985" w:rsidRPr="004C7BF3">
        <w:t xml:space="preserve">aragraphs 10-11 of </w:t>
      </w:r>
      <w:r w:rsidR="00F94792" w:rsidRPr="004C7BF3">
        <w:t>INF.6)</w:t>
      </w:r>
    </w:p>
    <w:p w14:paraId="1000BE45" w14:textId="77777777" w:rsidR="007D31CC" w:rsidRPr="004C7BF3" w:rsidRDefault="00E44629" w:rsidP="00E76972">
      <w:pPr>
        <w:ind w:firstLine="567"/>
      </w:pPr>
      <w:r w:rsidRPr="004C7BF3">
        <w:t>Possible options from the ICG</w:t>
      </w:r>
      <w:r w:rsidR="00F8096F" w:rsidRPr="004C7BF3">
        <w:t xml:space="preserve"> (based on current hazard statement H204</w:t>
      </w:r>
      <w:r w:rsidR="00C423CD" w:rsidRPr="004C7BF3">
        <w:t xml:space="preserve"> for Division 1.4</w:t>
      </w:r>
      <w:r w:rsidR="00F8096F" w:rsidRPr="004C7BF3">
        <w:t>):</w:t>
      </w:r>
      <w:r w:rsidRPr="004C7BF3">
        <w:br/>
      </w:r>
    </w:p>
    <w:tbl>
      <w:tblPr>
        <w:tblStyle w:val="TableGrid"/>
        <w:tblW w:w="0" w:type="auto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3402"/>
      </w:tblGrid>
      <w:tr w:rsidR="007D31CC" w:rsidRPr="004C7BF3" w14:paraId="7AB62311" w14:textId="77777777" w:rsidTr="00F8096F">
        <w:tc>
          <w:tcPr>
            <w:tcW w:w="1701" w:type="dxa"/>
          </w:tcPr>
          <w:p w14:paraId="07900F59" w14:textId="77777777" w:rsidR="007D31CC" w:rsidRPr="004C7BF3" w:rsidRDefault="007D31CC" w:rsidP="00E76972">
            <w:pPr>
              <w:ind w:firstLine="111"/>
              <w:rPr>
                <w:b/>
              </w:rPr>
            </w:pPr>
            <w:r w:rsidRPr="004C7BF3">
              <w:rPr>
                <w:b/>
              </w:rPr>
              <w:t>Category</w:t>
            </w:r>
          </w:p>
        </w:tc>
        <w:tc>
          <w:tcPr>
            <w:tcW w:w="2835" w:type="dxa"/>
          </w:tcPr>
          <w:p w14:paraId="3CA9783D" w14:textId="77777777" w:rsidR="007D31CC" w:rsidRPr="004C7BF3" w:rsidRDefault="007D31CC" w:rsidP="00E76972">
            <w:pPr>
              <w:ind w:firstLine="111"/>
              <w:rPr>
                <w:b/>
              </w:rPr>
            </w:pPr>
            <w:r w:rsidRPr="004C7BF3">
              <w:rPr>
                <w:b/>
              </w:rPr>
              <w:t>2B</w:t>
            </w:r>
          </w:p>
        </w:tc>
        <w:tc>
          <w:tcPr>
            <w:tcW w:w="3402" w:type="dxa"/>
          </w:tcPr>
          <w:p w14:paraId="4C768AC2" w14:textId="77777777" w:rsidR="007D31CC" w:rsidRPr="004C7BF3" w:rsidRDefault="007D31CC" w:rsidP="00E76972">
            <w:pPr>
              <w:ind w:firstLine="111"/>
              <w:rPr>
                <w:b/>
              </w:rPr>
            </w:pPr>
            <w:r w:rsidRPr="004C7BF3">
              <w:rPr>
                <w:b/>
              </w:rPr>
              <w:t>2C</w:t>
            </w:r>
          </w:p>
        </w:tc>
      </w:tr>
      <w:tr w:rsidR="007D31CC" w:rsidRPr="004C7BF3" w14:paraId="33A808EE" w14:textId="77777777" w:rsidTr="00F8096F">
        <w:tc>
          <w:tcPr>
            <w:tcW w:w="1701" w:type="dxa"/>
          </w:tcPr>
          <w:p w14:paraId="386C4746" w14:textId="77777777" w:rsidR="007D31CC" w:rsidRPr="004C7BF3" w:rsidRDefault="00F8096F" w:rsidP="00E76972">
            <w:pPr>
              <w:ind w:firstLine="111"/>
            </w:pPr>
            <w:r w:rsidRPr="004C7BF3">
              <w:t>Hazard statement</w:t>
            </w:r>
          </w:p>
        </w:tc>
        <w:tc>
          <w:tcPr>
            <w:tcW w:w="2835" w:type="dxa"/>
          </w:tcPr>
          <w:p w14:paraId="2CF72B43" w14:textId="77777777" w:rsidR="007D31CC" w:rsidRPr="004C7BF3" w:rsidRDefault="007D31CC" w:rsidP="00E76972">
            <w:pPr>
              <w:ind w:firstLine="111"/>
            </w:pPr>
            <w:r w:rsidRPr="004C7BF3">
              <w:t>Fire or projection hazard</w:t>
            </w:r>
          </w:p>
        </w:tc>
        <w:tc>
          <w:tcPr>
            <w:tcW w:w="3402" w:type="dxa"/>
          </w:tcPr>
          <w:p w14:paraId="21437339" w14:textId="77777777" w:rsidR="007D31CC" w:rsidRPr="004C7BF3" w:rsidRDefault="007D31CC" w:rsidP="00E76972">
            <w:pPr>
              <w:ind w:firstLine="111"/>
            </w:pPr>
            <w:r w:rsidRPr="004C7BF3">
              <w:t>Minor fire or projection hazard</w:t>
            </w:r>
          </w:p>
        </w:tc>
      </w:tr>
      <w:tr w:rsidR="007D31CC" w:rsidRPr="004C7BF3" w14:paraId="57608385" w14:textId="77777777" w:rsidTr="00F8096F">
        <w:tc>
          <w:tcPr>
            <w:tcW w:w="1701" w:type="dxa"/>
          </w:tcPr>
          <w:p w14:paraId="506B6747" w14:textId="77777777" w:rsidR="007D31CC" w:rsidRPr="004C7BF3" w:rsidRDefault="00F8096F" w:rsidP="00E76972">
            <w:pPr>
              <w:ind w:firstLine="111"/>
            </w:pPr>
            <w:r w:rsidRPr="004C7BF3">
              <w:t>Hazard statement</w:t>
            </w:r>
          </w:p>
        </w:tc>
        <w:tc>
          <w:tcPr>
            <w:tcW w:w="2835" w:type="dxa"/>
          </w:tcPr>
          <w:p w14:paraId="4366004F" w14:textId="77777777" w:rsidR="007D31CC" w:rsidRPr="004C7BF3" w:rsidRDefault="007D31CC" w:rsidP="00E76972">
            <w:pPr>
              <w:ind w:firstLine="111"/>
            </w:pPr>
            <w:r w:rsidRPr="004C7BF3">
              <w:t>Fire or projection hazard</w:t>
            </w:r>
          </w:p>
        </w:tc>
        <w:tc>
          <w:tcPr>
            <w:tcW w:w="3402" w:type="dxa"/>
          </w:tcPr>
          <w:p w14:paraId="3B26B7A8" w14:textId="77777777" w:rsidR="007D31CC" w:rsidRPr="004C7BF3" w:rsidRDefault="007D31CC" w:rsidP="00E76972">
            <w:pPr>
              <w:ind w:firstLine="111"/>
            </w:pPr>
            <w:r w:rsidRPr="004C7BF3">
              <w:t>May cause a fire or projection hazard</w:t>
            </w:r>
          </w:p>
        </w:tc>
      </w:tr>
      <w:tr w:rsidR="00E8712C" w:rsidRPr="004C7BF3" w14:paraId="6F919106" w14:textId="77777777" w:rsidTr="00F8096F">
        <w:tc>
          <w:tcPr>
            <w:tcW w:w="1701" w:type="dxa"/>
          </w:tcPr>
          <w:p w14:paraId="2CA256D7" w14:textId="77777777" w:rsidR="00E8712C" w:rsidRPr="004C7BF3" w:rsidRDefault="00F8096F" w:rsidP="00E76972">
            <w:pPr>
              <w:ind w:firstLine="111"/>
            </w:pPr>
            <w:r w:rsidRPr="004C7BF3">
              <w:t>Hazard statement</w:t>
            </w:r>
          </w:p>
        </w:tc>
        <w:tc>
          <w:tcPr>
            <w:tcW w:w="2835" w:type="dxa"/>
          </w:tcPr>
          <w:p w14:paraId="6AEA418E" w14:textId="77777777" w:rsidR="00E8712C" w:rsidRPr="004C7BF3" w:rsidRDefault="00E8712C" w:rsidP="00E76972">
            <w:pPr>
              <w:ind w:firstLine="111"/>
            </w:pPr>
            <w:r w:rsidRPr="004C7BF3">
              <w:t>Fire or projection hazard</w:t>
            </w:r>
          </w:p>
        </w:tc>
        <w:tc>
          <w:tcPr>
            <w:tcW w:w="3402" w:type="dxa"/>
          </w:tcPr>
          <w:p w14:paraId="37E1E16B" w14:textId="77777777" w:rsidR="00E8712C" w:rsidRPr="004C7BF3" w:rsidRDefault="00E8712C" w:rsidP="00E76972">
            <w:pPr>
              <w:ind w:firstLine="111"/>
            </w:pPr>
            <w:r w:rsidRPr="004C7BF3">
              <w:t>Fire hazard or minor projection hazard</w:t>
            </w:r>
          </w:p>
        </w:tc>
      </w:tr>
      <w:tr w:rsidR="007D31CC" w:rsidRPr="004C7BF3" w14:paraId="78A1DBBD" w14:textId="77777777" w:rsidTr="00F8096F">
        <w:tc>
          <w:tcPr>
            <w:tcW w:w="1701" w:type="dxa"/>
          </w:tcPr>
          <w:p w14:paraId="3E757423" w14:textId="77777777" w:rsidR="007D31CC" w:rsidRPr="004C7BF3" w:rsidRDefault="00F8096F" w:rsidP="00E76972">
            <w:pPr>
              <w:ind w:firstLine="111"/>
            </w:pPr>
            <w:r w:rsidRPr="004C7BF3">
              <w:t>Hazard statement</w:t>
            </w:r>
          </w:p>
        </w:tc>
        <w:tc>
          <w:tcPr>
            <w:tcW w:w="2835" w:type="dxa"/>
          </w:tcPr>
          <w:p w14:paraId="3AF53E5A" w14:textId="77777777" w:rsidR="007D31CC" w:rsidRPr="004C7BF3" w:rsidRDefault="007D31CC" w:rsidP="00E76972">
            <w:pPr>
              <w:ind w:firstLine="111"/>
            </w:pPr>
            <w:r w:rsidRPr="004C7BF3">
              <w:t>Severe fire or projection hazard</w:t>
            </w:r>
          </w:p>
        </w:tc>
        <w:tc>
          <w:tcPr>
            <w:tcW w:w="3402" w:type="dxa"/>
          </w:tcPr>
          <w:p w14:paraId="6D65E227" w14:textId="77777777" w:rsidR="007D31CC" w:rsidRPr="004C7BF3" w:rsidRDefault="007D31CC" w:rsidP="00E76972">
            <w:pPr>
              <w:ind w:firstLine="111"/>
            </w:pPr>
            <w:r w:rsidRPr="004C7BF3">
              <w:t>Fire or projection hazard</w:t>
            </w:r>
          </w:p>
        </w:tc>
      </w:tr>
    </w:tbl>
    <w:p w14:paraId="7477DF50" w14:textId="77777777" w:rsidR="007D31CC" w:rsidRPr="004C7BF3" w:rsidRDefault="007D31CC" w:rsidP="00E76972">
      <w:pPr>
        <w:ind w:firstLine="567"/>
      </w:pPr>
    </w:p>
    <w:p w14:paraId="35BEF16E" w14:textId="77777777" w:rsidR="00E76972" w:rsidRPr="004C7BF3" w:rsidRDefault="007D31CC" w:rsidP="00E76972">
      <w:pPr>
        <w:ind w:firstLine="567"/>
      </w:pPr>
      <w:r w:rsidRPr="004C7BF3">
        <w:rPr>
          <w:b/>
        </w:rPr>
        <w:t>c)</w:t>
      </w:r>
      <w:r w:rsidRPr="004C7BF3">
        <w:t xml:space="preserve"> Informing o</w:t>
      </w:r>
      <w:r w:rsidR="002E60D6" w:rsidRPr="004C7BF3">
        <w:t>n</w:t>
      </w:r>
      <w:r w:rsidRPr="004C7BF3">
        <w:t xml:space="preserve"> the Division on the GHS label</w:t>
      </w:r>
      <w:r w:rsidR="00F94792" w:rsidRPr="004C7BF3">
        <w:t xml:space="preserve"> (see paragraphs 12-</w:t>
      </w:r>
      <w:r w:rsidR="00A93985" w:rsidRPr="004C7BF3">
        <w:t xml:space="preserve">15 of </w:t>
      </w:r>
      <w:r w:rsidR="00F94792" w:rsidRPr="004C7BF3">
        <w:t>INF.6)</w:t>
      </w:r>
    </w:p>
    <w:p w14:paraId="7940DC0E" w14:textId="77777777" w:rsidR="007D31CC" w:rsidRPr="004C7BF3" w:rsidRDefault="007D31CC" w:rsidP="00E76972">
      <w:pPr>
        <w:ind w:firstLine="567"/>
      </w:pPr>
      <w:r w:rsidRPr="004C7BF3">
        <w:t>Possible options</w:t>
      </w:r>
      <w:r w:rsidR="002E60D6" w:rsidRPr="004C7BF3">
        <w:t xml:space="preserve"> fro</w:t>
      </w:r>
      <w:r w:rsidR="00E44629" w:rsidRPr="004C7BF3">
        <w:t>m the ICG</w:t>
      </w:r>
      <w:r w:rsidRPr="004C7BF3">
        <w:t>:</w:t>
      </w:r>
      <w:r w:rsidR="00E44629" w:rsidRPr="004C7BF3">
        <w:br/>
      </w:r>
    </w:p>
    <w:tbl>
      <w:tblPr>
        <w:tblStyle w:val="TableGrid"/>
        <w:tblW w:w="9072" w:type="dxa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811"/>
      </w:tblGrid>
      <w:tr w:rsidR="007D31CC" w:rsidRPr="004C7BF3" w14:paraId="5D223BDA" w14:textId="77777777" w:rsidTr="00F8096F">
        <w:tc>
          <w:tcPr>
            <w:tcW w:w="851" w:type="dxa"/>
          </w:tcPr>
          <w:p w14:paraId="4846EFC9" w14:textId="77777777" w:rsidR="007D31CC" w:rsidRPr="004C7BF3" w:rsidRDefault="007D31CC" w:rsidP="00E76972">
            <w:pPr>
              <w:ind w:firstLine="111"/>
              <w:rPr>
                <w:b/>
              </w:rPr>
            </w:pPr>
            <w:r w:rsidRPr="004C7BF3">
              <w:rPr>
                <w:b/>
              </w:rPr>
              <w:t>Code</w:t>
            </w:r>
          </w:p>
        </w:tc>
        <w:tc>
          <w:tcPr>
            <w:tcW w:w="2410" w:type="dxa"/>
          </w:tcPr>
          <w:p w14:paraId="6469BEAB" w14:textId="77777777" w:rsidR="007D31CC" w:rsidRPr="004C7BF3" w:rsidRDefault="007D31CC" w:rsidP="00E76972">
            <w:pPr>
              <w:ind w:firstLine="111"/>
              <w:rPr>
                <w:b/>
              </w:rPr>
            </w:pPr>
            <w:r w:rsidRPr="004C7BF3">
              <w:rPr>
                <w:b/>
              </w:rPr>
              <w:t>Precautionary statement</w:t>
            </w:r>
          </w:p>
        </w:tc>
        <w:tc>
          <w:tcPr>
            <w:tcW w:w="5811" w:type="dxa"/>
          </w:tcPr>
          <w:p w14:paraId="47C49F5B" w14:textId="77777777" w:rsidR="007D31CC" w:rsidRPr="004C7BF3" w:rsidRDefault="007D31CC" w:rsidP="00E76972">
            <w:pPr>
              <w:ind w:left="115"/>
              <w:rPr>
                <w:b/>
              </w:rPr>
            </w:pPr>
            <w:r w:rsidRPr="004C7BF3">
              <w:rPr>
                <w:b/>
              </w:rPr>
              <w:t>Conditions for use</w:t>
            </w:r>
          </w:p>
        </w:tc>
      </w:tr>
      <w:tr w:rsidR="007D31CC" w:rsidRPr="004C7BF3" w14:paraId="4BBFE7FC" w14:textId="77777777" w:rsidTr="00F8096F">
        <w:tc>
          <w:tcPr>
            <w:tcW w:w="851" w:type="dxa"/>
          </w:tcPr>
          <w:p w14:paraId="055EF337" w14:textId="77777777" w:rsidR="007D31CC" w:rsidRPr="004C7BF3" w:rsidRDefault="007D31CC" w:rsidP="00E76972">
            <w:pPr>
              <w:ind w:firstLine="111"/>
            </w:pPr>
            <w:r w:rsidRPr="004C7BF3">
              <w:t>P2XX</w:t>
            </w:r>
          </w:p>
        </w:tc>
        <w:tc>
          <w:tcPr>
            <w:tcW w:w="2410" w:type="dxa"/>
          </w:tcPr>
          <w:p w14:paraId="26A5305E" w14:textId="77777777" w:rsidR="007D31CC" w:rsidRPr="004C7BF3" w:rsidRDefault="007D31CC" w:rsidP="00E76972">
            <w:pPr>
              <w:ind w:left="110" w:firstLine="1"/>
            </w:pPr>
            <w:r w:rsidRPr="004C7BF3">
              <w:t>Division … in transport configuration.</w:t>
            </w:r>
          </w:p>
        </w:tc>
        <w:tc>
          <w:tcPr>
            <w:tcW w:w="5811" w:type="dxa"/>
          </w:tcPr>
          <w:p w14:paraId="2A3D4025" w14:textId="77777777" w:rsidR="00E76972" w:rsidRPr="004C7BF3" w:rsidRDefault="00E76972" w:rsidP="00E76972">
            <w:pPr>
              <w:tabs>
                <w:tab w:val="left" w:pos="256"/>
              </w:tabs>
              <w:spacing w:before="20" w:after="20"/>
              <w:ind w:left="115"/>
              <w:rPr>
                <w:i/>
              </w:rPr>
            </w:pPr>
            <w:r w:rsidRPr="004C7BF3">
              <w:rPr>
                <w:i/>
              </w:rPr>
              <w:t xml:space="preserve">- </w:t>
            </w:r>
            <w:r w:rsidR="007D31CC" w:rsidRPr="004C7BF3">
              <w:rPr>
                <w:i/>
              </w:rPr>
              <w:t>may be omitted if the explosive may become part of different transport configurations with different transport divisions</w:t>
            </w:r>
          </w:p>
          <w:p w14:paraId="0AD2958D" w14:textId="77777777" w:rsidR="007D31CC" w:rsidRPr="004C7BF3" w:rsidRDefault="007D31CC" w:rsidP="00E76972">
            <w:pPr>
              <w:tabs>
                <w:tab w:val="left" w:pos="256"/>
              </w:tabs>
              <w:ind w:left="115"/>
            </w:pPr>
            <w:r w:rsidRPr="004C7BF3">
              <w:t>…Manufacturer/supplier or the competent authority to specify the transport division.</w:t>
            </w:r>
          </w:p>
        </w:tc>
      </w:tr>
      <w:tr w:rsidR="007D31CC" w:rsidRPr="004C7BF3" w14:paraId="281222D8" w14:textId="77777777" w:rsidTr="00F8096F">
        <w:tc>
          <w:tcPr>
            <w:tcW w:w="851" w:type="dxa"/>
          </w:tcPr>
          <w:p w14:paraId="1C339D5E" w14:textId="77777777" w:rsidR="007D31CC" w:rsidRPr="004C7BF3" w:rsidRDefault="007D31CC" w:rsidP="00E76972">
            <w:pPr>
              <w:ind w:firstLine="111"/>
            </w:pPr>
            <w:r w:rsidRPr="004C7BF3">
              <w:t>P2YY</w:t>
            </w:r>
          </w:p>
        </w:tc>
        <w:tc>
          <w:tcPr>
            <w:tcW w:w="2410" w:type="dxa"/>
          </w:tcPr>
          <w:p w14:paraId="0328EB6E" w14:textId="77777777" w:rsidR="007D31CC" w:rsidRPr="004C7BF3" w:rsidRDefault="007D31CC" w:rsidP="00E76972">
            <w:pPr>
              <w:ind w:left="110" w:firstLine="1"/>
            </w:pPr>
            <w:r w:rsidRPr="004C7BF3">
              <w:t>Division … [or …] in transport configuration.</w:t>
            </w:r>
          </w:p>
        </w:tc>
        <w:tc>
          <w:tcPr>
            <w:tcW w:w="5811" w:type="dxa"/>
          </w:tcPr>
          <w:p w14:paraId="53DC8AFD" w14:textId="77777777" w:rsidR="007D31CC" w:rsidRPr="004C7BF3" w:rsidRDefault="00E76972" w:rsidP="00E76972">
            <w:pPr>
              <w:tabs>
                <w:tab w:val="left" w:pos="256"/>
              </w:tabs>
              <w:spacing w:before="20" w:after="20"/>
              <w:ind w:left="115"/>
              <w:rPr>
                <w:i/>
              </w:rPr>
            </w:pPr>
            <w:r w:rsidRPr="004C7BF3">
              <w:rPr>
                <w:i/>
              </w:rPr>
              <w:t xml:space="preserve">- </w:t>
            </w:r>
            <w:r w:rsidR="007D31CC" w:rsidRPr="004C7BF3">
              <w:rPr>
                <w:i/>
              </w:rPr>
              <w:t>text in square brackets to be included where different transport divisions may result depending on the transport configuration</w:t>
            </w:r>
          </w:p>
          <w:p w14:paraId="4ECCF64F" w14:textId="77777777" w:rsidR="007D31CC" w:rsidRPr="004C7BF3" w:rsidRDefault="007D31CC" w:rsidP="00E76972">
            <w:pPr>
              <w:tabs>
                <w:tab w:val="left" w:pos="256"/>
              </w:tabs>
              <w:ind w:left="115"/>
            </w:pPr>
            <w:r w:rsidRPr="004C7BF3">
              <w:t>…Manufacturer/supplier or the competent authority to specify the transport division(s).</w:t>
            </w:r>
          </w:p>
        </w:tc>
      </w:tr>
    </w:tbl>
    <w:p w14:paraId="5ACF92C2" w14:textId="77777777" w:rsidR="007D31CC" w:rsidRPr="004C7BF3" w:rsidRDefault="00E76972" w:rsidP="00E76972">
      <w:pPr>
        <w:ind w:left="567"/>
      </w:pPr>
      <w:r w:rsidRPr="004C7BF3">
        <w:br/>
      </w:r>
      <w:r w:rsidR="00D21A45" w:rsidRPr="004C7BF3">
        <w:t>PXX and PYY</w:t>
      </w:r>
      <w:r w:rsidR="00E8712C" w:rsidRPr="004C7BF3">
        <w:t xml:space="preserve"> could </w:t>
      </w:r>
      <w:r w:rsidRPr="004C7BF3">
        <w:t xml:space="preserve">form a combination statement </w:t>
      </w:r>
      <w:r w:rsidR="00E8712C" w:rsidRPr="004C7BF3">
        <w:t xml:space="preserve">with </w:t>
      </w:r>
      <w:r w:rsidRPr="004C7BF3">
        <w:t xml:space="preserve">the existing </w:t>
      </w:r>
      <w:r w:rsidR="00E8712C" w:rsidRPr="004C7BF3">
        <w:t>P234 - “Keep only in original packaging”</w:t>
      </w:r>
      <w:r w:rsidR="006637FC" w:rsidRPr="004C7BF3">
        <w:t xml:space="preserve"> </w:t>
      </w:r>
      <w:r w:rsidR="00F8096F" w:rsidRPr="004C7BF3">
        <w:t>(</w:t>
      </w:r>
      <w:r w:rsidRPr="004C7BF3">
        <w:t>i.e. P234+PXX or P234+PYY, respectively</w:t>
      </w:r>
      <w:r w:rsidR="00F8096F" w:rsidRPr="004C7BF3">
        <w:t>)</w:t>
      </w:r>
      <w:r w:rsidRPr="004C7BF3">
        <w:t>. A</w:t>
      </w:r>
      <w:r w:rsidR="00F606B4" w:rsidRPr="004C7BF3">
        <w:t>nother option is to form a</w:t>
      </w:r>
      <w:r w:rsidRPr="004C7BF3">
        <w:t xml:space="preserve"> new statement P2ZZ “</w:t>
      </w:r>
      <w:r w:rsidR="00F8096F" w:rsidRPr="004C7BF3">
        <w:t xml:space="preserve">Keep only in original packaging. </w:t>
      </w:r>
      <w:r w:rsidRPr="004C7BF3">
        <w:t>Division … [or …] in transport configuration.”.</w:t>
      </w:r>
      <w:r w:rsidR="007D31CC" w:rsidRPr="004C7BF3">
        <w:br/>
      </w:r>
    </w:p>
    <w:p w14:paraId="683DF198" w14:textId="77777777" w:rsidR="007D31CC" w:rsidRPr="004C7BF3" w:rsidRDefault="007D31CC" w:rsidP="007D31CC">
      <w:r w:rsidRPr="004C7BF3">
        <w:rPr>
          <w:b/>
        </w:rPr>
        <w:t>4.</w:t>
      </w:r>
      <w:r w:rsidRPr="004C7BF3">
        <w:t xml:space="preserve"> </w:t>
      </w:r>
      <w:r w:rsidR="00E8712C" w:rsidRPr="004C7BF3">
        <w:t xml:space="preserve">Any other issues </w:t>
      </w:r>
      <w:r w:rsidR="00CB416E" w:rsidRPr="004C7BF3">
        <w:t>regarding</w:t>
      </w:r>
      <w:r w:rsidRPr="004C7BF3">
        <w:t xml:space="preserve"> the draft chapter</w:t>
      </w:r>
    </w:p>
    <w:p w14:paraId="2B6A3B3F" w14:textId="77777777" w:rsidR="007D31CC" w:rsidRPr="004C7BF3" w:rsidRDefault="007D31CC" w:rsidP="007D31CC">
      <w:pPr>
        <w:suppressAutoHyphens w:val="0"/>
        <w:spacing w:line="240" w:lineRule="auto"/>
      </w:pPr>
    </w:p>
    <w:p w14:paraId="256FB05D" w14:textId="77777777" w:rsidR="008256B4" w:rsidRPr="004C7BF3" w:rsidRDefault="007D31CC" w:rsidP="008256B4">
      <w:pPr>
        <w:suppressAutoHyphens w:val="0"/>
        <w:spacing w:line="240" w:lineRule="auto"/>
        <w:rPr>
          <w:rFonts w:eastAsia="Garamond"/>
          <w:u w:val="single"/>
        </w:rPr>
      </w:pPr>
      <w:r w:rsidRPr="004C7BF3">
        <w:rPr>
          <w:b/>
        </w:rPr>
        <w:t>5.</w:t>
      </w:r>
      <w:r w:rsidRPr="004C7BF3">
        <w:t xml:space="preserve"> </w:t>
      </w:r>
      <w:r w:rsidR="0091042C" w:rsidRPr="004C7BF3">
        <w:t>The way forward</w:t>
      </w:r>
    </w:p>
    <w:sectPr w:rsidR="008256B4" w:rsidRPr="004C7BF3" w:rsidSect="007D3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1121" w14:textId="77777777" w:rsidR="00BC5418" w:rsidRDefault="00BC5418"/>
  </w:endnote>
  <w:endnote w:type="continuationSeparator" w:id="0">
    <w:p w14:paraId="5127A48C" w14:textId="77777777" w:rsidR="00BC5418" w:rsidRDefault="00BC5418"/>
  </w:endnote>
  <w:endnote w:type="continuationNotice" w:id="1">
    <w:p w14:paraId="5567FDD3" w14:textId="77777777" w:rsidR="00BC5418" w:rsidRDefault="00BC5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F228" w14:textId="77777777" w:rsidR="002451FB" w:rsidRPr="000216CC" w:rsidRDefault="002451FB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4C7BF3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43AD" w14:textId="77777777" w:rsidR="002451FB" w:rsidRPr="000216CC" w:rsidRDefault="002451FB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4C7BF3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71FE" w14:textId="77777777" w:rsidR="002451FB" w:rsidRDefault="002451FB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2D25" w14:textId="77777777" w:rsidR="00BC5418" w:rsidRPr="000B175B" w:rsidRDefault="00BC54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2E563F" w14:textId="77777777" w:rsidR="00BC5418" w:rsidRPr="00FC68B7" w:rsidRDefault="00BC54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E3C757" w14:textId="77777777" w:rsidR="00BC5418" w:rsidRDefault="00BC5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0649" w14:textId="77777777" w:rsidR="002451FB" w:rsidRPr="001E5919" w:rsidRDefault="00685EFF" w:rsidP="001E5919">
    <w:pPr>
      <w:pStyle w:val="Header"/>
      <w:rPr>
        <w:lang w:val="fr-FR"/>
      </w:rPr>
    </w:pPr>
    <w:r>
      <w:rPr>
        <w:lang w:val="fr-FR"/>
      </w:rPr>
      <w:t>UN/SCEGHS/38</w:t>
    </w:r>
    <w:r w:rsidR="002451FB">
      <w:rPr>
        <w:lang w:val="fr-FR"/>
      </w:rPr>
      <w:t>/INF.</w:t>
    </w:r>
    <w:r w:rsidR="008256B4">
      <w:rPr>
        <w:lang w:val="fr-FR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B52A" w14:textId="77777777" w:rsidR="002451FB" w:rsidRPr="001E5919" w:rsidRDefault="00685EFF" w:rsidP="001E5919">
    <w:pPr>
      <w:pStyle w:val="Header"/>
      <w:jc w:val="right"/>
      <w:rPr>
        <w:lang w:val="fr-FR"/>
      </w:rPr>
    </w:pPr>
    <w:r>
      <w:rPr>
        <w:lang w:val="fr-FR"/>
      </w:rPr>
      <w:t>UN/SCETDG/56</w:t>
    </w:r>
    <w:r w:rsidR="002451FB">
      <w:rPr>
        <w:lang w:val="fr-FR"/>
      </w:rPr>
      <w:t>/INF.</w:t>
    </w:r>
    <w:r w:rsidR="008256B4">
      <w:rPr>
        <w:lang w:val="fr-FR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2230" w14:textId="77777777" w:rsidR="002451FB" w:rsidRPr="00542C8D" w:rsidRDefault="002451FB" w:rsidP="00542C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5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4F43590"/>
    <w:multiLevelType w:val="hybridMultilevel"/>
    <w:tmpl w:val="09EAC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DD5E88"/>
    <w:multiLevelType w:val="hybridMultilevel"/>
    <w:tmpl w:val="F9468540"/>
    <w:lvl w:ilvl="0" w:tplc="13CCC7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0124B"/>
    <w:multiLevelType w:val="hybridMultilevel"/>
    <w:tmpl w:val="CBEA5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49125F4"/>
    <w:multiLevelType w:val="hybridMultilevel"/>
    <w:tmpl w:val="165AF2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355F7"/>
    <w:multiLevelType w:val="hybridMultilevel"/>
    <w:tmpl w:val="466897E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E93DB1"/>
    <w:multiLevelType w:val="hybridMultilevel"/>
    <w:tmpl w:val="C84468EC"/>
    <w:lvl w:ilvl="0" w:tplc="B8588518">
      <w:start w:val="1"/>
      <w:numFmt w:val="lowerLetter"/>
      <w:lvlText w:val="%1)"/>
      <w:lvlJc w:val="left"/>
      <w:pPr>
        <w:ind w:left="775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215" w:hanging="180"/>
      </w:pPr>
    </w:lvl>
    <w:lvl w:ilvl="3" w:tplc="041D000F" w:tentative="1">
      <w:start w:val="1"/>
      <w:numFmt w:val="decimal"/>
      <w:lvlText w:val="%4."/>
      <w:lvlJc w:val="left"/>
      <w:pPr>
        <w:ind w:left="2935" w:hanging="360"/>
      </w:pPr>
    </w:lvl>
    <w:lvl w:ilvl="4" w:tplc="041D0019" w:tentative="1">
      <w:start w:val="1"/>
      <w:numFmt w:val="lowerLetter"/>
      <w:lvlText w:val="%5."/>
      <w:lvlJc w:val="left"/>
      <w:pPr>
        <w:ind w:left="3655" w:hanging="360"/>
      </w:pPr>
    </w:lvl>
    <w:lvl w:ilvl="5" w:tplc="041D001B" w:tentative="1">
      <w:start w:val="1"/>
      <w:numFmt w:val="lowerRoman"/>
      <w:lvlText w:val="%6."/>
      <w:lvlJc w:val="right"/>
      <w:pPr>
        <w:ind w:left="4375" w:hanging="180"/>
      </w:pPr>
    </w:lvl>
    <w:lvl w:ilvl="6" w:tplc="041D000F" w:tentative="1">
      <w:start w:val="1"/>
      <w:numFmt w:val="decimal"/>
      <w:lvlText w:val="%7."/>
      <w:lvlJc w:val="left"/>
      <w:pPr>
        <w:ind w:left="5095" w:hanging="360"/>
      </w:pPr>
    </w:lvl>
    <w:lvl w:ilvl="7" w:tplc="041D0019" w:tentative="1">
      <w:start w:val="1"/>
      <w:numFmt w:val="lowerLetter"/>
      <w:lvlText w:val="%8."/>
      <w:lvlJc w:val="left"/>
      <w:pPr>
        <w:ind w:left="5815" w:hanging="360"/>
      </w:pPr>
    </w:lvl>
    <w:lvl w:ilvl="8" w:tplc="041D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1B8320F5"/>
    <w:multiLevelType w:val="hybridMultilevel"/>
    <w:tmpl w:val="165AF2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3798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B938F0"/>
    <w:multiLevelType w:val="hybridMultilevel"/>
    <w:tmpl w:val="09EAC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15929"/>
    <w:multiLevelType w:val="hybridMultilevel"/>
    <w:tmpl w:val="5DBA275E"/>
    <w:lvl w:ilvl="0" w:tplc="600C31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2B9A6288"/>
    <w:multiLevelType w:val="hybridMultilevel"/>
    <w:tmpl w:val="85DA7008"/>
    <w:lvl w:ilvl="0" w:tplc="510E1498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CF14259"/>
    <w:multiLevelType w:val="hybridMultilevel"/>
    <w:tmpl w:val="75EE8C66"/>
    <w:lvl w:ilvl="0" w:tplc="1BE8D614">
      <w:start w:val="1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3F09AE"/>
    <w:multiLevelType w:val="hybridMultilevel"/>
    <w:tmpl w:val="10F86E76"/>
    <w:lvl w:ilvl="0" w:tplc="D758D3B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386548B4"/>
    <w:multiLevelType w:val="hybridMultilevel"/>
    <w:tmpl w:val="904E6EDA"/>
    <w:lvl w:ilvl="0" w:tplc="162A955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A6D6CAF8">
      <w:start w:val="1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114740"/>
    <w:multiLevelType w:val="hybridMultilevel"/>
    <w:tmpl w:val="180A7554"/>
    <w:lvl w:ilvl="0" w:tplc="E132D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4A45AA8"/>
    <w:multiLevelType w:val="hybridMultilevel"/>
    <w:tmpl w:val="729A026E"/>
    <w:lvl w:ilvl="0" w:tplc="6A9EA27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6827464"/>
    <w:multiLevelType w:val="hybridMultilevel"/>
    <w:tmpl w:val="E236B7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7526"/>
    <w:multiLevelType w:val="hybridMultilevel"/>
    <w:tmpl w:val="23689C8E"/>
    <w:lvl w:ilvl="0" w:tplc="3A2AE33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E163BED"/>
    <w:multiLevelType w:val="hybridMultilevel"/>
    <w:tmpl w:val="FF169C2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A6D6CAF8">
      <w:start w:val="1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8C6FDD"/>
    <w:multiLevelType w:val="hybridMultilevel"/>
    <w:tmpl w:val="9FE0FA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6DED"/>
    <w:multiLevelType w:val="hybridMultilevel"/>
    <w:tmpl w:val="A2E80CEC"/>
    <w:lvl w:ilvl="0" w:tplc="041D0017">
      <w:start w:val="1"/>
      <w:numFmt w:val="lowerLetter"/>
      <w:lvlText w:val="%1)"/>
      <w:lvlJc w:val="left"/>
      <w:pPr>
        <w:ind w:left="2027" w:hanging="360"/>
      </w:pPr>
    </w:lvl>
    <w:lvl w:ilvl="1" w:tplc="37949FC0">
      <w:start w:val="1"/>
      <w:numFmt w:val="lowerLetter"/>
      <w:lvlText w:val="%2)"/>
      <w:lvlJc w:val="left"/>
      <w:pPr>
        <w:ind w:left="2747" w:hanging="360"/>
      </w:pPr>
      <w:rPr>
        <w:color w:val="auto"/>
      </w:rPr>
    </w:lvl>
    <w:lvl w:ilvl="2" w:tplc="510E1498">
      <w:start w:val="1"/>
      <w:numFmt w:val="lowerRoman"/>
      <w:lvlText w:val="(%3)"/>
      <w:lvlJc w:val="right"/>
      <w:pPr>
        <w:ind w:left="3467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553055"/>
    <w:multiLevelType w:val="hybridMultilevel"/>
    <w:tmpl w:val="10B4218C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639F1AD4"/>
    <w:multiLevelType w:val="hybridMultilevel"/>
    <w:tmpl w:val="9FE0FA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029A0"/>
    <w:multiLevelType w:val="hybridMultilevel"/>
    <w:tmpl w:val="3A461F08"/>
    <w:lvl w:ilvl="0" w:tplc="510E1498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55121B6"/>
    <w:multiLevelType w:val="hybridMultilevel"/>
    <w:tmpl w:val="F0F8F9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510E1498">
      <w:start w:val="1"/>
      <w:numFmt w:val="lowerRoman"/>
      <w:lvlText w:val="(%3)"/>
      <w:lvlJc w:val="right"/>
      <w:pPr>
        <w:ind w:left="288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04C44"/>
    <w:multiLevelType w:val="hybridMultilevel"/>
    <w:tmpl w:val="28DCC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58" w:hanging="360"/>
      </w:pPr>
    </w:lvl>
    <w:lvl w:ilvl="2" w:tplc="0809001B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41" w15:restartNumberingAfterBreak="0">
    <w:nsid w:val="6EFF76CB"/>
    <w:multiLevelType w:val="hybridMultilevel"/>
    <w:tmpl w:val="47109A84"/>
    <w:lvl w:ilvl="0" w:tplc="5784D936">
      <w:start w:val="1"/>
      <w:numFmt w:val="lowerLetter"/>
      <w:lvlText w:val="%1)"/>
      <w:lvlJc w:val="left"/>
      <w:pPr>
        <w:ind w:left="775" w:hanging="360"/>
      </w:pPr>
      <w:rPr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215" w:hanging="180"/>
      </w:pPr>
    </w:lvl>
    <w:lvl w:ilvl="3" w:tplc="041D000F" w:tentative="1">
      <w:start w:val="1"/>
      <w:numFmt w:val="decimal"/>
      <w:lvlText w:val="%4."/>
      <w:lvlJc w:val="left"/>
      <w:pPr>
        <w:ind w:left="2935" w:hanging="360"/>
      </w:pPr>
    </w:lvl>
    <w:lvl w:ilvl="4" w:tplc="041D0019" w:tentative="1">
      <w:start w:val="1"/>
      <w:numFmt w:val="lowerLetter"/>
      <w:lvlText w:val="%5."/>
      <w:lvlJc w:val="left"/>
      <w:pPr>
        <w:ind w:left="3655" w:hanging="360"/>
      </w:pPr>
    </w:lvl>
    <w:lvl w:ilvl="5" w:tplc="041D001B" w:tentative="1">
      <w:start w:val="1"/>
      <w:numFmt w:val="lowerRoman"/>
      <w:lvlText w:val="%6."/>
      <w:lvlJc w:val="right"/>
      <w:pPr>
        <w:ind w:left="4375" w:hanging="180"/>
      </w:pPr>
    </w:lvl>
    <w:lvl w:ilvl="6" w:tplc="041D000F" w:tentative="1">
      <w:start w:val="1"/>
      <w:numFmt w:val="decimal"/>
      <w:lvlText w:val="%7."/>
      <w:lvlJc w:val="left"/>
      <w:pPr>
        <w:ind w:left="5095" w:hanging="360"/>
      </w:pPr>
    </w:lvl>
    <w:lvl w:ilvl="7" w:tplc="041D0019" w:tentative="1">
      <w:start w:val="1"/>
      <w:numFmt w:val="lowerLetter"/>
      <w:lvlText w:val="%8."/>
      <w:lvlJc w:val="left"/>
      <w:pPr>
        <w:ind w:left="5815" w:hanging="360"/>
      </w:pPr>
    </w:lvl>
    <w:lvl w:ilvl="8" w:tplc="041D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71D66456"/>
    <w:multiLevelType w:val="hybridMultilevel"/>
    <w:tmpl w:val="F390A090"/>
    <w:lvl w:ilvl="0" w:tplc="3C1EB66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3246DB0"/>
    <w:multiLevelType w:val="hybridMultilevel"/>
    <w:tmpl w:val="778A8AA2"/>
    <w:lvl w:ilvl="0" w:tplc="041D0017">
      <w:start w:val="1"/>
      <w:numFmt w:val="lowerLetter"/>
      <w:lvlText w:val="%1)"/>
      <w:lvlJc w:val="left"/>
      <w:pPr>
        <w:ind w:left="2027" w:hanging="360"/>
      </w:pPr>
    </w:lvl>
    <w:lvl w:ilvl="1" w:tplc="CDD4C4B8">
      <w:start w:val="1"/>
      <w:numFmt w:val="lowerLetter"/>
      <w:lvlText w:val="(%2)"/>
      <w:lvlJc w:val="left"/>
      <w:pPr>
        <w:ind w:left="2747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C2F3F"/>
    <w:multiLevelType w:val="hybridMultilevel"/>
    <w:tmpl w:val="E236B7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31636"/>
    <w:multiLevelType w:val="hybridMultilevel"/>
    <w:tmpl w:val="50DC5C6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10E1498">
      <w:start w:val="1"/>
      <w:numFmt w:val="lowerRoman"/>
      <w:lvlText w:val="(%2)"/>
      <w:lvlJc w:val="righ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7"/>
  </w:num>
  <w:num w:numId="13">
    <w:abstractNumId w:val="12"/>
  </w:num>
  <w:num w:numId="14">
    <w:abstractNumId w:val="39"/>
  </w:num>
  <w:num w:numId="15">
    <w:abstractNumId w:val="44"/>
  </w:num>
  <w:num w:numId="16">
    <w:abstractNumId w:val="28"/>
  </w:num>
  <w:num w:numId="17">
    <w:abstractNumId w:val="24"/>
  </w:num>
  <w:num w:numId="18">
    <w:abstractNumId w:val="10"/>
  </w:num>
  <w:num w:numId="19">
    <w:abstractNumId w:val="27"/>
  </w:num>
  <w:num w:numId="20">
    <w:abstractNumId w:val="35"/>
  </w:num>
  <w:num w:numId="21">
    <w:abstractNumId w:val="42"/>
  </w:num>
  <w:num w:numId="22">
    <w:abstractNumId w:val="22"/>
  </w:num>
  <w:num w:numId="23">
    <w:abstractNumId w:val="25"/>
  </w:num>
  <w:num w:numId="24">
    <w:abstractNumId w:val="30"/>
  </w:num>
  <w:num w:numId="25">
    <w:abstractNumId w:val="20"/>
  </w:num>
  <w:num w:numId="26">
    <w:abstractNumId w:val="14"/>
  </w:num>
  <w:num w:numId="27">
    <w:abstractNumId w:val="40"/>
  </w:num>
  <w:num w:numId="28">
    <w:abstractNumId w:val="46"/>
  </w:num>
  <w:num w:numId="29">
    <w:abstractNumId w:val="13"/>
  </w:num>
  <w:num w:numId="30">
    <w:abstractNumId w:val="31"/>
  </w:num>
  <w:num w:numId="31">
    <w:abstractNumId w:val="18"/>
  </w:num>
  <w:num w:numId="32">
    <w:abstractNumId w:val="23"/>
  </w:num>
  <w:num w:numId="33">
    <w:abstractNumId w:val="37"/>
  </w:num>
  <w:num w:numId="34">
    <w:abstractNumId w:val="33"/>
  </w:num>
  <w:num w:numId="35">
    <w:abstractNumId w:val="19"/>
  </w:num>
  <w:num w:numId="36">
    <w:abstractNumId w:val="32"/>
  </w:num>
  <w:num w:numId="37">
    <w:abstractNumId w:val="29"/>
  </w:num>
  <w:num w:numId="38">
    <w:abstractNumId w:val="11"/>
  </w:num>
  <w:num w:numId="39">
    <w:abstractNumId w:val="43"/>
  </w:num>
  <w:num w:numId="40">
    <w:abstractNumId w:val="26"/>
  </w:num>
  <w:num w:numId="41">
    <w:abstractNumId w:val="16"/>
  </w:num>
  <w:num w:numId="42">
    <w:abstractNumId w:val="38"/>
  </w:num>
  <w:num w:numId="43">
    <w:abstractNumId w:val="15"/>
  </w:num>
  <w:num w:numId="44">
    <w:abstractNumId w:val="36"/>
  </w:num>
  <w:num w:numId="45">
    <w:abstractNumId w:val="45"/>
  </w:num>
  <w:num w:numId="46">
    <w:abstractNumId w:val="41"/>
  </w:num>
  <w:num w:numId="4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07923"/>
    <w:rsid w:val="000133C5"/>
    <w:rsid w:val="00017D24"/>
    <w:rsid w:val="00020BDA"/>
    <w:rsid w:val="000216CC"/>
    <w:rsid w:val="00023EB0"/>
    <w:rsid w:val="00026B64"/>
    <w:rsid w:val="0003042A"/>
    <w:rsid w:val="00031437"/>
    <w:rsid w:val="0003375D"/>
    <w:rsid w:val="00040776"/>
    <w:rsid w:val="00043180"/>
    <w:rsid w:val="00044081"/>
    <w:rsid w:val="000441CC"/>
    <w:rsid w:val="00044E44"/>
    <w:rsid w:val="000504CE"/>
    <w:rsid w:val="00050922"/>
    <w:rsid w:val="00050F6B"/>
    <w:rsid w:val="0005258D"/>
    <w:rsid w:val="00053492"/>
    <w:rsid w:val="0005361A"/>
    <w:rsid w:val="0005710C"/>
    <w:rsid w:val="00063DAC"/>
    <w:rsid w:val="00064402"/>
    <w:rsid w:val="00067E6D"/>
    <w:rsid w:val="00072C8C"/>
    <w:rsid w:val="00073129"/>
    <w:rsid w:val="00073FC6"/>
    <w:rsid w:val="00075F99"/>
    <w:rsid w:val="00076A0A"/>
    <w:rsid w:val="00080273"/>
    <w:rsid w:val="00080B38"/>
    <w:rsid w:val="00082CE1"/>
    <w:rsid w:val="00083598"/>
    <w:rsid w:val="00084632"/>
    <w:rsid w:val="000863FA"/>
    <w:rsid w:val="00086918"/>
    <w:rsid w:val="00086FCB"/>
    <w:rsid w:val="00091046"/>
    <w:rsid w:val="00091419"/>
    <w:rsid w:val="00091CB3"/>
    <w:rsid w:val="000931C0"/>
    <w:rsid w:val="000939AE"/>
    <w:rsid w:val="000954A8"/>
    <w:rsid w:val="000A1FA7"/>
    <w:rsid w:val="000A1FD1"/>
    <w:rsid w:val="000A2236"/>
    <w:rsid w:val="000A35F2"/>
    <w:rsid w:val="000A3A48"/>
    <w:rsid w:val="000A4C38"/>
    <w:rsid w:val="000B175B"/>
    <w:rsid w:val="000B3A0F"/>
    <w:rsid w:val="000B4919"/>
    <w:rsid w:val="000B4D72"/>
    <w:rsid w:val="000B7AF2"/>
    <w:rsid w:val="000C1ED8"/>
    <w:rsid w:val="000C28CA"/>
    <w:rsid w:val="000C5D4B"/>
    <w:rsid w:val="000C6507"/>
    <w:rsid w:val="000C717F"/>
    <w:rsid w:val="000D0B8F"/>
    <w:rsid w:val="000D379B"/>
    <w:rsid w:val="000D481F"/>
    <w:rsid w:val="000D6D97"/>
    <w:rsid w:val="000D7830"/>
    <w:rsid w:val="000E0415"/>
    <w:rsid w:val="000E1285"/>
    <w:rsid w:val="000E58DB"/>
    <w:rsid w:val="000E5E99"/>
    <w:rsid w:val="000E7E74"/>
    <w:rsid w:val="000F1747"/>
    <w:rsid w:val="000F52D6"/>
    <w:rsid w:val="000F6A20"/>
    <w:rsid w:val="001018ED"/>
    <w:rsid w:val="001030E2"/>
    <w:rsid w:val="00103E90"/>
    <w:rsid w:val="0010461A"/>
    <w:rsid w:val="001054A3"/>
    <w:rsid w:val="001057AB"/>
    <w:rsid w:val="001058DD"/>
    <w:rsid w:val="00113F87"/>
    <w:rsid w:val="001149AA"/>
    <w:rsid w:val="00115303"/>
    <w:rsid w:val="00115FA4"/>
    <w:rsid w:val="00117787"/>
    <w:rsid w:val="00117D0D"/>
    <w:rsid w:val="00117D88"/>
    <w:rsid w:val="00117FD5"/>
    <w:rsid w:val="00120E7B"/>
    <w:rsid w:val="00121960"/>
    <w:rsid w:val="00121EB7"/>
    <w:rsid w:val="0012241F"/>
    <w:rsid w:val="00124B3F"/>
    <w:rsid w:val="00131B10"/>
    <w:rsid w:val="00131D42"/>
    <w:rsid w:val="00133C50"/>
    <w:rsid w:val="0013537A"/>
    <w:rsid w:val="00136721"/>
    <w:rsid w:val="00136F78"/>
    <w:rsid w:val="001377BD"/>
    <w:rsid w:val="001406F4"/>
    <w:rsid w:val="00142B16"/>
    <w:rsid w:val="001470D6"/>
    <w:rsid w:val="001501A4"/>
    <w:rsid w:val="00150B0B"/>
    <w:rsid w:val="0015178F"/>
    <w:rsid w:val="00153100"/>
    <w:rsid w:val="001617F5"/>
    <w:rsid w:val="001621AD"/>
    <w:rsid w:val="001633FB"/>
    <w:rsid w:val="00163A1B"/>
    <w:rsid w:val="00165735"/>
    <w:rsid w:val="00167786"/>
    <w:rsid w:val="0017011C"/>
    <w:rsid w:val="00181019"/>
    <w:rsid w:val="001835BF"/>
    <w:rsid w:val="00184B86"/>
    <w:rsid w:val="00192A12"/>
    <w:rsid w:val="00195084"/>
    <w:rsid w:val="0019637E"/>
    <w:rsid w:val="001A02A4"/>
    <w:rsid w:val="001A1CDC"/>
    <w:rsid w:val="001A3FC1"/>
    <w:rsid w:val="001A5DDE"/>
    <w:rsid w:val="001B0361"/>
    <w:rsid w:val="001B35EE"/>
    <w:rsid w:val="001B4B04"/>
    <w:rsid w:val="001B5846"/>
    <w:rsid w:val="001B6B72"/>
    <w:rsid w:val="001B71CF"/>
    <w:rsid w:val="001C08F5"/>
    <w:rsid w:val="001C429D"/>
    <w:rsid w:val="001C6663"/>
    <w:rsid w:val="001C7895"/>
    <w:rsid w:val="001D0B0A"/>
    <w:rsid w:val="001D25B8"/>
    <w:rsid w:val="001D26DF"/>
    <w:rsid w:val="001D2B40"/>
    <w:rsid w:val="001D2FDC"/>
    <w:rsid w:val="001D3123"/>
    <w:rsid w:val="001D3A88"/>
    <w:rsid w:val="001D4B2D"/>
    <w:rsid w:val="001D4E70"/>
    <w:rsid w:val="001D5B61"/>
    <w:rsid w:val="001D7926"/>
    <w:rsid w:val="001D7B26"/>
    <w:rsid w:val="001E020F"/>
    <w:rsid w:val="001E5919"/>
    <w:rsid w:val="001E66BE"/>
    <w:rsid w:val="001E797C"/>
    <w:rsid w:val="001F0374"/>
    <w:rsid w:val="001F1711"/>
    <w:rsid w:val="00202788"/>
    <w:rsid w:val="0020301C"/>
    <w:rsid w:val="00211B12"/>
    <w:rsid w:val="00211E0B"/>
    <w:rsid w:val="0021481D"/>
    <w:rsid w:val="00221589"/>
    <w:rsid w:val="00221AC2"/>
    <w:rsid w:val="00223316"/>
    <w:rsid w:val="00223F20"/>
    <w:rsid w:val="00224CD9"/>
    <w:rsid w:val="002251AE"/>
    <w:rsid w:val="002254D7"/>
    <w:rsid w:val="002277D8"/>
    <w:rsid w:val="002309A7"/>
    <w:rsid w:val="00233AA0"/>
    <w:rsid w:val="00234B1B"/>
    <w:rsid w:val="00235381"/>
    <w:rsid w:val="00237785"/>
    <w:rsid w:val="00241178"/>
    <w:rsid w:val="00241439"/>
    <w:rsid w:val="00241466"/>
    <w:rsid w:val="002440E7"/>
    <w:rsid w:val="002451FB"/>
    <w:rsid w:val="00245C88"/>
    <w:rsid w:val="00247570"/>
    <w:rsid w:val="002511B3"/>
    <w:rsid w:val="00253B88"/>
    <w:rsid w:val="00257C1E"/>
    <w:rsid w:val="00261B71"/>
    <w:rsid w:val="00262099"/>
    <w:rsid w:val="002621F5"/>
    <w:rsid w:val="00264A62"/>
    <w:rsid w:val="002708B5"/>
    <w:rsid w:val="00270A21"/>
    <w:rsid w:val="002725CA"/>
    <w:rsid w:val="00273A92"/>
    <w:rsid w:val="00276E3C"/>
    <w:rsid w:val="00277486"/>
    <w:rsid w:val="00277896"/>
    <w:rsid w:val="00280B7A"/>
    <w:rsid w:val="00280EB7"/>
    <w:rsid w:val="0028343B"/>
    <w:rsid w:val="002839CB"/>
    <w:rsid w:val="002976CF"/>
    <w:rsid w:val="002A0BD2"/>
    <w:rsid w:val="002A3510"/>
    <w:rsid w:val="002A5B17"/>
    <w:rsid w:val="002A76D3"/>
    <w:rsid w:val="002B067A"/>
    <w:rsid w:val="002B1514"/>
    <w:rsid w:val="002B1CDA"/>
    <w:rsid w:val="002B3254"/>
    <w:rsid w:val="002C2163"/>
    <w:rsid w:val="002C463C"/>
    <w:rsid w:val="002C7F25"/>
    <w:rsid w:val="002D3912"/>
    <w:rsid w:val="002D4DB6"/>
    <w:rsid w:val="002D5029"/>
    <w:rsid w:val="002D5A85"/>
    <w:rsid w:val="002D5C7D"/>
    <w:rsid w:val="002E0692"/>
    <w:rsid w:val="002E122E"/>
    <w:rsid w:val="002E35BB"/>
    <w:rsid w:val="002E3F53"/>
    <w:rsid w:val="002E4639"/>
    <w:rsid w:val="002E4D44"/>
    <w:rsid w:val="002E5CF2"/>
    <w:rsid w:val="002E60D6"/>
    <w:rsid w:val="002F1915"/>
    <w:rsid w:val="002F68FD"/>
    <w:rsid w:val="002F7332"/>
    <w:rsid w:val="003003A7"/>
    <w:rsid w:val="003004DA"/>
    <w:rsid w:val="00302A3D"/>
    <w:rsid w:val="00305A08"/>
    <w:rsid w:val="003107D0"/>
    <w:rsid w:val="003107FA"/>
    <w:rsid w:val="00310BC2"/>
    <w:rsid w:val="00314790"/>
    <w:rsid w:val="00315D73"/>
    <w:rsid w:val="00316FF9"/>
    <w:rsid w:val="00321716"/>
    <w:rsid w:val="003225F2"/>
    <w:rsid w:val="003229D8"/>
    <w:rsid w:val="0032549A"/>
    <w:rsid w:val="00325F1A"/>
    <w:rsid w:val="00327D0A"/>
    <w:rsid w:val="00327D87"/>
    <w:rsid w:val="00330EC0"/>
    <w:rsid w:val="00336D2F"/>
    <w:rsid w:val="00340BB2"/>
    <w:rsid w:val="0034314F"/>
    <w:rsid w:val="00344D28"/>
    <w:rsid w:val="00347864"/>
    <w:rsid w:val="003517C3"/>
    <w:rsid w:val="00353524"/>
    <w:rsid w:val="00353B8E"/>
    <w:rsid w:val="00355502"/>
    <w:rsid w:val="0035575A"/>
    <w:rsid w:val="00356BC7"/>
    <w:rsid w:val="00357A20"/>
    <w:rsid w:val="003623D1"/>
    <w:rsid w:val="00363530"/>
    <w:rsid w:val="0036473C"/>
    <w:rsid w:val="0036535F"/>
    <w:rsid w:val="00372F06"/>
    <w:rsid w:val="00373D1B"/>
    <w:rsid w:val="0037419C"/>
    <w:rsid w:val="00382FAF"/>
    <w:rsid w:val="00390F0E"/>
    <w:rsid w:val="00391647"/>
    <w:rsid w:val="003923FB"/>
    <w:rsid w:val="0039277A"/>
    <w:rsid w:val="00393127"/>
    <w:rsid w:val="00396F6A"/>
    <w:rsid w:val="003972E0"/>
    <w:rsid w:val="003A1EC2"/>
    <w:rsid w:val="003A2972"/>
    <w:rsid w:val="003A2F10"/>
    <w:rsid w:val="003A52D7"/>
    <w:rsid w:val="003A59C7"/>
    <w:rsid w:val="003A5A16"/>
    <w:rsid w:val="003B3BB5"/>
    <w:rsid w:val="003B5B38"/>
    <w:rsid w:val="003C0657"/>
    <w:rsid w:val="003C18C9"/>
    <w:rsid w:val="003C2819"/>
    <w:rsid w:val="003C2CC4"/>
    <w:rsid w:val="003C45DF"/>
    <w:rsid w:val="003C655D"/>
    <w:rsid w:val="003D247A"/>
    <w:rsid w:val="003D24BC"/>
    <w:rsid w:val="003D4B23"/>
    <w:rsid w:val="003F23A4"/>
    <w:rsid w:val="003F5900"/>
    <w:rsid w:val="003F5B52"/>
    <w:rsid w:val="003F66F3"/>
    <w:rsid w:val="003F76AB"/>
    <w:rsid w:val="004030C5"/>
    <w:rsid w:val="00403EC6"/>
    <w:rsid w:val="004057CC"/>
    <w:rsid w:val="00405B0F"/>
    <w:rsid w:val="00406CD4"/>
    <w:rsid w:val="00415835"/>
    <w:rsid w:val="00415CA8"/>
    <w:rsid w:val="00430086"/>
    <w:rsid w:val="00430918"/>
    <w:rsid w:val="00430B4C"/>
    <w:rsid w:val="004325CB"/>
    <w:rsid w:val="00437F3F"/>
    <w:rsid w:val="00446DE4"/>
    <w:rsid w:val="00447440"/>
    <w:rsid w:val="00452D10"/>
    <w:rsid w:val="00454036"/>
    <w:rsid w:val="00454753"/>
    <w:rsid w:val="004562AA"/>
    <w:rsid w:val="00460B22"/>
    <w:rsid w:val="004630C4"/>
    <w:rsid w:val="0046443A"/>
    <w:rsid w:val="004653B3"/>
    <w:rsid w:val="004654C4"/>
    <w:rsid w:val="0046668F"/>
    <w:rsid w:val="0046692D"/>
    <w:rsid w:val="0046773D"/>
    <w:rsid w:val="0046788D"/>
    <w:rsid w:val="0048028B"/>
    <w:rsid w:val="00480BD4"/>
    <w:rsid w:val="0048304D"/>
    <w:rsid w:val="00484A9B"/>
    <w:rsid w:val="0048583D"/>
    <w:rsid w:val="00486DA4"/>
    <w:rsid w:val="00492AF9"/>
    <w:rsid w:val="0049304E"/>
    <w:rsid w:val="00494C77"/>
    <w:rsid w:val="00495783"/>
    <w:rsid w:val="00497711"/>
    <w:rsid w:val="004B2C9D"/>
    <w:rsid w:val="004B5939"/>
    <w:rsid w:val="004B692E"/>
    <w:rsid w:val="004B73D6"/>
    <w:rsid w:val="004C0B44"/>
    <w:rsid w:val="004C39D0"/>
    <w:rsid w:val="004C43DB"/>
    <w:rsid w:val="004C4F1A"/>
    <w:rsid w:val="004C6D6D"/>
    <w:rsid w:val="004C6DF4"/>
    <w:rsid w:val="004C7BF3"/>
    <w:rsid w:val="004D0012"/>
    <w:rsid w:val="004D5FB6"/>
    <w:rsid w:val="004E0C5D"/>
    <w:rsid w:val="004E3603"/>
    <w:rsid w:val="004E5BF6"/>
    <w:rsid w:val="004F4240"/>
    <w:rsid w:val="004F52AA"/>
    <w:rsid w:val="004F5854"/>
    <w:rsid w:val="004F77CD"/>
    <w:rsid w:val="005042BC"/>
    <w:rsid w:val="00507CF1"/>
    <w:rsid w:val="00512780"/>
    <w:rsid w:val="00514B61"/>
    <w:rsid w:val="00515057"/>
    <w:rsid w:val="0051579D"/>
    <w:rsid w:val="00515955"/>
    <w:rsid w:val="00522177"/>
    <w:rsid w:val="005223CB"/>
    <w:rsid w:val="00524D87"/>
    <w:rsid w:val="005258D4"/>
    <w:rsid w:val="00527910"/>
    <w:rsid w:val="00530360"/>
    <w:rsid w:val="00534655"/>
    <w:rsid w:val="0053653D"/>
    <w:rsid w:val="00536DFA"/>
    <w:rsid w:val="005371B2"/>
    <w:rsid w:val="0053772A"/>
    <w:rsid w:val="00541247"/>
    <w:rsid w:val="005420F2"/>
    <w:rsid w:val="00542505"/>
    <w:rsid w:val="00542C8D"/>
    <w:rsid w:val="00542ED8"/>
    <w:rsid w:val="005434EF"/>
    <w:rsid w:val="005475D4"/>
    <w:rsid w:val="00550CA7"/>
    <w:rsid w:val="00551DC2"/>
    <w:rsid w:val="00552179"/>
    <w:rsid w:val="005548B9"/>
    <w:rsid w:val="00555CDB"/>
    <w:rsid w:val="00561B6D"/>
    <w:rsid w:val="00562D45"/>
    <w:rsid w:val="0056615B"/>
    <w:rsid w:val="00567DFB"/>
    <w:rsid w:val="00567F21"/>
    <w:rsid w:val="005704BE"/>
    <w:rsid w:val="00571DAA"/>
    <w:rsid w:val="0057273D"/>
    <w:rsid w:val="00572995"/>
    <w:rsid w:val="0057340B"/>
    <w:rsid w:val="005739EC"/>
    <w:rsid w:val="00576F7D"/>
    <w:rsid w:val="00577753"/>
    <w:rsid w:val="0058129D"/>
    <w:rsid w:val="00584F4D"/>
    <w:rsid w:val="00590144"/>
    <w:rsid w:val="0059682C"/>
    <w:rsid w:val="00597BED"/>
    <w:rsid w:val="005A2489"/>
    <w:rsid w:val="005A64DD"/>
    <w:rsid w:val="005A72B2"/>
    <w:rsid w:val="005B09F0"/>
    <w:rsid w:val="005B0CED"/>
    <w:rsid w:val="005B3DB3"/>
    <w:rsid w:val="005B4B57"/>
    <w:rsid w:val="005B528A"/>
    <w:rsid w:val="005B6EE1"/>
    <w:rsid w:val="005C3E89"/>
    <w:rsid w:val="005C4CB5"/>
    <w:rsid w:val="005C6B5A"/>
    <w:rsid w:val="005C7E15"/>
    <w:rsid w:val="005D0C6C"/>
    <w:rsid w:val="005D1BB4"/>
    <w:rsid w:val="005D2A6F"/>
    <w:rsid w:val="005D6607"/>
    <w:rsid w:val="005D68BD"/>
    <w:rsid w:val="005E126E"/>
    <w:rsid w:val="005E3D28"/>
    <w:rsid w:val="005E3F00"/>
    <w:rsid w:val="005E53FE"/>
    <w:rsid w:val="005E5946"/>
    <w:rsid w:val="005E6758"/>
    <w:rsid w:val="005F3A39"/>
    <w:rsid w:val="005F5C2F"/>
    <w:rsid w:val="005F7BB1"/>
    <w:rsid w:val="00602490"/>
    <w:rsid w:val="00603528"/>
    <w:rsid w:val="00603E3C"/>
    <w:rsid w:val="0061166C"/>
    <w:rsid w:val="00611FC4"/>
    <w:rsid w:val="00612812"/>
    <w:rsid w:val="006176FB"/>
    <w:rsid w:val="0062190D"/>
    <w:rsid w:val="00626B06"/>
    <w:rsid w:val="006279AC"/>
    <w:rsid w:val="00630558"/>
    <w:rsid w:val="00630C3F"/>
    <w:rsid w:val="00632200"/>
    <w:rsid w:val="00632969"/>
    <w:rsid w:val="006338F0"/>
    <w:rsid w:val="0063419C"/>
    <w:rsid w:val="00635381"/>
    <w:rsid w:val="00636986"/>
    <w:rsid w:val="00637542"/>
    <w:rsid w:val="00637558"/>
    <w:rsid w:val="00640B26"/>
    <w:rsid w:val="00641194"/>
    <w:rsid w:val="00645A0B"/>
    <w:rsid w:val="006471F6"/>
    <w:rsid w:val="006500BA"/>
    <w:rsid w:val="006506DB"/>
    <w:rsid w:val="0065264B"/>
    <w:rsid w:val="00653E36"/>
    <w:rsid w:val="00661016"/>
    <w:rsid w:val="0066179D"/>
    <w:rsid w:val="00662121"/>
    <w:rsid w:val="00662E09"/>
    <w:rsid w:val="006637FC"/>
    <w:rsid w:val="00670CF0"/>
    <w:rsid w:val="0067166E"/>
    <w:rsid w:val="0067219F"/>
    <w:rsid w:val="0067582A"/>
    <w:rsid w:val="00675F87"/>
    <w:rsid w:val="006770DC"/>
    <w:rsid w:val="00685EFF"/>
    <w:rsid w:val="00690CD6"/>
    <w:rsid w:val="00695F8E"/>
    <w:rsid w:val="006A0E4A"/>
    <w:rsid w:val="006A16AC"/>
    <w:rsid w:val="006A1A0F"/>
    <w:rsid w:val="006A3932"/>
    <w:rsid w:val="006A63E3"/>
    <w:rsid w:val="006A70C3"/>
    <w:rsid w:val="006A7392"/>
    <w:rsid w:val="006B1C55"/>
    <w:rsid w:val="006B25CB"/>
    <w:rsid w:val="006B4518"/>
    <w:rsid w:val="006C0D34"/>
    <w:rsid w:val="006C251B"/>
    <w:rsid w:val="006C28C0"/>
    <w:rsid w:val="006C2F7E"/>
    <w:rsid w:val="006C555E"/>
    <w:rsid w:val="006D2A3E"/>
    <w:rsid w:val="006D3560"/>
    <w:rsid w:val="006E3B65"/>
    <w:rsid w:val="006E564B"/>
    <w:rsid w:val="006E612A"/>
    <w:rsid w:val="006E6FEA"/>
    <w:rsid w:val="007025C0"/>
    <w:rsid w:val="0070691D"/>
    <w:rsid w:val="00707F04"/>
    <w:rsid w:val="0071020E"/>
    <w:rsid w:val="00711637"/>
    <w:rsid w:val="00714F4F"/>
    <w:rsid w:val="00723978"/>
    <w:rsid w:val="0072632A"/>
    <w:rsid w:val="00736A6E"/>
    <w:rsid w:val="00736E6A"/>
    <w:rsid w:val="00737407"/>
    <w:rsid w:val="007416F3"/>
    <w:rsid w:val="00741F59"/>
    <w:rsid w:val="0074697D"/>
    <w:rsid w:val="00747C8C"/>
    <w:rsid w:val="00753344"/>
    <w:rsid w:val="00755A0C"/>
    <w:rsid w:val="00755EBE"/>
    <w:rsid w:val="0076047E"/>
    <w:rsid w:val="00760C16"/>
    <w:rsid w:val="00761619"/>
    <w:rsid w:val="0076177C"/>
    <w:rsid w:val="00763C33"/>
    <w:rsid w:val="00764D34"/>
    <w:rsid w:val="00766322"/>
    <w:rsid w:val="00770BCD"/>
    <w:rsid w:val="00771904"/>
    <w:rsid w:val="00773353"/>
    <w:rsid w:val="0077347A"/>
    <w:rsid w:val="00774129"/>
    <w:rsid w:val="00774E8F"/>
    <w:rsid w:val="00774EAA"/>
    <w:rsid w:val="00777C27"/>
    <w:rsid w:val="0078123B"/>
    <w:rsid w:val="0078333D"/>
    <w:rsid w:val="00786434"/>
    <w:rsid w:val="00790791"/>
    <w:rsid w:val="00792E15"/>
    <w:rsid w:val="007932E3"/>
    <w:rsid w:val="0079606F"/>
    <w:rsid w:val="00796F36"/>
    <w:rsid w:val="007A2CDB"/>
    <w:rsid w:val="007A62EC"/>
    <w:rsid w:val="007A6D76"/>
    <w:rsid w:val="007B0A89"/>
    <w:rsid w:val="007B1A7E"/>
    <w:rsid w:val="007B2BA8"/>
    <w:rsid w:val="007B3C6D"/>
    <w:rsid w:val="007B5460"/>
    <w:rsid w:val="007B5E15"/>
    <w:rsid w:val="007B6BA5"/>
    <w:rsid w:val="007C2C0D"/>
    <w:rsid w:val="007C3162"/>
    <w:rsid w:val="007C3390"/>
    <w:rsid w:val="007C4A48"/>
    <w:rsid w:val="007C4C0D"/>
    <w:rsid w:val="007C4F4B"/>
    <w:rsid w:val="007C5FE9"/>
    <w:rsid w:val="007C644D"/>
    <w:rsid w:val="007D1339"/>
    <w:rsid w:val="007D31CC"/>
    <w:rsid w:val="007D7BC6"/>
    <w:rsid w:val="007E4BD3"/>
    <w:rsid w:val="007E5C9D"/>
    <w:rsid w:val="007E5D7C"/>
    <w:rsid w:val="007F2A54"/>
    <w:rsid w:val="007F4FEF"/>
    <w:rsid w:val="007F5104"/>
    <w:rsid w:val="007F6611"/>
    <w:rsid w:val="00800024"/>
    <w:rsid w:val="008037A2"/>
    <w:rsid w:val="00816370"/>
    <w:rsid w:val="00816582"/>
    <w:rsid w:val="00817599"/>
    <w:rsid w:val="008175E9"/>
    <w:rsid w:val="00820A2D"/>
    <w:rsid w:val="008242D7"/>
    <w:rsid w:val="008256B4"/>
    <w:rsid w:val="00825B97"/>
    <w:rsid w:val="00826410"/>
    <w:rsid w:val="00826C09"/>
    <w:rsid w:val="0083043E"/>
    <w:rsid w:val="0083069A"/>
    <w:rsid w:val="00832A1D"/>
    <w:rsid w:val="00834479"/>
    <w:rsid w:val="00843AB2"/>
    <w:rsid w:val="00846809"/>
    <w:rsid w:val="00851F67"/>
    <w:rsid w:val="00852C3A"/>
    <w:rsid w:val="0086013A"/>
    <w:rsid w:val="0086107D"/>
    <w:rsid w:val="00862293"/>
    <w:rsid w:val="00864251"/>
    <w:rsid w:val="008678DA"/>
    <w:rsid w:val="00871B13"/>
    <w:rsid w:val="00871FD5"/>
    <w:rsid w:val="0087351D"/>
    <w:rsid w:val="00877071"/>
    <w:rsid w:val="00881213"/>
    <w:rsid w:val="0088202D"/>
    <w:rsid w:val="00884C7C"/>
    <w:rsid w:val="008979B1"/>
    <w:rsid w:val="008A03C0"/>
    <w:rsid w:val="008A085A"/>
    <w:rsid w:val="008A0B75"/>
    <w:rsid w:val="008A1542"/>
    <w:rsid w:val="008A173F"/>
    <w:rsid w:val="008A6B25"/>
    <w:rsid w:val="008A6C4F"/>
    <w:rsid w:val="008A7679"/>
    <w:rsid w:val="008A7AB3"/>
    <w:rsid w:val="008B2DB8"/>
    <w:rsid w:val="008B35DB"/>
    <w:rsid w:val="008B563F"/>
    <w:rsid w:val="008B65FB"/>
    <w:rsid w:val="008B7E35"/>
    <w:rsid w:val="008C04F5"/>
    <w:rsid w:val="008C1399"/>
    <w:rsid w:val="008C1A0E"/>
    <w:rsid w:val="008C39EC"/>
    <w:rsid w:val="008C3B3C"/>
    <w:rsid w:val="008C4283"/>
    <w:rsid w:val="008C4E36"/>
    <w:rsid w:val="008C6D16"/>
    <w:rsid w:val="008C74C3"/>
    <w:rsid w:val="008C7BF7"/>
    <w:rsid w:val="008D134F"/>
    <w:rsid w:val="008D3C75"/>
    <w:rsid w:val="008D5D05"/>
    <w:rsid w:val="008D6942"/>
    <w:rsid w:val="008E0E46"/>
    <w:rsid w:val="008E1DAE"/>
    <w:rsid w:val="008E295A"/>
    <w:rsid w:val="008E2B9C"/>
    <w:rsid w:val="008E365D"/>
    <w:rsid w:val="008E3BB8"/>
    <w:rsid w:val="008F0214"/>
    <w:rsid w:val="008F0EB2"/>
    <w:rsid w:val="008F2D9A"/>
    <w:rsid w:val="008F44B8"/>
    <w:rsid w:val="008F504A"/>
    <w:rsid w:val="008F6413"/>
    <w:rsid w:val="008F7E81"/>
    <w:rsid w:val="00904EBC"/>
    <w:rsid w:val="00907CEB"/>
    <w:rsid w:val="0091042C"/>
    <w:rsid w:val="00912597"/>
    <w:rsid w:val="00912B12"/>
    <w:rsid w:val="00912BA7"/>
    <w:rsid w:val="0091645B"/>
    <w:rsid w:val="00923019"/>
    <w:rsid w:val="00924B63"/>
    <w:rsid w:val="00933C13"/>
    <w:rsid w:val="00933FAB"/>
    <w:rsid w:val="009363B6"/>
    <w:rsid w:val="0093711C"/>
    <w:rsid w:val="00937318"/>
    <w:rsid w:val="00937CF4"/>
    <w:rsid w:val="00940F46"/>
    <w:rsid w:val="00941ECC"/>
    <w:rsid w:val="009444D1"/>
    <w:rsid w:val="00945A5D"/>
    <w:rsid w:val="00946A0D"/>
    <w:rsid w:val="0094762B"/>
    <w:rsid w:val="009549D5"/>
    <w:rsid w:val="00954F3C"/>
    <w:rsid w:val="00955109"/>
    <w:rsid w:val="00963B67"/>
    <w:rsid w:val="00963CBA"/>
    <w:rsid w:val="009701ED"/>
    <w:rsid w:val="0097431F"/>
    <w:rsid w:val="0097639C"/>
    <w:rsid w:val="00981938"/>
    <w:rsid w:val="00982A54"/>
    <w:rsid w:val="0098421C"/>
    <w:rsid w:val="00984471"/>
    <w:rsid w:val="00985831"/>
    <w:rsid w:val="00985F37"/>
    <w:rsid w:val="009879EA"/>
    <w:rsid w:val="009903C1"/>
    <w:rsid w:val="009908A5"/>
    <w:rsid w:val="0099124E"/>
    <w:rsid w:val="00991261"/>
    <w:rsid w:val="009953D5"/>
    <w:rsid w:val="009A1D29"/>
    <w:rsid w:val="009A63ED"/>
    <w:rsid w:val="009B0B99"/>
    <w:rsid w:val="009B5F0D"/>
    <w:rsid w:val="009C0FA4"/>
    <w:rsid w:val="009C3AD5"/>
    <w:rsid w:val="009C6058"/>
    <w:rsid w:val="009C6168"/>
    <w:rsid w:val="009C6394"/>
    <w:rsid w:val="009D0E2A"/>
    <w:rsid w:val="009D0F0E"/>
    <w:rsid w:val="009D1AAE"/>
    <w:rsid w:val="009D634E"/>
    <w:rsid w:val="009E1560"/>
    <w:rsid w:val="009E3FBA"/>
    <w:rsid w:val="009F0F06"/>
    <w:rsid w:val="009F4FC5"/>
    <w:rsid w:val="009F7CD7"/>
    <w:rsid w:val="00A02C71"/>
    <w:rsid w:val="00A068B8"/>
    <w:rsid w:val="00A1427D"/>
    <w:rsid w:val="00A15EA4"/>
    <w:rsid w:val="00A1716E"/>
    <w:rsid w:val="00A201E8"/>
    <w:rsid w:val="00A218F3"/>
    <w:rsid w:val="00A235F1"/>
    <w:rsid w:val="00A34B00"/>
    <w:rsid w:val="00A3669A"/>
    <w:rsid w:val="00A3777A"/>
    <w:rsid w:val="00A50077"/>
    <w:rsid w:val="00A526F1"/>
    <w:rsid w:val="00A52922"/>
    <w:rsid w:val="00A538E5"/>
    <w:rsid w:val="00A53992"/>
    <w:rsid w:val="00A5422A"/>
    <w:rsid w:val="00A54CA8"/>
    <w:rsid w:val="00A60196"/>
    <w:rsid w:val="00A60B3E"/>
    <w:rsid w:val="00A6199C"/>
    <w:rsid w:val="00A62147"/>
    <w:rsid w:val="00A622AF"/>
    <w:rsid w:val="00A6236D"/>
    <w:rsid w:val="00A64734"/>
    <w:rsid w:val="00A65F4A"/>
    <w:rsid w:val="00A66636"/>
    <w:rsid w:val="00A71B77"/>
    <w:rsid w:val="00A72F22"/>
    <w:rsid w:val="00A73289"/>
    <w:rsid w:val="00A744D7"/>
    <w:rsid w:val="00A748A6"/>
    <w:rsid w:val="00A74A46"/>
    <w:rsid w:val="00A753A9"/>
    <w:rsid w:val="00A75D0E"/>
    <w:rsid w:val="00A75EC9"/>
    <w:rsid w:val="00A7616A"/>
    <w:rsid w:val="00A779F3"/>
    <w:rsid w:val="00A80098"/>
    <w:rsid w:val="00A810D4"/>
    <w:rsid w:val="00A83451"/>
    <w:rsid w:val="00A83538"/>
    <w:rsid w:val="00A841F8"/>
    <w:rsid w:val="00A8523D"/>
    <w:rsid w:val="00A879A4"/>
    <w:rsid w:val="00A9244A"/>
    <w:rsid w:val="00A93985"/>
    <w:rsid w:val="00A96FAF"/>
    <w:rsid w:val="00A971B9"/>
    <w:rsid w:val="00AA1D9A"/>
    <w:rsid w:val="00AA32EB"/>
    <w:rsid w:val="00AA7DBF"/>
    <w:rsid w:val="00AB1DB9"/>
    <w:rsid w:val="00AB2D3E"/>
    <w:rsid w:val="00AB382F"/>
    <w:rsid w:val="00AB4CF1"/>
    <w:rsid w:val="00AB547D"/>
    <w:rsid w:val="00AC0069"/>
    <w:rsid w:val="00AC7F82"/>
    <w:rsid w:val="00AD34EE"/>
    <w:rsid w:val="00AD47BD"/>
    <w:rsid w:val="00AD4A2D"/>
    <w:rsid w:val="00AD7C88"/>
    <w:rsid w:val="00AE45DE"/>
    <w:rsid w:val="00AE57C8"/>
    <w:rsid w:val="00AF0878"/>
    <w:rsid w:val="00AF2F9D"/>
    <w:rsid w:val="00AF5853"/>
    <w:rsid w:val="00AF5B74"/>
    <w:rsid w:val="00AF6710"/>
    <w:rsid w:val="00B013E6"/>
    <w:rsid w:val="00B04D66"/>
    <w:rsid w:val="00B10C19"/>
    <w:rsid w:val="00B1157C"/>
    <w:rsid w:val="00B1501F"/>
    <w:rsid w:val="00B21FC4"/>
    <w:rsid w:val="00B26710"/>
    <w:rsid w:val="00B26B3C"/>
    <w:rsid w:val="00B30179"/>
    <w:rsid w:val="00B3317B"/>
    <w:rsid w:val="00B41384"/>
    <w:rsid w:val="00B41D4F"/>
    <w:rsid w:val="00B4398E"/>
    <w:rsid w:val="00B52157"/>
    <w:rsid w:val="00B5392B"/>
    <w:rsid w:val="00B5529D"/>
    <w:rsid w:val="00B560D2"/>
    <w:rsid w:val="00B56C20"/>
    <w:rsid w:val="00B61827"/>
    <w:rsid w:val="00B64FDB"/>
    <w:rsid w:val="00B71E2B"/>
    <w:rsid w:val="00B73DA8"/>
    <w:rsid w:val="00B74F7C"/>
    <w:rsid w:val="00B75589"/>
    <w:rsid w:val="00B75E05"/>
    <w:rsid w:val="00B81E12"/>
    <w:rsid w:val="00B84AAC"/>
    <w:rsid w:val="00B87012"/>
    <w:rsid w:val="00B879B1"/>
    <w:rsid w:val="00B90F54"/>
    <w:rsid w:val="00B91754"/>
    <w:rsid w:val="00B91CC3"/>
    <w:rsid w:val="00B92A0C"/>
    <w:rsid w:val="00B93068"/>
    <w:rsid w:val="00B9560E"/>
    <w:rsid w:val="00BA1DA3"/>
    <w:rsid w:val="00BA413B"/>
    <w:rsid w:val="00BA7462"/>
    <w:rsid w:val="00BA758C"/>
    <w:rsid w:val="00BB1452"/>
    <w:rsid w:val="00BB176D"/>
    <w:rsid w:val="00BB183E"/>
    <w:rsid w:val="00BB3B28"/>
    <w:rsid w:val="00BB6434"/>
    <w:rsid w:val="00BB7BCE"/>
    <w:rsid w:val="00BC46B3"/>
    <w:rsid w:val="00BC4CB4"/>
    <w:rsid w:val="00BC5418"/>
    <w:rsid w:val="00BC5FC4"/>
    <w:rsid w:val="00BC6038"/>
    <w:rsid w:val="00BC74E9"/>
    <w:rsid w:val="00BD41F8"/>
    <w:rsid w:val="00BD7EBA"/>
    <w:rsid w:val="00BE14E7"/>
    <w:rsid w:val="00BE1FF8"/>
    <w:rsid w:val="00BE4400"/>
    <w:rsid w:val="00BE47B0"/>
    <w:rsid w:val="00BE50CA"/>
    <w:rsid w:val="00BE618E"/>
    <w:rsid w:val="00BE6A1B"/>
    <w:rsid w:val="00BF490E"/>
    <w:rsid w:val="00BF5205"/>
    <w:rsid w:val="00BF663A"/>
    <w:rsid w:val="00C01170"/>
    <w:rsid w:val="00C0263F"/>
    <w:rsid w:val="00C03B44"/>
    <w:rsid w:val="00C060D3"/>
    <w:rsid w:val="00C060E2"/>
    <w:rsid w:val="00C10B00"/>
    <w:rsid w:val="00C13A85"/>
    <w:rsid w:val="00C14E41"/>
    <w:rsid w:val="00C20CF6"/>
    <w:rsid w:val="00C218A4"/>
    <w:rsid w:val="00C22773"/>
    <w:rsid w:val="00C23E4F"/>
    <w:rsid w:val="00C34642"/>
    <w:rsid w:val="00C36D37"/>
    <w:rsid w:val="00C37C37"/>
    <w:rsid w:val="00C37E31"/>
    <w:rsid w:val="00C423CD"/>
    <w:rsid w:val="00C463DD"/>
    <w:rsid w:val="00C46D5B"/>
    <w:rsid w:val="00C519E2"/>
    <w:rsid w:val="00C5283C"/>
    <w:rsid w:val="00C537D5"/>
    <w:rsid w:val="00C53FAC"/>
    <w:rsid w:val="00C62F76"/>
    <w:rsid w:val="00C66D78"/>
    <w:rsid w:val="00C70414"/>
    <w:rsid w:val="00C71A92"/>
    <w:rsid w:val="00C745C3"/>
    <w:rsid w:val="00C81212"/>
    <w:rsid w:val="00C81810"/>
    <w:rsid w:val="00C8214E"/>
    <w:rsid w:val="00C84FF1"/>
    <w:rsid w:val="00C86E64"/>
    <w:rsid w:val="00C87B3A"/>
    <w:rsid w:val="00C91180"/>
    <w:rsid w:val="00C91CF8"/>
    <w:rsid w:val="00C93C11"/>
    <w:rsid w:val="00C94F7A"/>
    <w:rsid w:val="00C971F6"/>
    <w:rsid w:val="00CA049C"/>
    <w:rsid w:val="00CA381C"/>
    <w:rsid w:val="00CA74D3"/>
    <w:rsid w:val="00CB1DEE"/>
    <w:rsid w:val="00CB2158"/>
    <w:rsid w:val="00CB416E"/>
    <w:rsid w:val="00CB5095"/>
    <w:rsid w:val="00CB6380"/>
    <w:rsid w:val="00CB7364"/>
    <w:rsid w:val="00CC3106"/>
    <w:rsid w:val="00CC4CA6"/>
    <w:rsid w:val="00CC5DB9"/>
    <w:rsid w:val="00CD0009"/>
    <w:rsid w:val="00CD00DF"/>
    <w:rsid w:val="00CD30EE"/>
    <w:rsid w:val="00CD3225"/>
    <w:rsid w:val="00CD38FE"/>
    <w:rsid w:val="00CE0D77"/>
    <w:rsid w:val="00CE21B5"/>
    <w:rsid w:val="00CE4083"/>
    <w:rsid w:val="00CE46BA"/>
    <w:rsid w:val="00CE4A8F"/>
    <w:rsid w:val="00CE4A94"/>
    <w:rsid w:val="00CE4B82"/>
    <w:rsid w:val="00CE74ED"/>
    <w:rsid w:val="00CE7626"/>
    <w:rsid w:val="00CF015C"/>
    <w:rsid w:val="00CF12F6"/>
    <w:rsid w:val="00CF6D3F"/>
    <w:rsid w:val="00CF6F32"/>
    <w:rsid w:val="00CF778D"/>
    <w:rsid w:val="00D03D1B"/>
    <w:rsid w:val="00D049A9"/>
    <w:rsid w:val="00D04B74"/>
    <w:rsid w:val="00D057E3"/>
    <w:rsid w:val="00D0631B"/>
    <w:rsid w:val="00D06C3A"/>
    <w:rsid w:val="00D124FE"/>
    <w:rsid w:val="00D150F1"/>
    <w:rsid w:val="00D164BA"/>
    <w:rsid w:val="00D2031B"/>
    <w:rsid w:val="00D21A45"/>
    <w:rsid w:val="00D25E8C"/>
    <w:rsid w:val="00D25FE2"/>
    <w:rsid w:val="00D27461"/>
    <w:rsid w:val="00D27E89"/>
    <w:rsid w:val="00D352FD"/>
    <w:rsid w:val="00D35917"/>
    <w:rsid w:val="00D366A7"/>
    <w:rsid w:val="00D37E80"/>
    <w:rsid w:val="00D42C29"/>
    <w:rsid w:val="00D43252"/>
    <w:rsid w:val="00D46231"/>
    <w:rsid w:val="00D477C4"/>
    <w:rsid w:val="00D51E16"/>
    <w:rsid w:val="00D52CD5"/>
    <w:rsid w:val="00D5409C"/>
    <w:rsid w:val="00D558E3"/>
    <w:rsid w:val="00D55A6B"/>
    <w:rsid w:val="00D57C13"/>
    <w:rsid w:val="00D57FD9"/>
    <w:rsid w:val="00D610C1"/>
    <w:rsid w:val="00D658FA"/>
    <w:rsid w:val="00D7217B"/>
    <w:rsid w:val="00D730E3"/>
    <w:rsid w:val="00D753D8"/>
    <w:rsid w:val="00D82B25"/>
    <w:rsid w:val="00D83AF1"/>
    <w:rsid w:val="00D90CAF"/>
    <w:rsid w:val="00D9274F"/>
    <w:rsid w:val="00D96248"/>
    <w:rsid w:val="00D96CC5"/>
    <w:rsid w:val="00D978C6"/>
    <w:rsid w:val="00D97B77"/>
    <w:rsid w:val="00DA0A3A"/>
    <w:rsid w:val="00DA1EB9"/>
    <w:rsid w:val="00DA5B9A"/>
    <w:rsid w:val="00DA6620"/>
    <w:rsid w:val="00DA67AD"/>
    <w:rsid w:val="00DB0645"/>
    <w:rsid w:val="00DB108D"/>
    <w:rsid w:val="00DB1C61"/>
    <w:rsid w:val="00DB604E"/>
    <w:rsid w:val="00DB72BC"/>
    <w:rsid w:val="00DC487B"/>
    <w:rsid w:val="00DC5A39"/>
    <w:rsid w:val="00DC5EF6"/>
    <w:rsid w:val="00DD42A0"/>
    <w:rsid w:val="00DD5DA2"/>
    <w:rsid w:val="00DE11A6"/>
    <w:rsid w:val="00DE236F"/>
    <w:rsid w:val="00DE3ECB"/>
    <w:rsid w:val="00DE4785"/>
    <w:rsid w:val="00DE4D5E"/>
    <w:rsid w:val="00DE7267"/>
    <w:rsid w:val="00DF0A4D"/>
    <w:rsid w:val="00DF1EE3"/>
    <w:rsid w:val="00DF1EE9"/>
    <w:rsid w:val="00DF3039"/>
    <w:rsid w:val="00DF38F3"/>
    <w:rsid w:val="00DF3A04"/>
    <w:rsid w:val="00DF4518"/>
    <w:rsid w:val="00E03DE5"/>
    <w:rsid w:val="00E0695F"/>
    <w:rsid w:val="00E10201"/>
    <w:rsid w:val="00E12018"/>
    <w:rsid w:val="00E130AB"/>
    <w:rsid w:val="00E15BF1"/>
    <w:rsid w:val="00E1679E"/>
    <w:rsid w:val="00E239A0"/>
    <w:rsid w:val="00E26269"/>
    <w:rsid w:val="00E308AF"/>
    <w:rsid w:val="00E30E21"/>
    <w:rsid w:val="00E32E0D"/>
    <w:rsid w:val="00E34E58"/>
    <w:rsid w:val="00E36838"/>
    <w:rsid w:val="00E36C10"/>
    <w:rsid w:val="00E40B76"/>
    <w:rsid w:val="00E412EA"/>
    <w:rsid w:val="00E4138E"/>
    <w:rsid w:val="00E42461"/>
    <w:rsid w:val="00E4443D"/>
    <w:rsid w:val="00E44629"/>
    <w:rsid w:val="00E52EB0"/>
    <w:rsid w:val="00E54352"/>
    <w:rsid w:val="00E54645"/>
    <w:rsid w:val="00E54BD4"/>
    <w:rsid w:val="00E54EF1"/>
    <w:rsid w:val="00E555F5"/>
    <w:rsid w:val="00E5644E"/>
    <w:rsid w:val="00E5691C"/>
    <w:rsid w:val="00E57903"/>
    <w:rsid w:val="00E61BB5"/>
    <w:rsid w:val="00E62068"/>
    <w:rsid w:val="00E631BA"/>
    <w:rsid w:val="00E63DE8"/>
    <w:rsid w:val="00E64C65"/>
    <w:rsid w:val="00E659B3"/>
    <w:rsid w:val="00E65A76"/>
    <w:rsid w:val="00E6613A"/>
    <w:rsid w:val="00E70F1A"/>
    <w:rsid w:val="00E7260F"/>
    <w:rsid w:val="00E730D8"/>
    <w:rsid w:val="00E74CAA"/>
    <w:rsid w:val="00E76972"/>
    <w:rsid w:val="00E81230"/>
    <w:rsid w:val="00E8535A"/>
    <w:rsid w:val="00E864BE"/>
    <w:rsid w:val="00E8712C"/>
    <w:rsid w:val="00E87CAD"/>
    <w:rsid w:val="00E90647"/>
    <w:rsid w:val="00E9352B"/>
    <w:rsid w:val="00E95438"/>
    <w:rsid w:val="00E96630"/>
    <w:rsid w:val="00E9731A"/>
    <w:rsid w:val="00EA0364"/>
    <w:rsid w:val="00EA2938"/>
    <w:rsid w:val="00EA48C4"/>
    <w:rsid w:val="00EA72F6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2937"/>
    <w:rsid w:val="00EC6B63"/>
    <w:rsid w:val="00EC755A"/>
    <w:rsid w:val="00EC77BF"/>
    <w:rsid w:val="00ED0C83"/>
    <w:rsid w:val="00ED0F6B"/>
    <w:rsid w:val="00ED15C1"/>
    <w:rsid w:val="00ED34CE"/>
    <w:rsid w:val="00ED3508"/>
    <w:rsid w:val="00ED3F6F"/>
    <w:rsid w:val="00ED6586"/>
    <w:rsid w:val="00ED7A2A"/>
    <w:rsid w:val="00EE15B0"/>
    <w:rsid w:val="00EE4D59"/>
    <w:rsid w:val="00EE73C3"/>
    <w:rsid w:val="00EF1407"/>
    <w:rsid w:val="00EF1D7F"/>
    <w:rsid w:val="00EF3BEC"/>
    <w:rsid w:val="00EF4AAC"/>
    <w:rsid w:val="00EF4B71"/>
    <w:rsid w:val="00EF71D8"/>
    <w:rsid w:val="00F017EF"/>
    <w:rsid w:val="00F01C57"/>
    <w:rsid w:val="00F0260E"/>
    <w:rsid w:val="00F03FA2"/>
    <w:rsid w:val="00F0400D"/>
    <w:rsid w:val="00F05283"/>
    <w:rsid w:val="00F07537"/>
    <w:rsid w:val="00F07619"/>
    <w:rsid w:val="00F07E12"/>
    <w:rsid w:val="00F1200D"/>
    <w:rsid w:val="00F22B03"/>
    <w:rsid w:val="00F30A8A"/>
    <w:rsid w:val="00F34267"/>
    <w:rsid w:val="00F34282"/>
    <w:rsid w:val="00F3574D"/>
    <w:rsid w:val="00F40295"/>
    <w:rsid w:val="00F40E75"/>
    <w:rsid w:val="00F410E7"/>
    <w:rsid w:val="00F412D3"/>
    <w:rsid w:val="00F4268E"/>
    <w:rsid w:val="00F4430D"/>
    <w:rsid w:val="00F444E3"/>
    <w:rsid w:val="00F4509A"/>
    <w:rsid w:val="00F5087E"/>
    <w:rsid w:val="00F51BAB"/>
    <w:rsid w:val="00F535BE"/>
    <w:rsid w:val="00F535EB"/>
    <w:rsid w:val="00F545B1"/>
    <w:rsid w:val="00F54674"/>
    <w:rsid w:val="00F54BAB"/>
    <w:rsid w:val="00F554A1"/>
    <w:rsid w:val="00F5723F"/>
    <w:rsid w:val="00F57DD3"/>
    <w:rsid w:val="00F606B4"/>
    <w:rsid w:val="00F64A66"/>
    <w:rsid w:val="00F64C95"/>
    <w:rsid w:val="00F669F0"/>
    <w:rsid w:val="00F75E96"/>
    <w:rsid w:val="00F8096F"/>
    <w:rsid w:val="00F82AD7"/>
    <w:rsid w:val="00F94792"/>
    <w:rsid w:val="00FA00A0"/>
    <w:rsid w:val="00FA3FB7"/>
    <w:rsid w:val="00FA7EDD"/>
    <w:rsid w:val="00FB3E18"/>
    <w:rsid w:val="00FB5A37"/>
    <w:rsid w:val="00FB7793"/>
    <w:rsid w:val="00FC18AA"/>
    <w:rsid w:val="00FC215C"/>
    <w:rsid w:val="00FC3D3C"/>
    <w:rsid w:val="00FC5DFE"/>
    <w:rsid w:val="00FC68B7"/>
    <w:rsid w:val="00FC7A90"/>
    <w:rsid w:val="00FD0F6C"/>
    <w:rsid w:val="00FD1904"/>
    <w:rsid w:val="00FD3C5D"/>
    <w:rsid w:val="00FD3E70"/>
    <w:rsid w:val="00FD5246"/>
    <w:rsid w:val="00FD5349"/>
    <w:rsid w:val="00FD6B2B"/>
    <w:rsid w:val="00FD7F38"/>
    <w:rsid w:val="00FE3EEA"/>
    <w:rsid w:val="00FE54C1"/>
    <w:rsid w:val="00FE681E"/>
    <w:rsid w:val="00FF03BB"/>
    <w:rsid w:val="00FF071A"/>
    <w:rsid w:val="00FF325F"/>
    <w:rsid w:val="00FF3E35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D3A60"/>
  <w15:docId w15:val="{EE42D38A-3D78-49B4-A772-4D72FC9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DefaultParagraphFon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BB183E"/>
  </w:style>
  <w:style w:type="paragraph" w:styleId="Revision">
    <w:name w:val="Revision"/>
    <w:hidden/>
    <w:uiPriority w:val="99"/>
    <w:semiHidden/>
    <w:rsid w:val="008C1A0E"/>
    <w:rPr>
      <w:lang w:val="en-GB"/>
    </w:rPr>
  </w:style>
  <w:style w:type="character" w:customStyle="1" w:styleId="StyleItalic">
    <w:name w:val="Style Italic"/>
    <w:semiHidden/>
    <w:rsid w:val="001501A4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C6BD-82F0-4FBC-A4F2-0B6BB35B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3</cp:revision>
  <cp:lastPrinted>2019-12-12T14:32:00Z</cp:lastPrinted>
  <dcterms:created xsi:type="dcterms:W3CDTF">2019-12-12T14:29:00Z</dcterms:created>
  <dcterms:modified xsi:type="dcterms:W3CDTF">2019-12-12T14:32:00Z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