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AE400B"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Pr="00AE400B" w:rsidRDefault="008A0FDA" w:rsidP="00B11BB4">
            <w:pPr>
              <w:spacing w:after="80"/>
              <w:rPr>
                <w:lang w:val="en-US"/>
              </w:rPr>
            </w:pPr>
          </w:p>
        </w:tc>
        <w:tc>
          <w:tcPr>
            <w:tcW w:w="2268" w:type="dxa"/>
            <w:tcBorders>
              <w:bottom w:val="single" w:sz="4" w:space="0" w:color="auto"/>
            </w:tcBorders>
            <w:vAlign w:val="bottom"/>
          </w:tcPr>
          <w:p w14:paraId="3E4791B0" w14:textId="77777777" w:rsidR="008A0FDA" w:rsidRPr="00AE400B" w:rsidRDefault="008A0FDA" w:rsidP="00B11BB4">
            <w:pPr>
              <w:spacing w:after="80" w:line="300" w:lineRule="exact"/>
              <w:rPr>
                <w:b/>
                <w:sz w:val="24"/>
                <w:szCs w:val="24"/>
                <w:lang w:val="en-US"/>
              </w:rPr>
            </w:pPr>
          </w:p>
        </w:tc>
        <w:tc>
          <w:tcPr>
            <w:tcW w:w="6095" w:type="dxa"/>
            <w:tcBorders>
              <w:bottom w:val="single" w:sz="4" w:space="0" w:color="auto"/>
            </w:tcBorders>
            <w:vAlign w:val="bottom"/>
          </w:tcPr>
          <w:p w14:paraId="5AACD0D2" w14:textId="16B2B976" w:rsidR="008A0FDA" w:rsidRPr="00780613" w:rsidRDefault="00CF4673" w:rsidP="00B041F6">
            <w:pPr>
              <w:suppressAutoHyphens w:val="0"/>
              <w:spacing w:after="20"/>
              <w:jc w:val="right"/>
              <w:rPr>
                <w:b/>
                <w:sz w:val="28"/>
                <w:szCs w:val="28"/>
                <w:lang w:val="en-US"/>
              </w:rPr>
            </w:pPr>
            <w:r w:rsidRPr="00780613">
              <w:rPr>
                <w:b/>
                <w:sz w:val="28"/>
                <w:szCs w:val="28"/>
                <w:lang w:val="en-US"/>
              </w:rPr>
              <w:t>INF.</w:t>
            </w:r>
            <w:r w:rsidR="002637A0">
              <w:rPr>
                <w:b/>
                <w:sz w:val="28"/>
                <w:szCs w:val="28"/>
                <w:lang w:val="en-US"/>
              </w:rPr>
              <w:t>8</w:t>
            </w:r>
            <w:r w:rsidR="008A0FDA" w:rsidRPr="00780613">
              <w:rPr>
                <w:b/>
                <w:sz w:val="28"/>
                <w:szCs w:val="28"/>
                <w:lang w:val="en-US"/>
              </w:rPr>
              <w:t xml:space="preserve">  </w:t>
            </w:r>
          </w:p>
        </w:tc>
      </w:tr>
    </w:tbl>
    <w:p w14:paraId="08D87829" w14:textId="77777777" w:rsidR="008A0FDA" w:rsidRPr="00AE400B" w:rsidRDefault="008A0FDA" w:rsidP="00BB20C7">
      <w:pPr>
        <w:spacing w:before="120"/>
        <w:rPr>
          <w:b/>
          <w:sz w:val="28"/>
          <w:szCs w:val="28"/>
          <w:lang w:val="en-US"/>
        </w:rPr>
      </w:pPr>
      <w:r w:rsidRPr="00AE400B">
        <w:rPr>
          <w:b/>
          <w:sz w:val="28"/>
          <w:szCs w:val="28"/>
          <w:lang w:val="en-US"/>
        </w:rPr>
        <w:t>Economic Commission for Europe</w:t>
      </w:r>
    </w:p>
    <w:p w14:paraId="73866A13" w14:textId="77777777" w:rsidR="008A0FDA" w:rsidRPr="00AE400B" w:rsidRDefault="008A0FDA" w:rsidP="00BB20C7">
      <w:pPr>
        <w:spacing w:before="120"/>
        <w:rPr>
          <w:sz w:val="28"/>
          <w:szCs w:val="28"/>
          <w:lang w:val="en-US"/>
        </w:rPr>
      </w:pPr>
      <w:r w:rsidRPr="00AE400B">
        <w:rPr>
          <w:sz w:val="28"/>
          <w:szCs w:val="28"/>
          <w:lang w:val="en-US"/>
        </w:rPr>
        <w:t>Inland Transport Committee</w:t>
      </w:r>
    </w:p>
    <w:p w14:paraId="06A0490D" w14:textId="32DED251" w:rsidR="008A0FDA" w:rsidRPr="00AE400B" w:rsidRDefault="008A0FDA" w:rsidP="00BB20C7">
      <w:pPr>
        <w:spacing w:before="120" w:after="120"/>
        <w:rPr>
          <w:b/>
          <w:sz w:val="24"/>
          <w:szCs w:val="24"/>
          <w:lang w:val="en-US"/>
        </w:rPr>
      </w:pPr>
      <w:r w:rsidRPr="00AE400B">
        <w:rPr>
          <w:b/>
          <w:sz w:val="24"/>
          <w:szCs w:val="24"/>
          <w:lang w:val="en-US"/>
        </w:rPr>
        <w:t>Working Party on the Transport of Dangerous Goods</w:t>
      </w:r>
      <w:r w:rsidRPr="00AE400B">
        <w:rPr>
          <w:b/>
          <w:sz w:val="24"/>
          <w:szCs w:val="24"/>
          <w:lang w:val="en-US"/>
        </w:rPr>
        <w:tab/>
      </w:r>
      <w:r w:rsidRPr="00AE400B">
        <w:rPr>
          <w:b/>
          <w:sz w:val="24"/>
          <w:szCs w:val="24"/>
          <w:lang w:val="en-US"/>
        </w:rPr>
        <w:tab/>
      </w:r>
      <w:r w:rsidRPr="00AE400B">
        <w:rPr>
          <w:b/>
          <w:sz w:val="24"/>
          <w:szCs w:val="24"/>
          <w:lang w:val="en-US"/>
        </w:rPr>
        <w:tab/>
      </w:r>
      <w:r w:rsidR="00B041F6">
        <w:rPr>
          <w:b/>
          <w:sz w:val="24"/>
          <w:szCs w:val="24"/>
          <w:lang w:val="en-US"/>
        </w:rPr>
        <w:t>9 May</w:t>
      </w:r>
      <w:r w:rsidR="000C05C4">
        <w:rPr>
          <w:b/>
          <w:sz w:val="24"/>
          <w:szCs w:val="24"/>
          <w:lang w:val="en-US"/>
        </w:rPr>
        <w:t xml:space="preserve"> 2019</w:t>
      </w:r>
    </w:p>
    <w:p w14:paraId="4E1F2BCC" w14:textId="446C1F76" w:rsidR="008A0FDA" w:rsidRPr="00AE400B" w:rsidRDefault="008A0FDA" w:rsidP="009606A0">
      <w:pPr>
        <w:pStyle w:val="western"/>
        <w:spacing w:before="0" w:beforeAutospacing="0" w:line="240" w:lineRule="auto"/>
        <w:rPr>
          <w:b/>
          <w:bCs/>
          <w:lang w:val="en-US"/>
        </w:rPr>
      </w:pPr>
      <w:r w:rsidRPr="00AE400B">
        <w:rPr>
          <w:b/>
          <w:bCs/>
          <w:lang w:val="en-US"/>
        </w:rPr>
        <w:t>10</w:t>
      </w:r>
      <w:r w:rsidR="000C05C4">
        <w:rPr>
          <w:b/>
          <w:bCs/>
          <w:lang w:val="en-US"/>
        </w:rPr>
        <w:t>6</w:t>
      </w:r>
      <w:r w:rsidRPr="00AE400B">
        <w:rPr>
          <w:b/>
          <w:bCs/>
          <w:vertAlign w:val="superscript"/>
          <w:lang w:val="en-US"/>
        </w:rPr>
        <w:t>th</w:t>
      </w:r>
      <w:r w:rsidRPr="00AE400B">
        <w:rPr>
          <w:b/>
          <w:bCs/>
          <w:lang w:val="en-US"/>
        </w:rPr>
        <w:t xml:space="preserve"> session </w:t>
      </w:r>
      <w:r w:rsidRPr="00AE400B">
        <w:rPr>
          <w:b/>
          <w:bCs/>
          <w:lang w:val="en-US"/>
        </w:rPr>
        <w:tab/>
      </w:r>
    </w:p>
    <w:p w14:paraId="1CE0142B" w14:textId="649DC936" w:rsidR="008A0FDA" w:rsidRPr="00AE400B" w:rsidRDefault="00B054F9" w:rsidP="009606A0">
      <w:pPr>
        <w:pStyle w:val="western"/>
        <w:spacing w:before="0" w:beforeAutospacing="0" w:line="240" w:lineRule="auto"/>
        <w:rPr>
          <w:lang w:val="en-US"/>
        </w:rPr>
      </w:pPr>
      <w:r>
        <w:rPr>
          <w:lang w:val="en-US"/>
        </w:rPr>
        <w:t>Geneva,</w:t>
      </w:r>
      <w:r w:rsidR="00851BD9" w:rsidRPr="00AE400B">
        <w:rPr>
          <w:lang w:val="en-US"/>
        </w:rPr>
        <w:t xml:space="preserve"> </w:t>
      </w:r>
      <w:r w:rsidR="000C05C4">
        <w:rPr>
          <w:lang w:val="en-US"/>
        </w:rPr>
        <w:t>13-17 May 2019</w:t>
      </w:r>
    </w:p>
    <w:p w14:paraId="5B726E0A" w14:textId="01BC38B2" w:rsidR="008A0FDA" w:rsidRPr="00AE400B" w:rsidRDefault="009258F7" w:rsidP="009606A0">
      <w:pPr>
        <w:pStyle w:val="western"/>
        <w:spacing w:before="0" w:beforeAutospacing="0" w:line="240" w:lineRule="auto"/>
        <w:rPr>
          <w:lang w:val="en-US"/>
        </w:rPr>
      </w:pPr>
      <w:r w:rsidRPr="00AE400B">
        <w:rPr>
          <w:lang w:val="en-US"/>
        </w:rPr>
        <w:t xml:space="preserve">Item </w:t>
      </w:r>
      <w:r w:rsidR="000C05C4">
        <w:rPr>
          <w:lang w:val="en-US"/>
        </w:rPr>
        <w:t>7</w:t>
      </w:r>
      <w:r w:rsidR="00CA55D3">
        <w:rPr>
          <w:lang w:val="en-US"/>
        </w:rPr>
        <w:t xml:space="preserve"> </w:t>
      </w:r>
      <w:r w:rsidR="008A0FDA" w:rsidRPr="00AE400B">
        <w:rPr>
          <w:lang w:val="en-US"/>
        </w:rPr>
        <w:t>of the provisional agenda</w:t>
      </w:r>
    </w:p>
    <w:p w14:paraId="4FF46D38" w14:textId="20552FA6" w:rsidR="008A0FDA" w:rsidRPr="00AE400B" w:rsidRDefault="00CA55D3" w:rsidP="009606A0">
      <w:pPr>
        <w:pStyle w:val="western"/>
        <w:spacing w:before="0" w:beforeAutospacing="0" w:line="240" w:lineRule="auto"/>
        <w:rPr>
          <w:b/>
          <w:bCs/>
          <w:lang w:val="en-US"/>
        </w:rPr>
      </w:pPr>
      <w:r w:rsidRPr="00CA55D3">
        <w:rPr>
          <w:b/>
          <w:bCs/>
          <w:lang w:val="en-US"/>
        </w:rPr>
        <w:t>Interpretation of ADR</w:t>
      </w:r>
    </w:p>
    <w:p w14:paraId="6F0ED349" w14:textId="6514184E" w:rsidR="008A0FDA" w:rsidRPr="00AE400B" w:rsidRDefault="00590387" w:rsidP="00712A9F">
      <w:pPr>
        <w:pStyle w:val="HChG"/>
        <w:spacing w:after="0"/>
        <w:ind w:right="850" w:firstLine="0"/>
        <w:rPr>
          <w:lang w:val="en-US"/>
        </w:rPr>
      </w:pPr>
      <w:r>
        <w:rPr>
          <w:lang w:val="en-US"/>
        </w:rPr>
        <w:t xml:space="preserve">Use of a </w:t>
      </w:r>
      <w:r w:rsidR="00673CFE">
        <w:rPr>
          <w:lang w:val="en-US"/>
        </w:rPr>
        <w:t xml:space="preserve">transport unit comprising a dolly-axle </w:t>
      </w:r>
      <w:r>
        <w:rPr>
          <w:lang w:val="en-US"/>
        </w:rPr>
        <w:t>for a carriage according to</w:t>
      </w:r>
      <w:r w:rsidR="008A0FDA" w:rsidRPr="00AE400B">
        <w:rPr>
          <w:lang w:val="en-US"/>
        </w:rPr>
        <w:t xml:space="preserve"> </w:t>
      </w:r>
      <w:r w:rsidR="004F572C">
        <w:rPr>
          <w:lang w:val="en-US"/>
        </w:rPr>
        <w:t>1.1.3.6 of ADR</w:t>
      </w:r>
    </w:p>
    <w:p w14:paraId="0E1CB19D" w14:textId="06D91376" w:rsidR="008A0FDA" w:rsidRPr="00AE400B" w:rsidRDefault="008A0FDA" w:rsidP="00712A9F">
      <w:pPr>
        <w:pStyle w:val="H1G"/>
        <w:ind w:right="850" w:firstLine="0"/>
        <w:rPr>
          <w:b w:val="0"/>
          <w:sz w:val="20"/>
          <w:lang w:val="en-US"/>
        </w:rPr>
      </w:pPr>
      <w:r w:rsidRPr="00AE400B">
        <w:rPr>
          <w:lang w:val="en-US"/>
        </w:rPr>
        <w:t>Trans</w:t>
      </w:r>
      <w:bookmarkStart w:id="0" w:name="_GoBack"/>
      <w:bookmarkEnd w:id="0"/>
      <w:r w:rsidRPr="00AE400B">
        <w:rPr>
          <w:lang w:val="en-US"/>
        </w:rPr>
        <w:t xml:space="preserve">mitted by the </w:t>
      </w:r>
      <w:r w:rsidR="00B054F9">
        <w:rPr>
          <w:lang w:val="en-US"/>
        </w:rPr>
        <w:t xml:space="preserve">Government of </w:t>
      </w:r>
      <w:r w:rsidR="00B041F6">
        <w:rPr>
          <w:lang w:val="en-US"/>
        </w:rPr>
        <w:t>France</w:t>
      </w:r>
    </w:p>
    <w:p w14:paraId="585239B7" w14:textId="60D34A4B" w:rsidR="00F36773" w:rsidRDefault="008A0FDA" w:rsidP="00712A9F">
      <w:pPr>
        <w:pStyle w:val="SingleTxtG"/>
        <w:ind w:right="850"/>
        <w:rPr>
          <w:lang w:val="en-US"/>
        </w:rPr>
      </w:pPr>
      <w:r w:rsidRPr="00AE400B">
        <w:rPr>
          <w:lang w:val="en-US"/>
        </w:rPr>
        <w:t>1</w:t>
      </w:r>
      <w:r w:rsidRPr="00AE400B">
        <w:rPr>
          <w:b/>
          <w:lang w:val="en-US"/>
        </w:rPr>
        <w:t>.</w:t>
      </w:r>
      <w:r w:rsidRPr="00AE400B">
        <w:rPr>
          <w:lang w:val="en-US"/>
        </w:rPr>
        <w:tab/>
      </w:r>
      <w:r w:rsidR="004F572C" w:rsidRPr="002637A0">
        <w:rPr>
          <w:lang w:val="en-GB"/>
        </w:rPr>
        <w:t>1.1.3.6 defines ex</w:t>
      </w:r>
      <w:r w:rsidR="004F572C" w:rsidRPr="002637A0">
        <w:rPr>
          <w:iCs/>
          <w:lang w:val="en-GB"/>
        </w:rPr>
        <w:t xml:space="preserve">emptions related to quantities carried per </w:t>
      </w:r>
      <w:r w:rsidR="004F572C" w:rsidRPr="002637A0">
        <w:rPr>
          <w:iCs/>
          <w:u w:val="single"/>
          <w:lang w:val="en-GB"/>
        </w:rPr>
        <w:t>transport unit.</w:t>
      </w:r>
    </w:p>
    <w:p w14:paraId="4A7D6AC8" w14:textId="1201E054" w:rsidR="00B041F6" w:rsidRPr="002637A0" w:rsidRDefault="00780613" w:rsidP="00712A9F">
      <w:pPr>
        <w:pStyle w:val="SingleTxtG"/>
        <w:ind w:right="850"/>
        <w:rPr>
          <w:lang w:val="en-GB"/>
        </w:rPr>
      </w:pPr>
      <w:r>
        <w:rPr>
          <w:lang w:val="en-US"/>
        </w:rPr>
        <w:t>2.</w:t>
      </w:r>
      <w:r w:rsidR="00F36773">
        <w:rPr>
          <w:lang w:val="en-US"/>
        </w:rPr>
        <w:tab/>
      </w:r>
      <w:r w:rsidR="004F572C" w:rsidRPr="002637A0">
        <w:rPr>
          <w:lang w:val="en-GB"/>
        </w:rPr>
        <w:t xml:space="preserve">1.1.3.6.2 specifies that when </w:t>
      </w:r>
      <w:r w:rsidR="00B041F6" w:rsidRPr="002637A0">
        <w:rPr>
          <w:lang w:val="en-GB"/>
        </w:rPr>
        <w:t xml:space="preserve">the quantity of dangerous goods carried on </w:t>
      </w:r>
      <w:r w:rsidR="00B041F6" w:rsidRPr="002637A0">
        <w:rPr>
          <w:u w:val="single"/>
          <w:lang w:val="en-GB"/>
        </w:rPr>
        <w:t xml:space="preserve">a transport unit </w:t>
      </w:r>
      <w:r w:rsidR="00B041F6" w:rsidRPr="002637A0">
        <w:rPr>
          <w:lang w:val="en-GB"/>
        </w:rPr>
        <w:t xml:space="preserve">does not exceed </w:t>
      </w:r>
      <w:r w:rsidR="004F572C" w:rsidRPr="002637A0">
        <w:rPr>
          <w:lang w:val="en-GB"/>
        </w:rPr>
        <w:t xml:space="preserve">certain </w:t>
      </w:r>
      <w:r w:rsidR="00B041F6" w:rsidRPr="002637A0">
        <w:rPr>
          <w:lang w:val="en-GB"/>
        </w:rPr>
        <w:t xml:space="preserve">values, they may be carried in packages in one </w:t>
      </w:r>
      <w:r w:rsidR="00B041F6" w:rsidRPr="002637A0">
        <w:rPr>
          <w:u w:val="single"/>
          <w:lang w:val="en-GB"/>
        </w:rPr>
        <w:t>transport unit</w:t>
      </w:r>
      <w:r w:rsidR="00B041F6" w:rsidRPr="002637A0">
        <w:rPr>
          <w:lang w:val="en-GB"/>
        </w:rPr>
        <w:t xml:space="preserve"> without application of the following provisions: </w:t>
      </w:r>
    </w:p>
    <w:p w14:paraId="48764D4D" w14:textId="77C48A2D" w:rsidR="00B041F6" w:rsidRPr="0092192E" w:rsidRDefault="00B041F6" w:rsidP="00712A9F">
      <w:pPr>
        <w:pStyle w:val="SingleTxtG"/>
        <w:tabs>
          <w:tab w:val="left" w:pos="1985"/>
        </w:tabs>
        <w:spacing w:after="0"/>
        <w:ind w:left="1701" w:right="850"/>
        <w:rPr>
          <w:lang w:val="en-US"/>
        </w:rPr>
      </w:pPr>
      <w:r w:rsidRPr="0092192E">
        <w:rPr>
          <w:lang w:val="en-US"/>
        </w:rPr>
        <w:t>-</w:t>
      </w:r>
      <w:r w:rsidR="007939FB">
        <w:rPr>
          <w:lang w:val="en-US"/>
        </w:rPr>
        <w:tab/>
      </w:r>
      <w:r w:rsidRPr="0092192E">
        <w:rPr>
          <w:lang w:val="en-US"/>
        </w:rPr>
        <w:t>Chapter 1.10 except for Class 1 explosives of UN Nos. 0029, 0030, 0059, 0065, 0073, 0104, 0237, 0255, 0267, 0288, 0289, 0290, 0360, 0361, 0364, 0365, 0366, 0439, 0440, 0441, 0455, 0456 and 0500 and except for Class 7 excepted packages of UN Nos. 2910 and 2911 if the activity level exceeds the A</w:t>
      </w:r>
      <w:r w:rsidRPr="0092192E">
        <w:rPr>
          <w:vertAlign w:val="subscript"/>
          <w:lang w:val="en-US"/>
        </w:rPr>
        <w:t>2</w:t>
      </w:r>
      <w:r w:rsidRPr="0092192E">
        <w:rPr>
          <w:lang w:val="en-US"/>
        </w:rPr>
        <w:t xml:space="preserve"> value;</w:t>
      </w:r>
    </w:p>
    <w:p w14:paraId="7D806A38" w14:textId="49F5D862" w:rsidR="00B041F6" w:rsidRPr="007939FB" w:rsidRDefault="00B041F6" w:rsidP="00712A9F">
      <w:pPr>
        <w:pStyle w:val="SingleTxtG"/>
        <w:tabs>
          <w:tab w:val="left" w:pos="1985"/>
        </w:tabs>
        <w:spacing w:after="0"/>
        <w:ind w:left="1701" w:right="850"/>
        <w:rPr>
          <w:lang w:val="en-US"/>
        </w:rPr>
      </w:pPr>
      <w:r w:rsidRPr="002637A0">
        <w:rPr>
          <w:lang w:val="en-GB"/>
        </w:rPr>
        <w:t>-</w:t>
      </w:r>
      <w:r w:rsidRPr="002637A0">
        <w:rPr>
          <w:lang w:val="en-GB"/>
        </w:rPr>
        <w:tab/>
      </w:r>
      <w:r w:rsidRPr="007939FB">
        <w:rPr>
          <w:lang w:val="en-US"/>
        </w:rPr>
        <w:t>Chapter 5.3;</w:t>
      </w:r>
    </w:p>
    <w:p w14:paraId="4277F216" w14:textId="777B0C87" w:rsidR="00B041F6" w:rsidRPr="007939FB" w:rsidRDefault="00B041F6" w:rsidP="00712A9F">
      <w:pPr>
        <w:pStyle w:val="SingleTxtG"/>
        <w:tabs>
          <w:tab w:val="left" w:pos="1985"/>
        </w:tabs>
        <w:spacing w:after="0"/>
        <w:ind w:left="1701" w:right="850"/>
        <w:rPr>
          <w:lang w:val="en-US"/>
        </w:rPr>
      </w:pPr>
      <w:r w:rsidRPr="007939FB">
        <w:rPr>
          <w:lang w:val="en-US"/>
        </w:rPr>
        <w:t>-</w:t>
      </w:r>
      <w:r w:rsidRPr="007939FB">
        <w:rPr>
          <w:lang w:val="en-US"/>
        </w:rPr>
        <w:tab/>
        <w:t>Section 5.4.3;</w:t>
      </w:r>
    </w:p>
    <w:p w14:paraId="0E8F06B1" w14:textId="469C8A95" w:rsidR="00B041F6" w:rsidRPr="007939FB" w:rsidRDefault="00B041F6" w:rsidP="00712A9F">
      <w:pPr>
        <w:pStyle w:val="SingleTxtG"/>
        <w:tabs>
          <w:tab w:val="left" w:pos="1985"/>
        </w:tabs>
        <w:spacing w:after="0"/>
        <w:ind w:left="1701" w:right="850"/>
        <w:rPr>
          <w:lang w:val="en-US"/>
        </w:rPr>
      </w:pPr>
      <w:r w:rsidRPr="007939FB">
        <w:rPr>
          <w:lang w:val="en-US"/>
        </w:rPr>
        <w:t xml:space="preserve">- </w:t>
      </w:r>
      <w:r w:rsidRPr="007939FB">
        <w:rPr>
          <w:lang w:val="en-US"/>
        </w:rPr>
        <w:tab/>
        <w:t>Chapter 7.2, except for V5 and V8 of 7.2.4;</w:t>
      </w:r>
    </w:p>
    <w:p w14:paraId="20007FD5" w14:textId="7E7D5390" w:rsidR="00B041F6" w:rsidRPr="007939FB" w:rsidRDefault="00B041F6" w:rsidP="00712A9F">
      <w:pPr>
        <w:pStyle w:val="SingleTxtG"/>
        <w:tabs>
          <w:tab w:val="left" w:pos="1985"/>
        </w:tabs>
        <w:spacing w:after="0"/>
        <w:ind w:left="1701" w:right="850"/>
        <w:rPr>
          <w:lang w:val="en-US"/>
        </w:rPr>
      </w:pPr>
      <w:r w:rsidRPr="007939FB">
        <w:rPr>
          <w:lang w:val="en-US"/>
        </w:rPr>
        <w:t xml:space="preserve">- </w:t>
      </w:r>
      <w:r w:rsidRPr="007939FB">
        <w:rPr>
          <w:lang w:val="en-US"/>
        </w:rPr>
        <w:tab/>
        <w:t>CV1 of 7.5.11;</w:t>
      </w:r>
    </w:p>
    <w:p w14:paraId="4E34C573" w14:textId="28FBA88F" w:rsidR="00B041F6" w:rsidRPr="002637A0" w:rsidRDefault="00B041F6" w:rsidP="00712A9F">
      <w:pPr>
        <w:pStyle w:val="SingleTxtG"/>
        <w:tabs>
          <w:tab w:val="left" w:pos="1985"/>
          <w:tab w:val="left" w:pos="3402"/>
        </w:tabs>
        <w:spacing w:after="0"/>
        <w:ind w:left="1701" w:right="850"/>
        <w:rPr>
          <w:lang w:val="en-GB"/>
        </w:rPr>
      </w:pPr>
      <w:r w:rsidRPr="007939FB">
        <w:rPr>
          <w:lang w:val="en-US"/>
        </w:rPr>
        <w:t xml:space="preserve">- </w:t>
      </w:r>
      <w:r w:rsidRPr="007939FB">
        <w:rPr>
          <w:lang w:val="en-US"/>
        </w:rPr>
        <w:tab/>
        <w:t>Part 8</w:t>
      </w:r>
      <w:r w:rsidRPr="002637A0">
        <w:rPr>
          <w:lang w:val="en-GB"/>
        </w:rPr>
        <w:t xml:space="preserve"> except for </w:t>
      </w:r>
      <w:r w:rsidR="007939FB" w:rsidRPr="002637A0">
        <w:rPr>
          <w:lang w:val="en-GB"/>
        </w:rPr>
        <w:tab/>
      </w:r>
      <w:r w:rsidRPr="002637A0">
        <w:rPr>
          <w:lang w:val="en-GB"/>
        </w:rPr>
        <w:t>8.1.2.1 (a),</w:t>
      </w:r>
    </w:p>
    <w:p w14:paraId="5987BA06" w14:textId="77777777" w:rsidR="00B041F6" w:rsidRPr="0092192E" w:rsidRDefault="00B041F6" w:rsidP="00712A9F">
      <w:pPr>
        <w:tabs>
          <w:tab w:val="left" w:pos="-720"/>
          <w:tab w:val="left" w:pos="-32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8.1.4.2 to 8.1.4.5,</w:t>
      </w:r>
    </w:p>
    <w:p w14:paraId="46F84B93"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8.2.3,</w:t>
      </w:r>
    </w:p>
    <w:p w14:paraId="3E78269C"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8.3.3,</w:t>
      </w:r>
    </w:p>
    <w:p w14:paraId="226E1134"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8.3.4,</w:t>
      </w:r>
    </w:p>
    <w:p w14:paraId="7396CC42"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8.3.5,</w:t>
      </w:r>
    </w:p>
    <w:p w14:paraId="7B26EE0B"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Chapter 8.4,</w:t>
      </w:r>
    </w:p>
    <w:p w14:paraId="1F8715C2"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S1(3) and (6),</w:t>
      </w:r>
    </w:p>
    <w:p w14:paraId="1C5A6D66"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S2(1),</w:t>
      </w:r>
    </w:p>
    <w:p w14:paraId="5423A531"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S4; S5,</w:t>
      </w:r>
    </w:p>
    <w:p w14:paraId="7685190C"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S14 to S21 and</w:t>
      </w:r>
    </w:p>
    <w:p w14:paraId="6B1ECFCD" w14:textId="77777777" w:rsidR="00B041F6" w:rsidRPr="0092192E" w:rsidRDefault="00B041F6" w:rsidP="00712A9F">
      <w:pPr>
        <w:tabs>
          <w:tab w:val="left" w:pos="-720"/>
          <w:tab w:val="left" w:pos="-324"/>
          <w:tab w:val="left" w:pos="3544"/>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3402" w:right="850"/>
      </w:pPr>
      <w:r w:rsidRPr="0092192E">
        <w:t>S24 of Chapter 8.5;</w:t>
      </w:r>
    </w:p>
    <w:p w14:paraId="1816E1CA" w14:textId="77777777" w:rsidR="00B041F6" w:rsidRPr="002637A0" w:rsidRDefault="00B041F6" w:rsidP="00712A9F">
      <w:pPr>
        <w:pStyle w:val="SingleTxtG"/>
        <w:tabs>
          <w:tab w:val="left" w:pos="1985"/>
        </w:tabs>
        <w:ind w:left="1701" w:right="850"/>
        <w:rPr>
          <w:lang w:val="en-GB"/>
        </w:rPr>
      </w:pPr>
      <w:r w:rsidRPr="002637A0">
        <w:rPr>
          <w:lang w:val="en-GB"/>
        </w:rPr>
        <w:tab/>
        <w:t>-</w:t>
      </w:r>
      <w:r w:rsidRPr="002637A0">
        <w:rPr>
          <w:lang w:val="en-GB"/>
        </w:rPr>
        <w:tab/>
        <w:t>Part 9.</w:t>
      </w:r>
    </w:p>
    <w:p w14:paraId="0F32A08C" w14:textId="29387CBF" w:rsidR="00DB28AC" w:rsidRPr="002637A0" w:rsidRDefault="00780613" w:rsidP="00712A9F">
      <w:pPr>
        <w:pStyle w:val="SingleTxtG"/>
        <w:ind w:right="850"/>
        <w:rPr>
          <w:lang w:val="en-GB"/>
        </w:rPr>
      </w:pPr>
      <w:r>
        <w:rPr>
          <w:lang w:val="en-US"/>
        </w:rPr>
        <w:t>3</w:t>
      </w:r>
      <w:r w:rsidR="002779D6" w:rsidRPr="00AE400B">
        <w:rPr>
          <w:lang w:val="en-US"/>
        </w:rPr>
        <w:t>.</w:t>
      </w:r>
      <w:r w:rsidR="002779D6" w:rsidRPr="00AE400B">
        <w:rPr>
          <w:lang w:val="en-US"/>
        </w:rPr>
        <w:tab/>
      </w:r>
      <w:r w:rsidR="00220C13">
        <w:rPr>
          <w:lang w:val="en-US"/>
        </w:rPr>
        <w:t>As a result, e</w:t>
      </w:r>
      <w:r w:rsidR="00D34560">
        <w:rPr>
          <w:lang w:val="en-US"/>
        </w:rPr>
        <w:t>xcept</w:t>
      </w:r>
      <w:r w:rsidR="0075094E">
        <w:rPr>
          <w:lang w:val="en-US"/>
        </w:rPr>
        <w:t xml:space="preserve"> for</w:t>
      </w:r>
      <w:r w:rsidR="00D34560">
        <w:rPr>
          <w:lang w:val="en-US"/>
        </w:rPr>
        <w:t xml:space="preserve"> 8.1.2.1 (a) and 8.1.4.2 to 8.1.4.5, </w:t>
      </w:r>
      <w:r w:rsidR="0075094E">
        <w:rPr>
          <w:lang w:val="en-US"/>
        </w:rPr>
        <w:t xml:space="preserve">the requirements in </w:t>
      </w:r>
      <w:r w:rsidR="00D34560">
        <w:rPr>
          <w:lang w:val="en-US"/>
        </w:rPr>
        <w:t>Chapter</w:t>
      </w:r>
      <w:r w:rsidR="00DB28AC" w:rsidRPr="002637A0">
        <w:rPr>
          <w:lang w:val="en-GB"/>
        </w:rPr>
        <w:t xml:space="preserve"> 8.1 </w:t>
      </w:r>
      <w:r w:rsidR="0075094E" w:rsidRPr="002637A0">
        <w:rPr>
          <w:lang w:val="en-GB"/>
        </w:rPr>
        <w:t>on</w:t>
      </w:r>
      <w:r w:rsidR="00D34560" w:rsidRPr="002637A0">
        <w:rPr>
          <w:lang w:val="en-GB"/>
        </w:rPr>
        <w:t xml:space="preserve"> general requirements concerning transport units and equipment on board</w:t>
      </w:r>
      <w:r w:rsidR="00220C13" w:rsidRPr="002637A0">
        <w:rPr>
          <w:lang w:val="en-GB"/>
        </w:rPr>
        <w:t xml:space="preserve"> do</w:t>
      </w:r>
      <w:r w:rsidR="00712A9F" w:rsidRPr="002637A0">
        <w:rPr>
          <w:lang w:val="en-GB"/>
        </w:rPr>
        <w:t xml:space="preserve"> </w:t>
      </w:r>
      <w:r w:rsidR="00220C13" w:rsidRPr="002637A0">
        <w:rPr>
          <w:lang w:val="en-GB"/>
        </w:rPr>
        <w:t>n</w:t>
      </w:r>
      <w:r w:rsidR="00712A9F" w:rsidRPr="002637A0">
        <w:rPr>
          <w:lang w:val="en-GB"/>
        </w:rPr>
        <w:t>o</w:t>
      </w:r>
      <w:r w:rsidR="00220C13" w:rsidRPr="002637A0">
        <w:rPr>
          <w:lang w:val="en-GB"/>
        </w:rPr>
        <w:t xml:space="preserve">t apply to a </w:t>
      </w:r>
      <w:r w:rsidR="0075094E" w:rsidRPr="002637A0">
        <w:rPr>
          <w:lang w:val="en-GB"/>
        </w:rPr>
        <w:t>carriage</w:t>
      </w:r>
      <w:r w:rsidR="00220C13" w:rsidRPr="002637A0">
        <w:rPr>
          <w:lang w:val="en-GB"/>
        </w:rPr>
        <w:t xml:space="preserve"> under 1.1.3.6. This means that Section 8.1.1 which states that « </w:t>
      </w:r>
      <w:r w:rsidR="00DB28AC" w:rsidRPr="002637A0">
        <w:rPr>
          <w:lang w:val="en-GB"/>
        </w:rPr>
        <w:t>A transport unit loaded with dangerous goods may in no case</w:t>
      </w:r>
      <w:r w:rsidR="00220C13" w:rsidRPr="002637A0">
        <w:rPr>
          <w:lang w:val="en-GB"/>
        </w:rPr>
        <w:t xml:space="preserve"> </w:t>
      </w:r>
      <w:r w:rsidR="00DB28AC" w:rsidRPr="002637A0">
        <w:rPr>
          <w:lang w:val="en-GB"/>
        </w:rPr>
        <w:t>include more than one trailer (or semi</w:t>
      </w:r>
      <w:r w:rsidR="00DB28AC" w:rsidRPr="002637A0">
        <w:rPr>
          <w:lang w:val="en-GB"/>
        </w:rPr>
        <w:noBreakHyphen/>
        <w:t>trailer).</w:t>
      </w:r>
      <w:r w:rsidR="00220C13" w:rsidRPr="002637A0">
        <w:rPr>
          <w:lang w:val="en-GB"/>
        </w:rPr>
        <w:t> » does</w:t>
      </w:r>
      <w:r w:rsidR="00712A9F" w:rsidRPr="002637A0">
        <w:rPr>
          <w:lang w:val="en-GB"/>
        </w:rPr>
        <w:t xml:space="preserve"> </w:t>
      </w:r>
      <w:r w:rsidR="00220C13" w:rsidRPr="002637A0">
        <w:rPr>
          <w:lang w:val="en-GB"/>
        </w:rPr>
        <w:t>n</w:t>
      </w:r>
      <w:r w:rsidR="00712A9F" w:rsidRPr="002637A0">
        <w:rPr>
          <w:lang w:val="en-GB"/>
        </w:rPr>
        <w:t>o</w:t>
      </w:r>
      <w:r w:rsidR="00220C13" w:rsidRPr="002637A0">
        <w:rPr>
          <w:lang w:val="en-GB"/>
        </w:rPr>
        <w:t>t apply either.</w:t>
      </w:r>
    </w:p>
    <w:p w14:paraId="69804B4A" w14:textId="6F8C5EB6" w:rsidR="00220C13" w:rsidRPr="002637A0" w:rsidRDefault="00780613" w:rsidP="00712A9F">
      <w:pPr>
        <w:pStyle w:val="SingleTxtG"/>
        <w:ind w:right="850"/>
        <w:rPr>
          <w:lang w:val="en-GB"/>
        </w:rPr>
      </w:pPr>
      <w:r>
        <w:rPr>
          <w:lang w:val="en-US"/>
        </w:rPr>
        <w:t>4</w:t>
      </w:r>
      <w:r w:rsidR="00B15E5B">
        <w:rPr>
          <w:lang w:val="en-US"/>
        </w:rPr>
        <w:t>.</w:t>
      </w:r>
      <w:r w:rsidR="00B15E5B">
        <w:rPr>
          <w:lang w:val="en-US"/>
        </w:rPr>
        <w:tab/>
      </w:r>
      <w:r w:rsidR="00220C13">
        <w:rPr>
          <w:lang w:val="en-US"/>
        </w:rPr>
        <w:t xml:space="preserve">However, according to Chapter 1.2, </w:t>
      </w:r>
      <w:r w:rsidR="00220C13" w:rsidRPr="002637A0">
        <w:rPr>
          <w:i/>
          <w:lang w:val="en-GB"/>
        </w:rPr>
        <w:t>"Transport unit"</w:t>
      </w:r>
      <w:r w:rsidR="00220C13" w:rsidRPr="002637A0">
        <w:rPr>
          <w:lang w:val="en-GB"/>
        </w:rPr>
        <w:t xml:space="preserve"> means a motor vehicle without an attached trailer, or a combination consisting of a motor vehicle and an attached trailer.</w:t>
      </w:r>
    </w:p>
    <w:p w14:paraId="37751BE0" w14:textId="458EA45E" w:rsidR="00894ACF" w:rsidRDefault="00220C13" w:rsidP="00712A9F">
      <w:pPr>
        <w:pStyle w:val="SingleTxtG"/>
        <w:ind w:right="850"/>
        <w:rPr>
          <w:lang w:val="en-US"/>
        </w:rPr>
      </w:pPr>
      <w:r>
        <w:rPr>
          <w:lang w:val="en-US"/>
        </w:rPr>
        <w:t>5.</w:t>
      </w:r>
      <w:r>
        <w:rPr>
          <w:lang w:val="en-US"/>
        </w:rPr>
        <w:tab/>
      </w:r>
      <w:r w:rsidR="0075094E">
        <w:rPr>
          <w:lang w:val="en-US"/>
        </w:rPr>
        <w:t>I</w:t>
      </w:r>
      <w:r w:rsidR="0075094E" w:rsidRPr="0075094E">
        <w:rPr>
          <w:lang w:val="en-US"/>
        </w:rPr>
        <w:t xml:space="preserve">t therefore seems that even if </w:t>
      </w:r>
      <w:r w:rsidR="0075094E">
        <w:rPr>
          <w:lang w:val="en-US"/>
        </w:rPr>
        <w:t>8.1.1 does</w:t>
      </w:r>
      <w:r w:rsidR="00712A9F">
        <w:rPr>
          <w:lang w:val="en-US"/>
        </w:rPr>
        <w:t xml:space="preserve"> </w:t>
      </w:r>
      <w:r w:rsidR="0075094E">
        <w:rPr>
          <w:lang w:val="en-US"/>
        </w:rPr>
        <w:t>n</w:t>
      </w:r>
      <w:r w:rsidR="00712A9F">
        <w:rPr>
          <w:lang w:val="en-US"/>
        </w:rPr>
        <w:t>ot</w:t>
      </w:r>
      <w:r w:rsidR="0075094E">
        <w:rPr>
          <w:lang w:val="en-US"/>
        </w:rPr>
        <w:t xml:space="preserve"> apply</w:t>
      </w:r>
      <w:r w:rsidR="00712A9F">
        <w:rPr>
          <w:lang w:val="en-US"/>
        </w:rPr>
        <w:t xml:space="preserve"> to a carriage performed according to 1.1.3.6</w:t>
      </w:r>
      <w:r w:rsidR="0075094E">
        <w:rPr>
          <w:lang w:val="en-US"/>
        </w:rPr>
        <w:t xml:space="preserve">, </w:t>
      </w:r>
      <w:r w:rsidR="0075094E" w:rsidRPr="0075094E">
        <w:rPr>
          <w:lang w:val="en-US"/>
        </w:rPr>
        <w:t>the</w:t>
      </w:r>
      <w:r w:rsidR="0075094E">
        <w:rPr>
          <w:lang w:val="en-US"/>
        </w:rPr>
        <w:t xml:space="preserve"> definition of a transport unit does</w:t>
      </w:r>
      <w:r w:rsidR="00712A9F">
        <w:rPr>
          <w:lang w:val="en-US"/>
        </w:rPr>
        <w:t xml:space="preserve"> </w:t>
      </w:r>
      <w:r w:rsidR="0075094E">
        <w:rPr>
          <w:lang w:val="en-US"/>
        </w:rPr>
        <w:t>n</w:t>
      </w:r>
      <w:r w:rsidR="00712A9F">
        <w:rPr>
          <w:lang w:val="en-US"/>
        </w:rPr>
        <w:t>o</w:t>
      </w:r>
      <w:r w:rsidR="0075094E">
        <w:rPr>
          <w:lang w:val="en-US"/>
        </w:rPr>
        <w:t>t allow the use of</w:t>
      </w:r>
      <w:r w:rsidR="00712A9F">
        <w:rPr>
          <w:lang w:val="en-US"/>
        </w:rPr>
        <w:t xml:space="preserve"> a</w:t>
      </w:r>
      <w:r w:rsidR="0075094E">
        <w:rPr>
          <w:lang w:val="en-US"/>
        </w:rPr>
        <w:t xml:space="preserve"> unit comprising </w:t>
      </w:r>
      <w:r w:rsidR="0039209D">
        <w:rPr>
          <w:lang w:val="en-US"/>
        </w:rPr>
        <w:t>a dolly-axle</w:t>
      </w:r>
      <w:r w:rsidR="0075094E">
        <w:rPr>
          <w:lang w:val="en-US"/>
        </w:rPr>
        <w:t>.</w:t>
      </w:r>
    </w:p>
    <w:p w14:paraId="4FA1063C" w14:textId="7D243B87" w:rsidR="0075094E" w:rsidRPr="00AE400B" w:rsidRDefault="0075094E" w:rsidP="00590387">
      <w:pPr>
        <w:pStyle w:val="SingleTxtG"/>
        <w:ind w:right="851"/>
        <w:rPr>
          <w:lang w:val="en-US"/>
        </w:rPr>
      </w:pPr>
      <w:r>
        <w:rPr>
          <w:lang w:val="en-US"/>
        </w:rPr>
        <w:t>6.</w:t>
      </w:r>
      <w:r>
        <w:rPr>
          <w:lang w:val="en-US"/>
        </w:rPr>
        <w:tab/>
      </w:r>
      <w:r w:rsidR="009E3F42">
        <w:rPr>
          <w:lang w:val="en-US"/>
        </w:rPr>
        <w:t xml:space="preserve">We would like to know the opinion </w:t>
      </w:r>
      <w:r w:rsidR="00712A9F">
        <w:rPr>
          <w:lang w:val="en-US"/>
        </w:rPr>
        <w:t>of the Working Group</w:t>
      </w:r>
      <w:r w:rsidR="00590387">
        <w:rPr>
          <w:lang w:val="en-US"/>
        </w:rPr>
        <w:t>.</w:t>
      </w:r>
    </w:p>
    <w:p w14:paraId="252A8341" w14:textId="77777777" w:rsidR="008A0FDA" w:rsidRDefault="008A0FDA" w:rsidP="00590387">
      <w:pPr>
        <w:pStyle w:val="SingleTxtG"/>
        <w:spacing w:after="0"/>
        <w:ind w:right="851"/>
        <w:jc w:val="center"/>
        <w:rPr>
          <w:u w:val="single"/>
          <w:lang w:val="en-US"/>
        </w:rPr>
      </w:pPr>
      <w:r w:rsidRPr="00AE400B">
        <w:rPr>
          <w:u w:val="single"/>
          <w:lang w:val="en-US"/>
        </w:rPr>
        <w:tab/>
      </w:r>
      <w:r w:rsidRPr="00AE400B">
        <w:rPr>
          <w:u w:val="single"/>
          <w:lang w:val="en-US"/>
        </w:rPr>
        <w:tab/>
      </w:r>
      <w:r w:rsidRPr="00AE400B">
        <w:rPr>
          <w:u w:val="single"/>
          <w:lang w:val="en-US"/>
        </w:rPr>
        <w:tab/>
      </w:r>
    </w:p>
    <w:sectPr w:rsidR="008A0FDA" w:rsidSect="00590387">
      <w:headerReference w:type="even" r:id="rId8"/>
      <w:headerReference w:type="default" r:id="rId9"/>
      <w:footerReference w:type="even" r:id="rId10"/>
      <w:footerReference w:type="default" r:id="rId11"/>
      <w:type w:val="continuous"/>
      <w:pgSz w:w="11907" w:h="16840" w:code="9"/>
      <w:pgMar w:top="1701" w:right="1134" w:bottom="1560"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CE57" w14:textId="77777777" w:rsidR="009E3D7F" w:rsidRDefault="009E3D7F"/>
  </w:endnote>
  <w:endnote w:type="continuationSeparator" w:id="0">
    <w:p w14:paraId="122513A5" w14:textId="77777777" w:rsidR="009E3D7F" w:rsidRDefault="009E3D7F"/>
  </w:endnote>
  <w:endnote w:type="continuationNotice" w:id="1">
    <w:p w14:paraId="4F62B16D" w14:textId="77777777" w:rsidR="009E3D7F" w:rsidRDefault="009E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41687469" w:rsidR="001C5942" w:rsidRPr="00E762DB" w:rsidRDefault="001C5942">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39209D">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1C5942" w:rsidRPr="00E762DB" w:rsidRDefault="001C5942"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F615" w14:textId="77777777" w:rsidR="009E3D7F" w:rsidRPr="000B175B" w:rsidRDefault="009E3D7F" w:rsidP="000B175B">
      <w:pPr>
        <w:tabs>
          <w:tab w:val="right" w:pos="2155"/>
        </w:tabs>
        <w:spacing w:after="80"/>
        <w:ind w:left="680"/>
        <w:rPr>
          <w:u w:val="single"/>
        </w:rPr>
      </w:pPr>
      <w:r>
        <w:rPr>
          <w:u w:val="single"/>
        </w:rPr>
        <w:tab/>
      </w:r>
    </w:p>
  </w:footnote>
  <w:footnote w:type="continuationSeparator" w:id="0">
    <w:p w14:paraId="5CAA225E" w14:textId="77777777" w:rsidR="009E3D7F" w:rsidRPr="00FC68B7" w:rsidRDefault="009E3D7F" w:rsidP="00FC68B7">
      <w:pPr>
        <w:tabs>
          <w:tab w:val="left" w:pos="2155"/>
        </w:tabs>
        <w:spacing w:after="80"/>
        <w:ind w:left="680"/>
        <w:rPr>
          <w:u w:val="single"/>
        </w:rPr>
      </w:pPr>
      <w:r>
        <w:rPr>
          <w:u w:val="single"/>
        </w:rPr>
        <w:tab/>
      </w:r>
    </w:p>
  </w:footnote>
  <w:footnote w:type="continuationNotice" w:id="1">
    <w:p w14:paraId="322C3228" w14:textId="77777777" w:rsidR="009E3D7F" w:rsidRDefault="009E3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015EF89B" w:rsidR="001C5942" w:rsidRPr="0040519E" w:rsidRDefault="001C5942" w:rsidP="0040519E">
    <w:pPr>
      <w:pStyle w:val="Header"/>
      <w:rPr>
        <w:szCs w:val="18"/>
      </w:rPr>
    </w:pPr>
    <w:r>
      <w:rPr>
        <w:szCs w:val="18"/>
      </w:rPr>
      <w:t>INF.</w:t>
    </w:r>
    <w:r w:rsidR="00220C13">
      <w:rPr>
        <w:szCs w:val="18"/>
      </w:rPr>
      <w:t>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77777777" w:rsidR="001C5942" w:rsidRPr="0040519E" w:rsidRDefault="001C5942"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8"/>
  </w:num>
  <w:num w:numId="25">
    <w:abstractNumId w:val="12"/>
  </w:num>
  <w:num w:numId="26">
    <w:abstractNumId w:val="11"/>
  </w:num>
  <w:num w:numId="27">
    <w:abstractNumId w:val="19"/>
  </w:num>
  <w:num w:numId="28">
    <w:abstractNumId w:val="16"/>
  </w:num>
  <w:num w:numId="29">
    <w:abstractNumId w:val="17"/>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1FBD"/>
    <w:rsid w:val="00036E48"/>
    <w:rsid w:val="00037F90"/>
    <w:rsid w:val="00044E86"/>
    <w:rsid w:val="00046B1F"/>
    <w:rsid w:val="00050F6B"/>
    <w:rsid w:val="00057793"/>
    <w:rsid w:val="00057E97"/>
    <w:rsid w:val="000631DE"/>
    <w:rsid w:val="00063258"/>
    <w:rsid w:val="00072972"/>
    <w:rsid w:val="00072A81"/>
    <w:rsid w:val="00072C8C"/>
    <w:rsid w:val="000733B5"/>
    <w:rsid w:val="000776EE"/>
    <w:rsid w:val="00081815"/>
    <w:rsid w:val="00090B3F"/>
    <w:rsid w:val="00091F3B"/>
    <w:rsid w:val="000931C0"/>
    <w:rsid w:val="0009571F"/>
    <w:rsid w:val="00096262"/>
    <w:rsid w:val="00096310"/>
    <w:rsid w:val="000A3752"/>
    <w:rsid w:val="000A7267"/>
    <w:rsid w:val="000B0595"/>
    <w:rsid w:val="000B09FC"/>
    <w:rsid w:val="000B175B"/>
    <w:rsid w:val="000B3A0F"/>
    <w:rsid w:val="000B4EF7"/>
    <w:rsid w:val="000B633F"/>
    <w:rsid w:val="000C05C4"/>
    <w:rsid w:val="000C0AEF"/>
    <w:rsid w:val="000C2C03"/>
    <w:rsid w:val="000C2D2E"/>
    <w:rsid w:val="000C4D51"/>
    <w:rsid w:val="000C7F79"/>
    <w:rsid w:val="000D67BE"/>
    <w:rsid w:val="000E0415"/>
    <w:rsid w:val="000F0BB0"/>
    <w:rsid w:val="000F147C"/>
    <w:rsid w:val="00100D79"/>
    <w:rsid w:val="001035DF"/>
    <w:rsid w:val="0010391C"/>
    <w:rsid w:val="00104CDA"/>
    <w:rsid w:val="001103AA"/>
    <w:rsid w:val="0011666B"/>
    <w:rsid w:val="00122472"/>
    <w:rsid w:val="00125117"/>
    <w:rsid w:val="00126E1C"/>
    <w:rsid w:val="00145A8E"/>
    <w:rsid w:val="00155068"/>
    <w:rsid w:val="0016418F"/>
    <w:rsid w:val="00165F3A"/>
    <w:rsid w:val="0017344C"/>
    <w:rsid w:val="00180B0D"/>
    <w:rsid w:val="00180F8C"/>
    <w:rsid w:val="001847D2"/>
    <w:rsid w:val="00190B51"/>
    <w:rsid w:val="001968F9"/>
    <w:rsid w:val="001A47AA"/>
    <w:rsid w:val="001A57BD"/>
    <w:rsid w:val="001A6E55"/>
    <w:rsid w:val="001A7709"/>
    <w:rsid w:val="001B012A"/>
    <w:rsid w:val="001B059F"/>
    <w:rsid w:val="001B13A5"/>
    <w:rsid w:val="001B1EA7"/>
    <w:rsid w:val="001B4B04"/>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20C13"/>
    <w:rsid w:val="0024023A"/>
    <w:rsid w:val="00243217"/>
    <w:rsid w:val="0024530C"/>
    <w:rsid w:val="00252290"/>
    <w:rsid w:val="00252F75"/>
    <w:rsid w:val="0025326C"/>
    <w:rsid w:val="0026060C"/>
    <w:rsid w:val="00262220"/>
    <w:rsid w:val="002637A0"/>
    <w:rsid w:val="00267F5F"/>
    <w:rsid w:val="002779D6"/>
    <w:rsid w:val="00283FA3"/>
    <w:rsid w:val="0028603C"/>
    <w:rsid w:val="00286B4D"/>
    <w:rsid w:val="002A3C85"/>
    <w:rsid w:val="002A50EA"/>
    <w:rsid w:val="002A603B"/>
    <w:rsid w:val="002C1C56"/>
    <w:rsid w:val="002C45D9"/>
    <w:rsid w:val="002C6F64"/>
    <w:rsid w:val="002D11EC"/>
    <w:rsid w:val="002D4643"/>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369F1"/>
    <w:rsid w:val="00345184"/>
    <w:rsid w:val="00352709"/>
    <w:rsid w:val="0035344A"/>
    <w:rsid w:val="003571EA"/>
    <w:rsid w:val="00364B28"/>
    <w:rsid w:val="00371178"/>
    <w:rsid w:val="00380288"/>
    <w:rsid w:val="0038100E"/>
    <w:rsid w:val="003834A6"/>
    <w:rsid w:val="0039209D"/>
    <w:rsid w:val="00393B48"/>
    <w:rsid w:val="00394FFC"/>
    <w:rsid w:val="00396DB6"/>
    <w:rsid w:val="003A3DDB"/>
    <w:rsid w:val="003A6810"/>
    <w:rsid w:val="003B36D1"/>
    <w:rsid w:val="003C2CC4"/>
    <w:rsid w:val="003C3DDB"/>
    <w:rsid w:val="003D18C0"/>
    <w:rsid w:val="003D4B23"/>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D142D"/>
    <w:rsid w:val="004D46FD"/>
    <w:rsid w:val="004D4E04"/>
    <w:rsid w:val="004D5426"/>
    <w:rsid w:val="004D59CF"/>
    <w:rsid w:val="004E0502"/>
    <w:rsid w:val="004E0C05"/>
    <w:rsid w:val="004E77B2"/>
    <w:rsid w:val="004F572C"/>
    <w:rsid w:val="00501E13"/>
    <w:rsid w:val="00503DEB"/>
    <w:rsid w:val="00504B2D"/>
    <w:rsid w:val="00507993"/>
    <w:rsid w:val="0052136D"/>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90387"/>
    <w:rsid w:val="0059363D"/>
    <w:rsid w:val="005A583B"/>
    <w:rsid w:val="005B3DB3"/>
    <w:rsid w:val="005B4E13"/>
    <w:rsid w:val="005B7B9C"/>
    <w:rsid w:val="005C43CA"/>
    <w:rsid w:val="005C68F0"/>
    <w:rsid w:val="005D2A29"/>
    <w:rsid w:val="005E0266"/>
    <w:rsid w:val="005E6A77"/>
    <w:rsid w:val="005F4FD5"/>
    <w:rsid w:val="005F7B75"/>
    <w:rsid w:val="006001EE"/>
    <w:rsid w:val="0060219C"/>
    <w:rsid w:val="00605042"/>
    <w:rsid w:val="00611FC4"/>
    <w:rsid w:val="00613D87"/>
    <w:rsid w:val="006176FB"/>
    <w:rsid w:val="00630BAF"/>
    <w:rsid w:val="006366C9"/>
    <w:rsid w:val="00640841"/>
    <w:rsid w:val="00640B26"/>
    <w:rsid w:val="00652D0A"/>
    <w:rsid w:val="006623D5"/>
    <w:rsid w:val="00662BB6"/>
    <w:rsid w:val="00667F8F"/>
    <w:rsid w:val="00673CFE"/>
    <w:rsid w:val="006741F1"/>
    <w:rsid w:val="00684C21"/>
    <w:rsid w:val="00690828"/>
    <w:rsid w:val="006A2530"/>
    <w:rsid w:val="006B1C12"/>
    <w:rsid w:val="006B2F0C"/>
    <w:rsid w:val="006C30F2"/>
    <w:rsid w:val="006C3589"/>
    <w:rsid w:val="006D37AF"/>
    <w:rsid w:val="006D51D0"/>
    <w:rsid w:val="006E5117"/>
    <w:rsid w:val="006E564B"/>
    <w:rsid w:val="006E7191"/>
    <w:rsid w:val="006F3FF1"/>
    <w:rsid w:val="00701A34"/>
    <w:rsid w:val="00703577"/>
    <w:rsid w:val="00705894"/>
    <w:rsid w:val="00707CB5"/>
    <w:rsid w:val="00712A9F"/>
    <w:rsid w:val="00725082"/>
    <w:rsid w:val="0072632A"/>
    <w:rsid w:val="007327D5"/>
    <w:rsid w:val="00740AAD"/>
    <w:rsid w:val="007416DF"/>
    <w:rsid w:val="00746D27"/>
    <w:rsid w:val="007500F3"/>
    <w:rsid w:val="0075094E"/>
    <w:rsid w:val="007611CF"/>
    <w:rsid w:val="00761787"/>
    <w:rsid w:val="00762477"/>
    <w:rsid w:val="007629C8"/>
    <w:rsid w:val="00764668"/>
    <w:rsid w:val="00766E4F"/>
    <w:rsid w:val="0077047D"/>
    <w:rsid w:val="00774AF7"/>
    <w:rsid w:val="00776430"/>
    <w:rsid w:val="00780613"/>
    <w:rsid w:val="007939FB"/>
    <w:rsid w:val="00793F25"/>
    <w:rsid w:val="00797575"/>
    <w:rsid w:val="007B27F1"/>
    <w:rsid w:val="007B6BA5"/>
    <w:rsid w:val="007C3390"/>
    <w:rsid w:val="007C4F4B"/>
    <w:rsid w:val="007C66CD"/>
    <w:rsid w:val="007D306F"/>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0E85"/>
    <w:rsid w:val="00843767"/>
    <w:rsid w:val="008465D9"/>
    <w:rsid w:val="00851BD9"/>
    <w:rsid w:val="00854501"/>
    <w:rsid w:val="00856D9C"/>
    <w:rsid w:val="00864939"/>
    <w:rsid w:val="008679D9"/>
    <w:rsid w:val="00871389"/>
    <w:rsid w:val="00880848"/>
    <w:rsid w:val="00881174"/>
    <w:rsid w:val="00883999"/>
    <w:rsid w:val="008846AF"/>
    <w:rsid w:val="00887652"/>
    <w:rsid w:val="008878DE"/>
    <w:rsid w:val="0089179C"/>
    <w:rsid w:val="0089185A"/>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E0678"/>
    <w:rsid w:val="008E0DAA"/>
    <w:rsid w:val="008E4D3A"/>
    <w:rsid w:val="008E64A1"/>
    <w:rsid w:val="00914CB9"/>
    <w:rsid w:val="00915B7A"/>
    <w:rsid w:val="009223CA"/>
    <w:rsid w:val="00924790"/>
    <w:rsid w:val="009258F7"/>
    <w:rsid w:val="00926152"/>
    <w:rsid w:val="00927083"/>
    <w:rsid w:val="00936AE1"/>
    <w:rsid w:val="00940F93"/>
    <w:rsid w:val="0094558F"/>
    <w:rsid w:val="0095387D"/>
    <w:rsid w:val="0095508D"/>
    <w:rsid w:val="009606A0"/>
    <w:rsid w:val="00961690"/>
    <w:rsid w:val="00963AEA"/>
    <w:rsid w:val="009760F3"/>
    <w:rsid w:val="0098203C"/>
    <w:rsid w:val="0098348F"/>
    <w:rsid w:val="009945EC"/>
    <w:rsid w:val="00995CC5"/>
    <w:rsid w:val="00997EE1"/>
    <w:rsid w:val="009A0995"/>
    <w:rsid w:val="009A0E8D"/>
    <w:rsid w:val="009A1137"/>
    <w:rsid w:val="009B1518"/>
    <w:rsid w:val="009B26E7"/>
    <w:rsid w:val="009C454F"/>
    <w:rsid w:val="009C4585"/>
    <w:rsid w:val="009D24F2"/>
    <w:rsid w:val="009D2A5B"/>
    <w:rsid w:val="009E1D8E"/>
    <w:rsid w:val="009E3D7F"/>
    <w:rsid w:val="009E3F42"/>
    <w:rsid w:val="009E42CA"/>
    <w:rsid w:val="009F0036"/>
    <w:rsid w:val="009F2B9A"/>
    <w:rsid w:val="00A00A3F"/>
    <w:rsid w:val="00A01489"/>
    <w:rsid w:val="00A04A9D"/>
    <w:rsid w:val="00A071BF"/>
    <w:rsid w:val="00A100B4"/>
    <w:rsid w:val="00A262DA"/>
    <w:rsid w:val="00A3009E"/>
    <w:rsid w:val="00A3026E"/>
    <w:rsid w:val="00A31F73"/>
    <w:rsid w:val="00A338F1"/>
    <w:rsid w:val="00A55B4D"/>
    <w:rsid w:val="00A72F22"/>
    <w:rsid w:val="00A7360F"/>
    <w:rsid w:val="00A748A6"/>
    <w:rsid w:val="00A749DD"/>
    <w:rsid w:val="00A769F4"/>
    <w:rsid w:val="00A776B4"/>
    <w:rsid w:val="00A8405F"/>
    <w:rsid w:val="00A94361"/>
    <w:rsid w:val="00AA293C"/>
    <w:rsid w:val="00AA66C0"/>
    <w:rsid w:val="00AB4A30"/>
    <w:rsid w:val="00AD44C2"/>
    <w:rsid w:val="00AD48FA"/>
    <w:rsid w:val="00AD6496"/>
    <w:rsid w:val="00AE400B"/>
    <w:rsid w:val="00B041F6"/>
    <w:rsid w:val="00B054F9"/>
    <w:rsid w:val="00B06A97"/>
    <w:rsid w:val="00B11BB4"/>
    <w:rsid w:val="00B15E5B"/>
    <w:rsid w:val="00B17311"/>
    <w:rsid w:val="00B22BC2"/>
    <w:rsid w:val="00B27FDF"/>
    <w:rsid w:val="00B30179"/>
    <w:rsid w:val="00B36690"/>
    <w:rsid w:val="00B421C1"/>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A2681"/>
    <w:rsid w:val="00BA5D18"/>
    <w:rsid w:val="00BA639E"/>
    <w:rsid w:val="00BB20C7"/>
    <w:rsid w:val="00BB45BD"/>
    <w:rsid w:val="00BB7CD1"/>
    <w:rsid w:val="00BC3FA0"/>
    <w:rsid w:val="00BC72A6"/>
    <w:rsid w:val="00BC74E9"/>
    <w:rsid w:val="00BE485B"/>
    <w:rsid w:val="00BE48E6"/>
    <w:rsid w:val="00BF15A1"/>
    <w:rsid w:val="00BF68A8"/>
    <w:rsid w:val="00C008A1"/>
    <w:rsid w:val="00C10FE6"/>
    <w:rsid w:val="00C11A03"/>
    <w:rsid w:val="00C1428F"/>
    <w:rsid w:val="00C22C0C"/>
    <w:rsid w:val="00C249A2"/>
    <w:rsid w:val="00C414BD"/>
    <w:rsid w:val="00C44E1C"/>
    <w:rsid w:val="00C4527F"/>
    <w:rsid w:val="00C463DD"/>
    <w:rsid w:val="00C467C9"/>
    <w:rsid w:val="00C4724C"/>
    <w:rsid w:val="00C54D0E"/>
    <w:rsid w:val="00C629A0"/>
    <w:rsid w:val="00C64629"/>
    <w:rsid w:val="00C73056"/>
    <w:rsid w:val="00C745C3"/>
    <w:rsid w:val="00CA55D3"/>
    <w:rsid w:val="00CA6B02"/>
    <w:rsid w:val="00CB3E03"/>
    <w:rsid w:val="00CC2832"/>
    <w:rsid w:val="00CC589C"/>
    <w:rsid w:val="00CD57D2"/>
    <w:rsid w:val="00CE4A8F"/>
    <w:rsid w:val="00CF4673"/>
    <w:rsid w:val="00D00610"/>
    <w:rsid w:val="00D139AC"/>
    <w:rsid w:val="00D14B9C"/>
    <w:rsid w:val="00D2031B"/>
    <w:rsid w:val="00D25FE2"/>
    <w:rsid w:val="00D318E2"/>
    <w:rsid w:val="00D34560"/>
    <w:rsid w:val="00D43252"/>
    <w:rsid w:val="00D451AF"/>
    <w:rsid w:val="00D47EEA"/>
    <w:rsid w:val="00D51497"/>
    <w:rsid w:val="00D550D4"/>
    <w:rsid w:val="00D5784E"/>
    <w:rsid w:val="00D65303"/>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28AC"/>
    <w:rsid w:val="00DB46A4"/>
    <w:rsid w:val="00DB6CA5"/>
    <w:rsid w:val="00DC1580"/>
    <w:rsid w:val="00DD1453"/>
    <w:rsid w:val="00DD630E"/>
    <w:rsid w:val="00DF4BE7"/>
    <w:rsid w:val="00E0232A"/>
    <w:rsid w:val="00E046DF"/>
    <w:rsid w:val="00E04B58"/>
    <w:rsid w:val="00E105CE"/>
    <w:rsid w:val="00E13B15"/>
    <w:rsid w:val="00E15557"/>
    <w:rsid w:val="00E219C9"/>
    <w:rsid w:val="00E27346"/>
    <w:rsid w:val="00E277A3"/>
    <w:rsid w:val="00E33FE2"/>
    <w:rsid w:val="00E36B96"/>
    <w:rsid w:val="00E471D5"/>
    <w:rsid w:val="00E51ED7"/>
    <w:rsid w:val="00E62184"/>
    <w:rsid w:val="00E64224"/>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6E41"/>
    <w:rsid w:val="00EA7989"/>
    <w:rsid w:val="00EB5944"/>
    <w:rsid w:val="00EC106A"/>
    <w:rsid w:val="00EC32A0"/>
    <w:rsid w:val="00ED7A2A"/>
    <w:rsid w:val="00EE6B3A"/>
    <w:rsid w:val="00EF1D7F"/>
    <w:rsid w:val="00EF7357"/>
    <w:rsid w:val="00F00EAB"/>
    <w:rsid w:val="00F01744"/>
    <w:rsid w:val="00F03A7B"/>
    <w:rsid w:val="00F227A6"/>
    <w:rsid w:val="00F24FB3"/>
    <w:rsid w:val="00F27D2C"/>
    <w:rsid w:val="00F31E5F"/>
    <w:rsid w:val="00F36773"/>
    <w:rsid w:val="00F36F0D"/>
    <w:rsid w:val="00F414C3"/>
    <w:rsid w:val="00F4272A"/>
    <w:rsid w:val="00F4495E"/>
    <w:rsid w:val="00F54F28"/>
    <w:rsid w:val="00F6100A"/>
    <w:rsid w:val="00F62BEC"/>
    <w:rsid w:val="00F66565"/>
    <w:rsid w:val="00F668C9"/>
    <w:rsid w:val="00F7550B"/>
    <w:rsid w:val="00F8017A"/>
    <w:rsid w:val="00F93781"/>
    <w:rsid w:val="00F93BFA"/>
    <w:rsid w:val="00FB0A9F"/>
    <w:rsid w:val="00FB4F94"/>
    <w:rsid w:val="00FB613B"/>
    <w:rsid w:val="00FB6973"/>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EE5EA"/>
  <w15:docId w15:val="{5F4A7E5E-1B59-4786-B724-299A6FD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4DB3-BEA5-4A07-B90F-7EDD862C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2019-02-18T10:03:00Z</cp:lastPrinted>
  <dcterms:created xsi:type="dcterms:W3CDTF">2019-05-09T14:58:00Z</dcterms:created>
  <dcterms:modified xsi:type="dcterms:W3CDTF">2019-05-09T14:59:00Z</dcterms:modified>
</cp:coreProperties>
</file>