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A91A7C" w14:paraId="5E6A9F82" w14:textId="77777777" w:rsidTr="005316B0">
        <w:trPr>
          <w:trHeight w:hRule="exact" w:val="851"/>
        </w:trPr>
        <w:tc>
          <w:tcPr>
            <w:tcW w:w="1276" w:type="dxa"/>
            <w:tcBorders>
              <w:bottom w:val="single" w:sz="4" w:space="0" w:color="auto"/>
            </w:tcBorders>
          </w:tcPr>
          <w:p w14:paraId="7F079824" w14:textId="77777777" w:rsidR="001433FD" w:rsidRPr="00A91A7C" w:rsidRDefault="001433FD" w:rsidP="0001207F">
            <w:pPr>
              <w:rPr>
                <w:lang w:val="fr-FR"/>
              </w:rPr>
            </w:pPr>
          </w:p>
        </w:tc>
        <w:tc>
          <w:tcPr>
            <w:tcW w:w="2268" w:type="dxa"/>
            <w:tcBorders>
              <w:bottom w:val="single" w:sz="4" w:space="0" w:color="auto"/>
            </w:tcBorders>
            <w:vAlign w:val="bottom"/>
          </w:tcPr>
          <w:p w14:paraId="6164A333" w14:textId="77777777" w:rsidR="001433FD" w:rsidRPr="00A91A7C" w:rsidRDefault="001433FD" w:rsidP="00222176">
            <w:pPr>
              <w:spacing w:after="80" w:line="300" w:lineRule="exact"/>
              <w:rPr>
                <w:sz w:val="28"/>
                <w:lang w:val="fr-FR"/>
              </w:rPr>
            </w:pPr>
            <w:r w:rsidRPr="00A91A7C">
              <w:rPr>
                <w:sz w:val="28"/>
                <w:lang w:val="fr-FR"/>
              </w:rPr>
              <w:t>Nations Unies</w:t>
            </w:r>
          </w:p>
        </w:tc>
        <w:tc>
          <w:tcPr>
            <w:tcW w:w="6095" w:type="dxa"/>
            <w:gridSpan w:val="2"/>
            <w:tcBorders>
              <w:bottom w:val="single" w:sz="4" w:space="0" w:color="auto"/>
            </w:tcBorders>
            <w:vAlign w:val="bottom"/>
          </w:tcPr>
          <w:p w14:paraId="6CD5BAC2" w14:textId="77777777" w:rsidR="001433FD" w:rsidRPr="00A91A7C" w:rsidRDefault="00991D87" w:rsidP="00991D87">
            <w:pPr>
              <w:jc w:val="right"/>
              <w:rPr>
                <w:lang w:val="fr-FR"/>
              </w:rPr>
            </w:pPr>
            <w:r w:rsidRPr="00A91A7C">
              <w:rPr>
                <w:sz w:val="40"/>
                <w:lang w:val="fr-FR"/>
              </w:rPr>
              <w:t>ECE</w:t>
            </w:r>
            <w:r w:rsidRPr="00A91A7C">
              <w:rPr>
                <w:lang w:val="fr-FR"/>
              </w:rPr>
              <w:t>/TRANS/WP.15/248</w:t>
            </w:r>
          </w:p>
        </w:tc>
      </w:tr>
      <w:tr w:rsidR="001433FD" w:rsidRPr="00A91A7C" w14:paraId="7171464B" w14:textId="77777777" w:rsidTr="00222176">
        <w:trPr>
          <w:trHeight w:hRule="exact" w:val="2835"/>
        </w:trPr>
        <w:tc>
          <w:tcPr>
            <w:tcW w:w="1276" w:type="dxa"/>
            <w:tcBorders>
              <w:top w:val="single" w:sz="4" w:space="0" w:color="auto"/>
              <w:bottom w:val="single" w:sz="12" w:space="0" w:color="auto"/>
            </w:tcBorders>
          </w:tcPr>
          <w:p w14:paraId="3B7621F5" w14:textId="77777777" w:rsidR="001433FD" w:rsidRPr="00A91A7C" w:rsidRDefault="001433FD" w:rsidP="00222176">
            <w:pPr>
              <w:spacing w:before="120"/>
              <w:jc w:val="center"/>
              <w:rPr>
                <w:lang w:val="fr-FR"/>
              </w:rPr>
            </w:pPr>
            <w:r w:rsidRPr="00A91A7C">
              <w:rPr>
                <w:noProof/>
                <w:lang w:val="fr-FR" w:eastAsia="fr-CH"/>
              </w:rPr>
              <w:drawing>
                <wp:inline distT="0" distB="0" distL="0" distR="0" wp14:anchorId="35CDC70E" wp14:editId="325A2799">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E0184C7" w14:textId="77777777" w:rsidR="001433FD" w:rsidRPr="00A91A7C" w:rsidRDefault="001433FD" w:rsidP="00222176">
            <w:pPr>
              <w:spacing w:before="120" w:line="420" w:lineRule="exact"/>
              <w:rPr>
                <w:b/>
                <w:sz w:val="40"/>
                <w:szCs w:val="40"/>
                <w:lang w:val="fr-FR"/>
              </w:rPr>
            </w:pPr>
            <w:r w:rsidRPr="00A91A7C">
              <w:rPr>
                <w:b/>
                <w:sz w:val="40"/>
                <w:szCs w:val="40"/>
                <w:lang w:val="fr-FR"/>
              </w:rPr>
              <w:t>Conseil économique et social</w:t>
            </w:r>
          </w:p>
        </w:tc>
        <w:tc>
          <w:tcPr>
            <w:tcW w:w="2835" w:type="dxa"/>
            <w:tcBorders>
              <w:top w:val="single" w:sz="4" w:space="0" w:color="auto"/>
              <w:bottom w:val="single" w:sz="12" w:space="0" w:color="auto"/>
            </w:tcBorders>
          </w:tcPr>
          <w:p w14:paraId="5B4F98CA" w14:textId="77777777" w:rsidR="0001207F" w:rsidRPr="00A91A7C" w:rsidRDefault="00991D87" w:rsidP="00991D87">
            <w:pPr>
              <w:spacing w:before="240" w:line="240" w:lineRule="exact"/>
              <w:rPr>
                <w:lang w:val="fr-FR"/>
              </w:rPr>
            </w:pPr>
            <w:proofErr w:type="spellStart"/>
            <w:r w:rsidRPr="00A91A7C">
              <w:rPr>
                <w:lang w:val="fr-FR"/>
              </w:rPr>
              <w:t>Distr</w:t>
            </w:r>
            <w:proofErr w:type="spellEnd"/>
            <w:r w:rsidRPr="00A91A7C">
              <w:rPr>
                <w:lang w:val="fr-FR"/>
              </w:rPr>
              <w:t xml:space="preserve">. </w:t>
            </w:r>
            <w:proofErr w:type="gramStart"/>
            <w:r w:rsidRPr="00A91A7C">
              <w:rPr>
                <w:lang w:val="fr-FR"/>
              </w:rPr>
              <w:t>générale</w:t>
            </w:r>
            <w:proofErr w:type="gramEnd"/>
          </w:p>
          <w:p w14:paraId="17A556B3" w14:textId="7A05D79F" w:rsidR="00991D87" w:rsidRPr="00A91A7C" w:rsidRDefault="007F4934" w:rsidP="00991D87">
            <w:pPr>
              <w:spacing w:line="240" w:lineRule="exact"/>
              <w:rPr>
                <w:lang w:val="fr-FR"/>
              </w:rPr>
            </w:pPr>
            <w:r w:rsidRPr="00A91A7C">
              <w:rPr>
                <w:lang w:val="fr-FR"/>
              </w:rPr>
              <w:t>2</w:t>
            </w:r>
            <w:r w:rsidR="00712126">
              <w:rPr>
                <w:lang w:val="fr-FR"/>
              </w:rPr>
              <w:t>6</w:t>
            </w:r>
            <w:r w:rsidR="00991D87" w:rsidRPr="00A91A7C">
              <w:rPr>
                <w:lang w:val="fr-FR"/>
              </w:rPr>
              <w:t xml:space="preserve"> novembre 2019</w:t>
            </w:r>
          </w:p>
          <w:p w14:paraId="3CFBD849" w14:textId="77777777" w:rsidR="00991D87" w:rsidRPr="00A91A7C" w:rsidRDefault="00991D87" w:rsidP="00991D87">
            <w:pPr>
              <w:spacing w:line="240" w:lineRule="exact"/>
              <w:rPr>
                <w:lang w:val="fr-FR"/>
              </w:rPr>
            </w:pPr>
          </w:p>
          <w:p w14:paraId="24A53865" w14:textId="77777777" w:rsidR="00991D87" w:rsidRPr="00A91A7C" w:rsidRDefault="00991D87" w:rsidP="00991D87">
            <w:pPr>
              <w:spacing w:line="240" w:lineRule="exact"/>
              <w:rPr>
                <w:lang w:val="fr-FR"/>
              </w:rPr>
            </w:pPr>
            <w:r w:rsidRPr="00A91A7C">
              <w:rPr>
                <w:lang w:val="fr-FR"/>
              </w:rPr>
              <w:t>Original : français</w:t>
            </w:r>
          </w:p>
        </w:tc>
      </w:tr>
    </w:tbl>
    <w:p w14:paraId="21A28FA7" w14:textId="77777777" w:rsidR="00321705" w:rsidRPr="00A91A7C" w:rsidRDefault="00321705" w:rsidP="00321705">
      <w:pPr>
        <w:spacing w:before="120"/>
        <w:rPr>
          <w:b/>
          <w:sz w:val="28"/>
          <w:szCs w:val="28"/>
          <w:lang w:val="fr-FR"/>
        </w:rPr>
      </w:pPr>
      <w:r w:rsidRPr="00A91A7C">
        <w:rPr>
          <w:b/>
          <w:sz w:val="28"/>
          <w:szCs w:val="28"/>
          <w:lang w:val="fr-FR"/>
        </w:rPr>
        <w:t>Commission économique pour l’Europe</w:t>
      </w:r>
    </w:p>
    <w:p w14:paraId="746DBC6D" w14:textId="77777777" w:rsidR="00321705" w:rsidRPr="00A91A7C" w:rsidRDefault="00321705" w:rsidP="00321705">
      <w:pPr>
        <w:spacing w:before="120"/>
        <w:rPr>
          <w:sz w:val="28"/>
          <w:szCs w:val="28"/>
          <w:lang w:val="fr-FR"/>
        </w:rPr>
      </w:pPr>
      <w:r w:rsidRPr="00A91A7C">
        <w:rPr>
          <w:sz w:val="28"/>
          <w:szCs w:val="28"/>
          <w:lang w:val="fr-FR"/>
        </w:rPr>
        <w:t>Comité des transports intérieurs</w:t>
      </w:r>
    </w:p>
    <w:p w14:paraId="30E29BBB" w14:textId="77777777" w:rsidR="00321705" w:rsidRPr="00A91A7C" w:rsidRDefault="00321705" w:rsidP="00321705">
      <w:pPr>
        <w:spacing w:before="120"/>
        <w:rPr>
          <w:b/>
          <w:sz w:val="24"/>
          <w:szCs w:val="24"/>
          <w:lang w:val="fr-FR"/>
        </w:rPr>
      </w:pPr>
      <w:r w:rsidRPr="00A91A7C">
        <w:rPr>
          <w:b/>
          <w:sz w:val="24"/>
          <w:szCs w:val="24"/>
          <w:lang w:val="fr-FR"/>
        </w:rPr>
        <w:t>Groupe de travail des transports de marchandises dangereuses</w:t>
      </w:r>
    </w:p>
    <w:p w14:paraId="007D31C6" w14:textId="77777777" w:rsidR="00321705" w:rsidRPr="00A91A7C" w:rsidRDefault="00321705" w:rsidP="00321705">
      <w:pPr>
        <w:spacing w:before="120"/>
        <w:rPr>
          <w:b/>
          <w:lang w:val="fr-FR"/>
        </w:rPr>
      </w:pPr>
      <w:r w:rsidRPr="00A91A7C">
        <w:rPr>
          <w:b/>
          <w:lang w:val="fr-FR"/>
        </w:rPr>
        <w:t>107</w:t>
      </w:r>
      <w:r w:rsidRPr="00A91A7C">
        <w:rPr>
          <w:b/>
          <w:vertAlign w:val="superscript"/>
          <w:lang w:val="fr-FR"/>
        </w:rPr>
        <w:t>e</w:t>
      </w:r>
      <w:r w:rsidRPr="00A91A7C">
        <w:rPr>
          <w:b/>
          <w:lang w:val="fr-FR"/>
        </w:rPr>
        <w:t> session</w:t>
      </w:r>
    </w:p>
    <w:p w14:paraId="5DEB2E6D" w14:textId="77777777" w:rsidR="00321705" w:rsidRPr="00A91A7C" w:rsidRDefault="00321705" w:rsidP="00321705">
      <w:pPr>
        <w:rPr>
          <w:lang w:val="fr-FR"/>
        </w:rPr>
      </w:pPr>
      <w:r w:rsidRPr="00A91A7C">
        <w:rPr>
          <w:lang w:val="fr-FR"/>
        </w:rPr>
        <w:t>Genève, 11-15 novembre 2019</w:t>
      </w:r>
    </w:p>
    <w:p w14:paraId="2260FFF7" w14:textId="77777777" w:rsidR="00321705" w:rsidRPr="00A91A7C" w:rsidRDefault="00321705" w:rsidP="00321705">
      <w:pPr>
        <w:pStyle w:val="HChG"/>
        <w:rPr>
          <w:lang w:val="fr-FR"/>
        </w:rPr>
      </w:pPr>
      <w:r w:rsidRPr="00A91A7C">
        <w:rPr>
          <w:lang w:val="fr-FR"/>
        </w:rPr>
        <w:tab/>
      </w:r>
      <w:r w:rsidRPr="00A91A7C">
        <w:rPr>
          <w:lang w:val="fr-FR"/>
        </w:rPr>
        <w:tab/>
        <w:t>Rapport du Groupe de travail sur sa 107</w:t>
      </w:r>
      <w:r w:rsidRPr="00A91A7C">
        <w:rPr>
          <w:vertAlign w:val="superscript"/>
          <w:lang w:val="fr-FR"/>
        </w:rPr>
        <w:t>e</w:t>
      </w:r>
      <w:r w:rsidRPr="00A91A7C">
        <w:rPr>
          <w:lang w:val="fr-FR"/>
        </w:rPr>
        <w:t xml:space="preserve"> session</w:t>
      </w:r>
      <w:bookmarkStart w:id="0" w:name="_Toc499903628"/>
      <w:bookmarkEnd w:id="0"/>
    </w:p>
    <w:p w14:paraId="7E48690A" w14:textId="77777777" w:rsidR="00321705" w:rsidRPr="00A91A7C" w:rsidRDefault="00321705" w:rsidP="00321705">
      <w:pPr>
        <w:pStyle w:val="H56G"/>
        <w:rPr>
          <w:lang w:val="fr-FR"/>
        </w:rPr>
      </w:pPr>
      <w:r w:rsidRPr="00A91A7C">
        <w:rPr>
          <w:lang w:val="fr-FR"/>
        </w:rPr>
        <w:tab/>
      </w:r>
      <w:r w:rsidRPr="00A91A7C">
        <w:rPr>
          <w:lang w:val="fr-FR"/>
        </w:rPr>
        <w:tab/>
      </w:r>
      <w:proofErr w:type="gramStart"/>
      <w:r w:rsidRPr="00A91A7C">
        <w:rPr>
          <w:lang w:val="fr-FR"/>
        </w:rPr>
        <w:t>tenue</w:t>
      </w:r>
      <w:proofErr w:type="gramEnd"/>
      <w:r w:rsidRPr="00A91A7C">
        <w:rPr>
          <w:lang w:val="fr-FR"/>
        </w:rPr>
        <w:t xml:space="preserve"> à Genève du 11 au 15 novembre 2019</w:t>
      </w:r>
    </w:p>
    <w:p w14:paraId="3AF29B52" w14:textId="04F2A850" w:rsidR="00321705" w:rsidRDefault="00321705" w:rsidP="00321705">
      <w:pPr>
        <w:spacing w:after="120"/>
        <w:rPr>
          <w:sz w:val="28"/>
          <w:lang w:val="fr-FR"/>
        </w:rPr>
      </w:pPr>
      <w:r w:rsidRPr="00A91A7C">
        <w:rPr>
          <w:sz w:val="28"/>
          <w:lang w:val="fr-FR"/>
        </w:rPr>
        <w:t>Table des matières</w:t>
      </w:r>
    </w:p>
    <w:p w14:paraId="69D00966" w14:textId="77777777" w:rsidR="00AF3928" w:rsidRDefault="00AF3928" w:rsidP="00AF3928">
      <w:pPr>
        <w:tabs>
          <w:tab w:val="right" w:pos="850"/>
          <w:tab w:val="right" w:leader="dot" w:pos="7654"/>
          <w:tab w:val="right" w:pos="8929"/>
          <w:tab w:val="right" w:pos="9638"/>
        </w:tabs>
        <w:spacing w:after="120"/>
        <w:ind w:left="1134" w:hanging="1134"/>
      </w:pPr>
      <w:r>
        <w:tab/>
        <w:t>I.</w:t>
      </w:r>
      <w:r>
        <w:tab/>
      </w:r>
      <w:r>
        <w:rPr>
          <w:lang w:val="fr-FR"/>
        </w:rPr>
        <w:t>Participation</w:t>
      </w:r>
      <w:r>
        <w:tab/>
      </w:r>
      <w:r>
        <w:tab/>
        <w:t>1−6</w:t>
      </w:r>
      <w:r>
        <w:tab/>
        <w:t>3</w:t>
      </w:r>
    </w:p>
    <w:p w14:paraId="6D057694" w14:textId="77777777" w:rsidR="00AF3928" w:rsidRDefault="00AF3928" w:rsidP="00AF3928">
      <w:pPr>
        <w:tabs>
          <w:tab w:val="right" w:pos="850"/>
          <w:tab w:val="right" w:leader="dot" w:pos="7654"/>
          <w:tab w:val="right" w:pos="8929"/>
          <w:tab w:val="right" w:pos="9638"/>
        </w:tabs>
        <w:spacing w:after="120"/>
        <w:ind w:left="1134" w:hanging="1134"/>
      </w:pPr>
      <w:r>
        <w:tab/>
        <w:t>II.</w:t>
      </w:r>
      <w:r>
        <w:tab/>
      </w:r>
      <w:r>
        <w:rPr>
          <w:lang w:val="fr-FR"/>
        </w:rPr>
        <w:t>Adoption de l’ordre du jour (point 1 de l’ordre du jour)</w:t>
      </w:r>
      <w:r>
        <w:tab/>
      </w:r>
      <w:r>
        <w:tab/>
        <w:t>7</w:t>
      </w:r>
      <w:r>
        <w:tab/>
        <w:t>3</w:t>
      </w:r>
    </w:p>
    <w:p w14:paraId="05A2F485" w14:textId="77777777" w:rsidR="00AF3928" w:rsidRDefault="00AF3928" w:rsidP="00AF3928">
      <w:pPr>
        <w:tabs>
          <w:tab w:val="right" w:pos="850"/>
          <w:tab w:val="right" w:leader="dot" w:pos="7654"/>
          <w:tab w:val="right" w:pos="8929"/>
          <w:tab w:val="right" w:pos="9638"/>
        </w:tabs>
        <w:spacing w:after="120"/>
        <w:ind w:left="1134" w:hanging="1134"/>
      </w:pPr>
      <w:r>
        <w:tab/>
        <w:t>III.</w:t>
      </w:r>
      <w:r>
        <w:tab/>
      </w:r>
      <w:r>
        <w:rPr>
          <w:lang w:val="fr-FR"/>
        </w:rPr>
        <w:t xml:space="preserve">Quatre-vingt-unième session du Comité des transports intérieurs </w:t>
      </w:r>
      <w:r>
        <w:rPr>
          <w:lang w:val="fr-FR"/>
        </w:rPr>
        <w:br/>
        <w:t>(point 2 de l’ordre du jour)</w:t>
      </w:r>
      <w:r>
        <w:tab/>
      </w:r>
      <w:r>
        <w:tab/>
        <w:t>8−15</w:t>
      </w:r>
      <w:r>
        <w:tab/>
        <w:t>3</w:t>
      </w:r>
    </w:p>
    <w:p w14:paraId="578B4365" w14:textId="77777777" w:rsidR="00AF3928" w:rsidRDefault="00AF3928" w:rsidP="00AF3928">
      <w:pPr>
        <w:tabs>
          <w:tab w:val="right" w:leader="dot" w:pos="7654"/>
          <w:tab w:val="right" w:pos="8929"/>
          <w:tab w:val="right" w:pos="9638"/>
        </w:tabs>
        <w:spacing w:after="120"/>
        <w:ind w:left="1559" w:hanging="425"/>
      </w:pPr>
      <w:r>
        <w:t>A.</w:t>
      </w:r>
      <w:r>
        <w:tab/>
      </w:r>
      <w:r>
        <w:rPr>
          <w:lang w:val="fr-FR"/>
        </w:rPr>
        <w:t xml:space="preserve">Rapport du Comité des transports intérieurs (CTI) sur </w:t>
      </w:r>
      <w:r>
        <w:rPr>
          <w:lang w:val="fr-FR"/>
        </w:rPr>
        <w:br/>
        <w:t>sa quatre-vingtième session</w:t>
      </w:r>
      <w:r>
        <w:tab/>
      </w:r>
      <w:r>
        <w:tab/>
        <w:t>8</w:t>
      </w:r>
      <w:r>
        <w:tab/>
        <w:t>3</w:t>
      </w:r>
    </w:p>
    <w:p w14:paraId="14A5528F" w14:textId="77777777" w:rsidR="00AF3928" w:rsidRDefault="00AF3928" w:rsidP="00AF3928">
      <w:pPr>
        <w:tabs>
          <w:tab w:val="right" w:leader="dot" w:pos="7654"/>
          <w:tab w:val="right" w:pos="8929"/>
          <w:tab w:val="right" w:pos="9638"/>
        </w:tabs>
        <w:spacing w:after="120"/>
        <w:ind w:left="1559" w:hanging="425"/>
      </w:pPr>
      <w:r>
        <w:t>B.</w:t>
      </w:r>
      <w:r>
        <w:tab/>
      </w:r>
      <w:r>
        <w:rPr>
          <w:lang w:val="fr-FR"/>
        </w:rPr>
        <w:t>Stratégie du CTI jusqu'en 2030 et projet de recommandations</w:t>
      </w:r>
      <w:r>
        <w:tab/>
      </w:r>
      <w:r>
        <w:tab/>
        <w:t>9−15</w:t>
      </w:r>
      <w:r>
        <w:tab/>
        <w:t>3</w:t>
      </w:r>
    </w:p>
    <w:p w14:paraId="255CFBC3" w14:textId="77777777" w:rsidR="00AF3928" w:rsidRDefault="00AF3928" w:rsidP="00AF3928">
      <w:pPr>
        <w:tabs>
          <w:tab w:val="right" w:pos="850"/>
          <w:tab w:val="right" w:leader="dot" w:pos="7654"/>
          <w:tab w:val="right" w:pos="8929"/>
          <w:tab w:val="right" w:pos="9638"/>
        </w:tabs>
        <w:spacing w:after="120"/>
        <w:ind w:left="1134" w:hanging="1134"/>
      </w:pPr>
      <w:r>
        <w:tab/>
        <w:t>IV.</w:t>
      </w:r>
      <w:r>
        <w:tab/>
      </w:r>
      <w:r>
        <w:rPr>
          <w:spacing w:val="-2"/>
          <w:lang w:val="fr-FR"/>
        </w:rPr>
        <w:t xml:space="preserve">État de l’Accord européen relatif au transport international des marchandises </w:t>
      </w:r>
      <w:r>
        <w:rPr>
          <w:spacing w:val="-2"/>
          <w:lang w:val="fr-FR"/>
        </w:rPr>
        <w:br/>
        <w:t>dangereuses par route (ADR) et questions connexes (point 3 de l’ordre du jour)</w:t>
      </w:r>
      <w:r>
        <w:tab/>
      </w:r>
      <w:r>
        <w:tab/>
        <w:t>16-17</w:t>
      </w:r>
      <w:r>
        <w:tab/>
        <w:t>4</w:t>
      </w:r>
    </w:p>
    <w:p w14:paraId="7B332A13" w14:textId="77777777" w:rsidR="00AF3928" w:rsidRDefault="00AF3928" w:rsidP="00AF3928">
      <w:pPr>
        <w:tabs>
          <w:tab w:val="right" w:pos="850"/>
          <w:tab w:val="right" w:leader="dot" w:pos="7654"/>
          <w:tab w:val="right" w:pos="8929"/>
          <w:tab w:val="right" w:pos="9638"/>
        </w:tabs>
        <w:spacing w:after="120"/>
        <w:ind w:left="1134" w:hanging="1134"/>
      </w:pPr>
      <w:r>
        <w:tab/>
        <w:t>V.</w:t>
      </w:r>
      <w:r>
        <w:tab/>
      </w:r>
      <w:r>
        <w:rPr>
          <w:lang w:val="fr-FR"/>
        </w:rPr>
        <w:t>Travaux de la Réunion commune RID/ADR/ADN (point 4 de l’ordre du jour)</w:t>
      </w:r>
      <w:r>
        <w:tab/>
      </w:r>
      <w:r>
        <w:tab/>
        <w:t>18-30</w:t>
      </w:r>
      <w:r>
        <w:tab/>
        <w:t>5</w:t>
      </w:r>
    </w:p>
    <w:p w14:paraId="74E20A9E" w14:textId="77777777" w:rsidR="00AF3928" w:rsidRDefault="00AF3928" w:rsidP="00AF3928">
      <w:pPr>
        <w:tabs>
          <w:tab w:val="right" w:leader="dot" w:pos="7654"/>
          <w:tab w:val="right" w:pos="8929"/>
          <w:tab w:val="right" w:pos="9638"/>
        </w:tabs>
        <w:spacing w:after="120"/>
        <w:ind w:left="1559" w:hanging="425"/>
      </w:pPr>
      <w:r>
        <w:t>A.</w:t>
      </w:r>
      <w:r>
        <w:tab/>
      </w:r>
      <w:r>
        <w:rPr>
          <w:lang w:val="fr-FR"/>
        </w:rPr>
        <w:t>Généralités</w:t>
      </w:r>
      <w:r>
        <w:tab/>
      </w:r>
      <w:r>
        <w:tab/>
        <w:t>18</w:t>
      </w:r>
      <w:r>
        <w:tab/>
        <w:t>5</w:t>
      </w:r>
    </w:p>
    <w:p w14:paraId="1EBE4902" w14:textId="77777777" w:rsidR="00AF3928" w:rsidRDefault="00AF3928" w:rsidP="00AF3928">
      <w:pPr>
        <w:tabs>
          <w:tab w:val="right" w:leader="dot" w:pos="7654"/>
          <w:tab w:val="right" w:pos="8929"/>
          <w:tab w:val="right" w:pos="9638"/>
        </w:tabs>
        <w:spacing w:after="120"/>
        <w:ind w:left="1559" w:hanging="425"/>
      </w:pPr>
      <w:r>
        <w:t>B.</w:t>
      </w:r>
      <w:r>
        <w:tab/>
      </w:r>
      <w:r>
        <w:rPr>
          <w:lang w:val="fr-FR"/>
        </w:rPr>
        <w:t>Questions spécifiques</w:t>
      </w:r>
      <w:r>
        <w:tab/>
      </w:r>
      <w:r>
        <w:tab/>
        <w:t>19−30</w:t>
      </w:r>
      <w:r>
        <w:tab/>
        <w:t>5</w:t>
      </w:r>
    </w:p>
    <w:p w14:paraId="0503A414" w14:textId="77777777" w:rsidR="00AF3928" w:rsidRDefault="00AF3928" w:rsidP="00AF3928">
      <w:pPr>
        <w:tabs>
          <w:tab w:val="right" w:leader="dot" w:pos="7654"/>
          <w:tab w:val="right" w:pos="8929"/>
          <w:tab w:val="right" w:pos="9638"/>
        </w:tabs>
        <w:spacing w:after="120"/>
        <w:ind w:left="1984" w:hanging="425"/>
      </w:pPr>
      <w:r>
        <w:t>1.</w:t>
      </w:r>
      <w:r>
        <w:tab/>
      </w:r>
      <w:r>
        <w:rPr>
          <w:lang w:val="fr-FR"/>
        </w:rPr>
        <w:t xml:space="preserve">Travaux du groupe de travail informel de la Réunion commune </w:t>
      </w:r>
      <w:r>
        <w:rPr>
          <w:lang w:val="fr-FR"/>
        </w:rPr>
        <w:br/>
        <w:t>sur les contrôles et la certification des citernes</w:t>
      </w:r>
      <w:r>
        <w:tab/>
      </w:r>
      <w:r>
        <w:tab/>
        <w:t>19-20</w:t>
      </w:r>
      <w:r>
        <w:tab/>
        <w:t>5</w:t>
      </w:r>
    </w:p>
    <w:p w14:paraId="77BA3847" w14:textId="77777777" w:rsidR="00AF3928" w:rsidRDefault="00AF3928" w:rsidP="00AF3928">
      <w:pPr>
        <w:tabs>
          <w:tab w:val="right" w:leader="dot" w:pos="7654"/>
          <w:tab w:val="right" w:pos="8929"/>
          <w:tab w:val="right" w:pos="9638"/>
        </w:tabs>
        <w:spacing w:after="120"/>
        <w:ind w:left="1984" w:hanging="425"/>
      </w:pPr>
      <w:r>
        <w:t>2.</w:t>
      </w:r>
      <w:r>
        <w:tab/>
      </w:r>
      <w:r>
        <w:rPr>
          <w:lang w:val="fr-FR"/>
        </w:rPr>
        <w:t>Référence à l’instruction d’emballage P801 dans l’instruction d’emballage</w:t>
      </w:r>
      <w:r>
        <w:rPr>
          <w:lang w:val="fr-FR"/>
        </w:rPr>
        <w:br/>
        <w:t>P003, disposition spéciale d’emballage PP16</w:t>
      </w:r>
      <w:r>
        <w:tab/>
      </w:r>
      <w:r>
        <w:tab/>
        <w:t>21-22</w:t>
      </w:r>
      <w:r>
        <w:tab/>
        <w:t>5</w:t>
      </w:r>
    </w:p>
    <w:p w14:paraId="3E0DF1A8" w14:textId="77777777" w:rsidR="00AF3928" w:rsidRDefault="00AF3928" w:rsidP="00AF3928">
      <w:pPr>
        <w:tabs>
          <w:tab w:val="right" w:leader="dot" w:pos="7654"/>
          <w:tab w:val="right" w:pos="8929"/>
          <w:tab w:val="right" w:pos="9638"/>
        </w:tabs>
        <w:spacing w:after="120"/>
        <w:ind w:left="1984" w:hanging="425"/>
      </w:pPr>
      <w:r>
        <w:t>3.</w:t>
      </w:r>
      <w:r>
        <w:tab/>
      </w:r>
      <w:r>
        <w:rPr>
          <w:lang w:val="fr-FR"/>
        </w:rPr>
        <w:t>Lignes directrices pour l’application du paragraphe 5.4.0.2</w:t>
      </w:r>
      <w:r>
        <w:tab/>
      </w:r>
      <w:r>
        <w:tab/>
        <w:t>23-24</w:t>
      </w:r>
      <w:r>
        <w:tab/>
        <w:t>5</w:t>
      </w:r>
    </w:p>
    <w:p w14:paraId="37FC893B" w14:textId="77777777" w:rsidR="00AF3928" w:rsidRDefault="00AF3928" w:rsidP="00AF3928">
      <w:pPr>
        <w:tabs>
          <w:tab w:val="right" w:leader="dot" w:pos="7654"/>
          <w:tab w:val="right" w:pos="8929"/>
          <w:tab w:val="right" w:pos="9638"/>
        </w:tabs>
        <w:spacing w:after="120"/>
        <w:ind w:left="1984" w:hanging="425"/>
      </w:pPr>
      <w:r>
        <w:t>4.</w:t>
      </w:r>
      <w:r>
        <w:tab/>
      </w:r>
      <w:r>
        <w:rPr>
          <w:lang w:val="fr-FR"/>
        </w:rPr>
        <w:t>Emballages pour le No ONU 3549</w:t>
      </w:r>
      <w:r>
        <w:tab/>
      </w:r>
      <w:r>
        <w:tab/>
        <w:t>25-27</w:t>
      </w:r>
      <w:r>
        <w:tab/>
        <w:t>6</w:t>
      </w:r>
    </w:p>
    <w:p w14:paraId="6E29760C" w14:textId="77777777" w:rsidR="00AF3928" w:rsidRDefault="00AF3928" w:rsidP="00AF3928">
      <w:pPr>
        <w:tabs>
          <w:tab w:val="right" w:leader="dot" w:pos="7654"/>
          <w:tab w:val="right" w:pos="8929"/>
          <w:tab w:val="right" w:pos="9638"/>
        </w:tabs>
        <w:spacing w:after="120"/>
        <w:ind w:left="1984" w:hanging="425"/>
      </w:pPr>
      <w:r>
        <w:t>5.</w:t>
      </w:r>
      <w:r>
        <w:tab/>
      </w:r>
      <w:r>
        <w:rPr>
          <w:lang w:val="fr-FR"/>
        </w:rPr>
        <w:t>Changement des produits chargés dans des véhicules-citernes</w:t>
      </w:r>
      <w:r>
        <w:tab/>
      </w:r>
      <w:r>
        <w:tab/>
        <w:t>28-30</w:t>
      </w:r>
      <w:r>
        <w:tab/>
        <w:t>6</w:t>
      </w:r>
    </w:p>
    <w:p w14:paraId="47A28D7D" w14:textId="77777777" w:rsidR="00AF3928" w:rsidRDefault="00AF3928" w:rsidP="00AF3928">
      <w:pPr>
        <w:tabs>
          <w:tab w:val="right" w:pos="850"/>
          <w:tab w:val="right" w:leader="dot" w:pos="7654"/>
          <w:tab w:val="right" w:pos="8929"/>
          <w:tab w:val="right" w:pos="9638"/>
        </w:tabs>
        <w:spacing w:after="120"/>
        <w:ind w:left="1134" w:hanging="1134"/>
      </w:pPr>
      <w:r>
        <w:tab/>
        <w:t>VI.</w:t>
      </w:r>
      <w:r>
        <w:tab/>
      </w:r>
      <w:r>
        <w:rPr>
          <w:lang w:val="fr-FR"/>
        </w:rPr>
        <w:t xml:space="preserve">Propositions d’amendement aux annexes A et B de l’ADR </w:t>
      </w:r>
      <w:r>
        <w:rPr>
          <w:lang w:val="fr-FR"/>
        </w:rPr>
        <w:br/>
        <w:t>(point 5 de l’ordre du jour)</w:t>
      </w:r>
      <w:r>
        <w:tab/>
      </w:r>
      <w:r>
        <w:tab/>
        <w:t>31-63</w:t>
      </w:r>
      <w:r>
        <w:tab/>
        <w:t>6</w:t>
      </w:r>
    </w:p>
    <w:p w14:paraId="421ADA3D" w14:textId="77777777" w:rsidR="00AF3928" w:rsidRDefault="00AF3928" w:rsidP="00AF3928">
      <w:pPr>
        <w:tabs>
          <w:tab w:val="right" w:leader="dot" w:pos="7654"/>
          <w:tab w:val="right" w:pos="8929"/>
          <w:tab w:val="right" w:pos="9638"/>
        </w:tabs>
        <w:spacing w:after="120"/>
        <w:ind w:left="1559" w:hanging="425"/>
      </w:pPr>
      <w:r>
        <w:t>A.</w:t>
      </w:r>
      <w:r>
        <w:tab/>
      </w:r>
      <w:r>
        <w:rPr>
          <w:lang w:val="fr-FR"/>
        </w:rPr>
        <w:t>Construction et homologation des véhicules</w:t>
      </w:r>
      <w:r>
        <w:tab/>
      </w:r>
      <w:r>
        <w:tab/>
        <w:t>31-39</w:t>
      </w:r>
      <w:r>
        <w:tab/>
        <w:t>6</w:t>
      </w:r>
    </w:p>
    <w:p w14:paraId="1B332A3B" w14:textId="77777777" w:rsidR="00AF3928" w:rsidRDefault="00AF3928" w:rsidP="00AF3928">
      <w:pPr>
        <w:tabs>
          <w:tab w:val="right" w:leader="dot" w:pos="7654"/>
          <w:tab w:val="right" w:pos="8929"/>
          <w:tab w:val="right" w:pos="9638"/>
        </w:tabs>
        <w:spacing w:after="120"/>
        <w:ind w:left="1984" w:hanging="425"/>
        <w:rPr>
          <w:lang w:val="fr-FR"/>
        </w:rPr>
      </w:pPr>
      <w:r>
        <w:t>1.</w:t>
      </w:r>
      <w:r>
        <w:tab/>
      </w:r>
      <w:r>
        <w:rPr>
          <w:lang w:val="fr-FR"/>
        </w:rPr>
        <w:t>Groupe de travail informel pour la clarification du 9.3.4.2</w:t>
      </w:r>
      <w:r>
        <w:rPr>
          <w:lang w:val="fr-FR"/>
        </w:rPr>
        <w:tab/>
      </w:r>
      <w:r>
        <w:rPr>
          <w:lang w:val="fr-FR"/>
        </w:rPr>
        <w:tab/>
        <w:t>31-33</w:t>
      </w:r>
      <w:r>
        <w:rPr>
          <w:lang w:val="fr-FR"/>
        </w:rPr>
        <w:tab/>
        <w:t>6</w:t>
      </w:r>
    </w:p>
    <w:p w14:paraId="14E7EBA2" w14:textId="77777777" w:rsidR="00AF3928" w:rsidRDefault="00AF3928" w:rsidP="00AF3928">
      <w:pPr>
        <w:tabs>
          <w:tab w:val="right" w:leader="dot" w:pos="7654"/>
          <w:tab w:val="right" w:pos="8929"/>
          <w:tab w:val="right" w:pos="9638"/>
        </w:tabs>
        <w:spacing w:after="120"/>
        <w:ind w:left="1984" w:hanging="425"/>
      </w:pPr>
      <w:r>
        <w:lastRenderedPageBreak/>
        <w:t>2.</w:t>
      </w:r>
      <w:r>
        <w:tab/>
      </w:r>
      <w:r>
        <w:rPr>
          <w:lang w:val="fr-FR"/>
        </w:rPr>
        <w:t xml:space="preserve">Utilisation de véhicules électriques et de véhicules hybrides électriques </w:t>
      </w:r>
      <w:r>
        <w:rPr>
          <w:lang w:val="fr-FR"/>
        </w:rPr>
        <w:br/>
        <w:t>pour le transport de marchandises dangereuses</w:t>
      </w:r>
      <w:r>
        <w:tab/>
      </w:r>
      <w:r>
        <w:tab/>
        <w:t>34-36</w:t>
      </w:r>
      <w:r>
        <w:tab/>
        <w:t>7</w:t>
      </w:r>
    </w:p>
    <w:p w14:paraId="2047634C" w14:textId="77777777" w:rsidR="00AF3928" w:rsidRDefault="00AF3928" w:rsidP="00AF3928">
      <w:pPr>
        <w:tabs>
          <w:tab w:val="right" w:leader="dot" w:pos="7654"/>
          <w:tab w:val="right" w:pos="8929"/>
          <w:tab w:val="right" w:pos="9638"/>
        </w:tabs>
        <w:spacing w:after="120"/>
        <w:ind w:left="1984" w:hanging="425"/>
      </w:pPr>
      <w:r>
        <w:t>3.</w:t>
      </w:r>
      <w:r>
        <w:tab/>
      </w:r>
      <w:r>
        <w:rPr>
          <w:lang w:val="fr-FR"/>
        </w:rPr>
        <w:t>Mise en œuvre des prescriptions du 9.2.2.2.1 sur les câbles</w:t>
      </w:r>
      <w:r>
        <w:tab/>
      </w:r>
      <w:r>
        <w:tab/>
        <w:t>37-39</w:t>
      </w:r>
      <w:r>
        <w:tab/>
        <w:t>7</w:t>
      </w:r>
    </w:p>
    <w:p w14:paraId="6DB90BFC" w14:textId="77777777" w:rsidR="00AF3928" w:rsidRDefault="00AF3928" w:rsidP="00AF3928">
      <w:pPr>
        <w:tabs>
          <w:tab w:val="right" w:leader="dot" w:pos="7654"/>
          <w:tab w:val="right" w:pos="8929"/>
          <w:tab w:val="right" w:pos="9638"/>
        </w:tabs>
        <w:spacing w:after="120"/>
        <w:ind w:left="1559" w:hanging="425"/>
      </w:pPr>
      <w:r>
        <w:t>B.</w:t>
      </w:r>
      <w:r>
        <w:tab/>
      </w:r>
      <w:r>
        <w:rPr>
          <w:lang w:val="fr-FR"/>
        </w:rPr>
        <w:t>Propositions diverses</w:t>
      </w:r>
      <w:r>
        <w:tab/>
      </w:r>
      <w:r>
        <w:tab/>
        <w:t>40-63</w:t>
      </w:r>
      <w:r>
        <w:tab/>
        <w:t>7</w:t>
      </w:r>
    </w:p>
    <w:p w14:paraId="6F0DB748" w14:textId="77777777" w:rsidR="00AF3928" w:rsidRDefault="00AF3928" w:rsidP="00AF3928">
      <w:pPr>
        <w:tabs>
          <w:tab w:val="right" w:leader="dot" w:pos="7654"/>
          <w:tab w:val="right" w:pos="8929"/>
          <w:tab w:val="right" w:pos="9638"/>
        </w:tabs>
        <w:spacing w:after="120"/>
        <w:ind w:left="1984" w:hanging="425"/>
      </w:pPr>
      <w:r>
        <w:t>1.</w:t>
      </w:r>
      <w:r>
        <w:tab/>
      </w:r>
      <w:r>
        <w:rPr>
          <w:lang w:val="fr-FR"/>
        </w:rPr>
        <w:t xml:space="preserve">Prescriptions relatives à la surveillance des véhicules </w:t>
      </w:r>
      <w:r>
        <w:rPr>
          <w:lang w:val="fr-FR"/>
        </w:rPr>
        <w:br/>
        <w:t>dans les dispositions S1 (6), S16 et S21</w:t>
      </w:r>
      <w:r>
        <w:tab/>
      </w:r>
      <w:r>
        <w:tab/>
        <w:t>40-42</w:t>
      </w:r>
      <w:r>
        <w:tab/>
        <w:t>7</w:t>
      </w:r>
    </w:p>
    <w:p w14:paraId="7C3D455B" w14:textId="77777777" w:rsidR="00AF3928" w:rsidRDefault="00AF3928" w:rsidP="00AF3928">
      <w:pPr>
        <w:tabs>
          <w:tab w:val="right" w:leader="dot" w:pos="7654"/>
          <w:tab w:val="right" w:pos="8929"/>
          <w:tab w:val="right" w:pos="9638"/>
        </w:tabs>
        <w:spacing w:after="120"/>
        <w:ind w:left="1984" w:hanging="425"/>
      </w:pPr>
      <w:r>
        <w:t>2.</w:t>
      </w:r>
      <w:r>
        <w:tab/>
      </w:r>
      <w:r>
        <w:rPr>
          <w:lang w:val="fr-FR"/>
        </w:rPr>
        <w:t>Certificat de formation du conducteur ADR</w:t>
      </w:r>
      <w:r>
        <w:tab/>
      </w:r>
      <w:r>
        <w:tab/>
        <w:t>43-45</w:t>
      </w:r>
      <w:r>
        <w:tab/>
        <w:t>8</w:t>
      </w:r>
    </w:p>
    <w:p w14:paraId="559AAC2B" w14:textId="77777777" w:rsidR="00AF3928" w:rsidRDefault="00AF3928" w:rsidP="00AF3928">
      <w:pPr>
        <w:tabs>
          <w:tab w:val="right" w:leader="dot" w:pos="7654"/>
          <w:tab w:val="right" w:pos="8929"/>
          <w:tab w:val="right" w:pos="9638"/>
        </w:tabs>
        <w:spacing w:after="120"/>
        <w:ind w:left="1984" w:hanging="425"/>
      </w:pPr>
      <w:r>
        <w:t>3.</w:t>
      </w:r>
      <w:r>
        <w:tab/>
      </w:r>
      <w:r>
        <w:rPr>
          <w:lang w:val="fr-FR"/>
        </w:rPr>
        <w:t>Propositions d’amendements éditoriaux</w:t>
      </w:r>
      <w:r>
        <w:tab/>
      </w:r>
      <w:r>
        <w:tab/>
        <w:t>46-47</w:t>
      </w:r>
      <w:r>
        <w:tab/>
        <w:t>8</w:t>
      </w:r>
    </w:p>
    <w:p w14:paraId="29CBCE0E" w14:textId="77777777" w:rsidR="00AF3928" w:rsidRDefault="00AF3928" w:rsidP="00AF3928">
      <w:pPr>
        <w:tabs>
          <w:tab w:val="right" w:leader="dot" w:pos="7654"/>
          <w:tab w:val="right" w:pos="8929"/>
          <w:tab w:val="right" w:pos="9638"/>
        </w:tabs>
        <w:spacing w:after="120"/>
        <w:ind w:left="1984" w:hanging="425"/>
      </w:pPr>
      <w:r>
        <w:t>4.</w:t>
      </w:r>
      <w:r>
        <w:tab/>
      </w:r>
      <w:r>
        <w:rPr>
          <w:lang w:val="fr-FR"/>
        </w:rPr>
        <w:t>Mise à jour de mesures transitoires</w:t>
      </w:r>
      <w:r>
        <w:tab/>
      </w:r>
      <w:r>
        <w:tab/>
        <w:t>48</w:t>
      </w:r>
      <w:r>
        <w:tab/>
        <w:t>8</w:t>
      </w:r>
    </w:p>
    <w:p w14:paraId="0AACC029" w14:textId="77777777" w:rsidR="00AF3928" w:rsidRDefault="00AF3928" w:rsidP="00AF3928">
      <w:pPr>
        <w:tabs>
          <w:tab w:val="right" w:leader="dot" w:pos="7654"/>
          <w:tab w:val="right" w:pos="8929"/>
          <w:tab w:val="right" w:pos="9638"/>
        </w:tabs>
        <w:spacing w:after="120"/>
        <w:ind w:left="1984" w:hanging="425"/>
      </w:pPr>
      <w:r>
        <w:t>5.</w:t>
      </w:r>
      <w:r>
        <w:tab/>
      </w:r>
      <w:r>
        <w:rPr>
          <w:lang w:val="fr-FR"/>
        </w:rPr>
        <w:t xml:space="preserve">Documents relatifs aux marchandises dangereuses </w:t>
      </w:r>
      <w:r>
        <w:rPr>
          <w:lang w:val="fr-FR"/>
        </w:rPr>
        <w:br/>
        <w:t>qui ne se trouvent plus dans l’unité de transport</w:t>
      </w:r>
      <w:r>
        <w:tab/>
      </w:r>
      <w:r>
        <w:tab/>
        <w:t>49-51</w:t>
      </w:r>
      <w:r>
        <w:tab/>
        <w:t>8</w:t>
      </w:r>
    </w:p>
    <w:p w14:paraId="2054ACE7" w14:textId="50CE2FBB" w:rsidR="00AF3928" w:rsidRDefault="00AF3928" w:rsidP="00AF3928">
      <w:pPr>
        <w:tabs>
          <w:tab w:val="right" w:leader="dot" w:pos="7654"/>
          <w:tab w:val="right" w:pos="8929"/>
          <w:tab w:val="right" w:pos="9638"/>
        </w:tabs>
        <w:spacing w:after="120"/>
        <w:ind w:left="1984" w:hanging="425"/>
      </w:pPr>
      <w:r>
        <w:t>6.</w:t>
      </w:r>
      <w:r>
        <w:tab/>
      </w:r>
      <w:r>
        <w:rPr>
          <w:lang w:val="fr-FR"/>
        </w:rPr>
        <w:t xml:space="preserve">Formes des sections transversales des réservoirs </w:t>
      </w:r>
      <w:r>
        <w:rPr>
          <w:lang w:val="fr-FR"/>
        </w:rPr>
        <w:br/>
        <w:t>conformément au 6.8.2.1.18</w:t>
      </w:r>
      <w:r>
        <w:tab/>
      </w:r>
      <w:r>
        <w:tab/>
        <w:t>52-54</w:t>
      </w:r>
      <w:r>
        <w:tab/>
      </w:r>
      <w:r w:rsidR="001273D3">
        <w:t>9</w:t>
      </w:r>
    </w:p>
    <w:p w14:paraId="6B79E2BF" w14:textId="77777777" w:rsidR="00AF3928" w:rsidRDefault="00AF3928" w:rsidP="00AF3928">
      <w:pPr>
        <w:tabs>
          <w:tab w:val="right" w:leader="dot" w:pos="7654"/>
          <w:tab w:val="right" w:pos="8929"/>
          <w:tab w:val="right" w:pos="9638"/>
        </w:tabs>
        <w:spacing w:after="120"/>
        <w:ind w:left="1984" w:hanging="425"/>
      </w:pPr>
      <w:r>
        <w:t>7.</w:t>
      </w:r>
      <w:r>
        <w:tab/>
      </w:r>
      <w:r>
        <w:rPr>
          <w:lang w:val="fr-FR"/>
        </w:rPr>
        <w:t xml:space="preserve">Restrictions de circulation en tunnels pour les conteneurs </w:t>
      </w:r>
      <w:r>
        <w:rPr>
          <w:lang w:val="fr-FR"/>
        </w:rPr>
        <w:br/>
        <w:t>chargés de marchandises dangereuses en quantités limitées</w:t>
      </w:r>
      <w:r>
        <w:tab/>
      </w:r>
      <w:r>
        <w:tab/>
        <w:t>55-58</w:t>
      </w:r>
      <w:r>
        <w:tab/>
        <w:t>9</w:t>
      </w:r>
    </w:p>
    <w:p w14:paraId="3DFCA881" w14:textId="77777777" w:rsidR="00AF3928" w:rsidRDefault="00AF3928" w:rsidP="00AF3928">
      <w:pPr>
        <w:tabs>
          <w:tab w:val="right" w:leader="dot" w:pos="7654"/>
          <w:tab w:val="right" w:pos="8929"/>
          <w:tab w:val="right" w:pos="9638"/>
        </w:tabs>
        <w:spacing w:after="120"/>
        <w:ind w:left="1984" w:hanging="425"/>
      </w:pPr>
      <w:r>
        <w:t>8.</w:t>
      </w:r>
      <w:r>
        <w:tab/>
      </w:r>
      <w:r>
        <w:rPr>
          <w:lang w:val="fr-FR"/>
        </w:rPr>
        <w:t>Marchandises dangereuses exemptées des restrictions en tunnels</w:t>
      </w:r>
      <w:r>
        <w:tab/>
      </w:r>
      <w:r>
        <w:tab/>
        <w:t>59-62</w:t>
      </w:r>
      <w:r>
        <w:tab/>
        <w:t>9</w:t>
      </w:r>
    </w:p>
    <w:p w14:paraId="20D94517" w14:textId="5C143BF1" w:rsidR="00AF3928" w:rsidRDefault="00AF3928" w:rsidP="00AF3928">
      <w:pPr>
        <w:tabs>
          <w:tab w:val="right" w:leader="dot" w:pos="7654"/>
          <w:tab w:val="right" w:pos="8929"/>
          <w:tab w:val="right" w:pos="9638"/>
        </w:tabs>
        <w:spacing w:after="120"/>
        <w:ind w:left="1984" w:hanging="425"/>
      </w:pPr>
      <w:r>
        <w:t>9.</w:t>
      </w:r>
      <w:r>
        <w:tab/>
      </w:r>
      <w:r>
        <w:rPr>
          <w:lang w:val="fr-FR"/>
        </w:rPr>
        <w:t xml:space="preserve">Proposition de modification de la disposition spéciale 363 l) </w:t>
      </w:r>
      <w:r>
        <w:rPr>
          <w:lang w:val="fr-FR"/>
        </w:rPr>
        <w:br/>
        <w:t>et du 5.4.1.1.1 k)</w:t>
      </w:r>
      <w:r>
        <w:tab/>
      </w:r>
      <w:r>
        <w:tab/>
        <w:t>63</w:t>
      </w:r>
      <w:r>
        <w:tab/>
        <w:t>10</w:t>
      </w:r>
    </w:p>
    <w:p w14:paraId="4A3C503B" w14:textId="77777777" w:rsidR="00AF3928" w:rsidRDefault="00AF3928" w:rsidP="00AF3928">
      <w:pPr>
        <w:tabs>
          <w:tab w:val="right" w:pos="850"/>
          <w:tab w:val="right" w:leader="dot" w:pos="7654"/>
          <w:tab w:val="right" w:pos="8929"/>
          <w:tab w:val="right" w:pos="9638"/>
        </w:tabs>
        <w:spacing w:after="120"/>
        <w:ind w:left="1134" w:hanging="1134"/>
      </w:pPr>
      <w:r>
        <w:tab/>
        <w:t>VII.</w:t>
      </w:r>
      <w:r>
        <w:tab/>
      </w:r>
      <w:r>
        <w:rPr>
          <w:lang w:val="fr-FR"/>
        </w:rPr>
        <w:t>Interprétation de l’ADR (point 6 de l’ordre du jour)</w:t>
      </w:r>
      <w:r>
        <w:tab/>
      </w:r>
      <w:r>
        <w:tab/>
        <w:t>64-79</w:t>
      </w:r>
      <w:r>
        <w:tab/>
        <w:t>10</w:t>
      </w:r>
    </w:p>
    <w:p w14:paraId="06DECF37" w14:textId="77777777" w:rsidR="00AF3928" w:rsidRDefault="00AF3928" w:rsidP="00AF3928">
      <w:pPr>
        <w:tabs>
          <w:tab w:val="right" w:leader="dot" w:pos="7654"/>
          <w:tab w:val="right" w:pos="8929"/>
          <w:tab w:val="right" w:pos="9638"/>
        </w:tabs>
        <w:spacing w:after="120"/>
        <w:ind w:left="1559" w:hanging="425"/>
      </w:pPr>
      <w:r>
        <w:t>A.</w:t>
      </w:r>
      <w:r>
        <w:tab/>
      </w:r>
      <w:r>
        <w:rPr>
          <w:lang w:val="fr-FR"/>
        </w:rPr>
        <w:t>Équipements divers et équipement de protection individuelle</w:t>
      </w:r>
      <w:r>
        <w:tab/>
      </w:r>
      <w:r>
        <w:tab/>
        <w:t>64-66</w:t>
      </w:r>
      <w:r>
        <w:tab/>
        <w:t>10</w:t>
      </w:r>
    </w:p>
    <w:p w14:paraId="2CC0140C" w14:textId="77777777" w:rsidR="00AF3928" w:rsidRDefault="00AF3928" w:rsidP="00AF3928">
      <w:pPr>
        <w:tabs>
          <w:tab w:val="right" w:leader="dot" w:pos="7654"/>
          <w:tab w:val="right" w:pos="8929"/>
          <w:tab w:val="right" w:pos="9638"/>
        </w:tabs>
        <w:spacing w:after="120"/>
        <w:ind w:left="1559" w:hanging="425"/>
      </w:pPr>
      <w:r>
        <w:t>B.</w:t>
      </w:r>
      <w:r>
        <w:tab/>
      </w:r>
      <w:r>
        <w:rPr>
          <w:lang w:val="fr-FR"/>
        </w:rPr>
        <w:t xml:space="preserve">Transport de piles et accumulateurs usagés, </w:t>
      </w:r>
      <w:r>
        <w:rPr>
          <w:lang w:val="fr-FR"/>
        </w:rPr>
        <w:br/>
        <w:t>transport en vrac selon la disposition AP8</w:t>
      </w:r>
      <w:r>
        <w:tab/>
      </w:r>
      <w:r>
        <w:tab/>
        <w:t>67</w:t>
      </w:r>
      <w:r>
        <w:tab/>
        <w:t>10</w:t>
      </w:r>
    </w:p>
    <w:p w14:paraId="5FCDEA7F" w14:textId="77777777" w:rsidR="00AF3928" w:rsidRDefault="00AF3928" w:rsidP="00AF3928">
      <w:pPr>
        <w:tabs>
          <w:tab w:val="right" w:leader="dot" w:pos="7654"/>
          <w:tab w:val="right" w:pos="8929"/>
          <w:tab w:val="right" w:pos="9638"/>
        </w:tabs>
        <w:spacing w:after="120"/>
        <w:ind w:left="1559" w:hanging="425"/>
        <w:rPr>
          <w:lang w:val="fr-FR"/>
        </w:rPr>
      </w:pPr>
      <w:r>
        <w:rPr>
          <w:lang w:val="fr-FR"/>
        </w:rPr>
        <w:t>C.</w:t>
      </w:r>
      <w:r>
        <w:rPr>
          <w:lang w:val="fr-FR"/>
        </w:rPr>
        <w:tab/>
        <w:t>Transport de véhicules en tant que chargement</w:t>
      </w:r>
      <w:r>
        <w:rPr>
          <w:lang w:val="fr-FR"/>
        </w:rPr>
        <w:tab/>
      </w:r>
      <w:r>
        <w:rPr>
          <w:lang w:val="fr-FR"/>
        </w:rPr>
        <w:tab/>
        <w:t>68-71</w:t>
      </w:r>
      <w:r>
        <w:rPr>
          <w:lang w:val="fr-FR"/>
        </w:rPr>
        <w:tab/>
        <w:t>10</w:t>
      </w:r>
    </w:p>
    <w:p w14:paraId="79A9F7AE" w14:textId="77777777" w:rsidR="00AF3928" w:rsidRDefault="00AF3928" w:rsidP="00AF3928">
      <w:pPr>
        <w:tabs>
          <w:tab w:val="right" w:leader="dot" w:pos="7654"/>
          <w:tab w:val="right" w:pos="8929"/>
          <w:tab w:val="right" w:pos="9638"/>
        </w:tabs>
        <w:spacing w:after="120"/>
        <w:ind w:left="1559" w:hanging="425"/>
        <w:rPr>
          <w:lang w:val="fr-FR"/>
        </w:rPr>
      </w:pPr>
      <w:r>
        <w:rPr>
          <w:lang w:val="fr-FR"/>
        </w:rPr>
        <w:t>D.</w:t>
      </w:r>
      <w:r>
        <w:rPr>
          <w:lang w:val="fr-FR"/>
        </w:rPr>
        <w:tab/>
        <w:t>Transport de camion sur une remorque à plateau</w:t>
      </w:r>
      <w:r>
        <w:rPr>
          <w:lang w:val="fr-FR"/>
        </w:rPr>
        <w:tab/>
      </w:r>
      <w:r>
        <w:rPr>
          <w:lang w:val="fr-FR"/>
        </w:rPr>
        <w:tab/>
        <w:t>72-75</w:t>
      </w:r>
      <w:r>
        <w:rPr>
          <w:lang w:val="fr-FR"/>
        </w:rPr>
        <w:tab/>
        <w:t>11</w:t>
      </w:r>
    </w:p>
    <w:p w14:paraId="088FBD7C" w14:textId="77777777" w:rsidR="00AF3928" w:rsidRDefault="00AF3928" w:rsidP="00AF3928">
      <w:pPr>
        <w:tabs>
          <w:tab w:val="right" w:leader="dot" w:pos="7654"/>
          <w:tab w:val="right" w:pos="8929"/>
          <w:tab w:val="right" w:pos="9638"/>
        </w:tabs>
        <w:spacing w:after="120"/>
        <w:ind w:left="1559" w:hanging="425"/>
        <w:rPr>
          <w:lang w:val="fr-FR"/>
        </w:rPr>
      </w:pPr>
      <w:r>
        <w:rPr>
          <w:lang w:val="fr-FR"/>
        </w:rPr>
        <w:t>E.</w:t>
      </w:r>
      <w:r>
        <w:rPr>
          <w:lang w:val="fr-FR"/>
        </w:rPr>
        <w:tab/>
        <w:t>Deuxième phrase du 7.5.2.3</w:t>
      </w:r>
      <w:r>
        <w:rPr>
          <w:lang w:val="fr-FR"/>
        </w:rPr>
        <w:tab/>
      </w:r>
      <w:r>
        <w:rPr>
          <w:lang w:val="fr-FR"/>
        </w:rPr>
        <w:tab/>
        <w:t>76</w:t>
      </w:r>
      <w:r>
        <w:rPr>
          <w:lang w:val="fr-FR"/>
        </w:rPr>
        <w:tab/>
        <w:t>11</w:t>
      </w:r>
    </w:p>
    <w:p w14:paraId="0D64E77C" w14:textId="77777777" w:rsidR="00AF3928" w:rsidRDefault="00AF3928" w:rsidP="00AF3928">
      <w:pPr>
        <w:tabs>
          <w:tab w:val="right" w:leader="dot" w:pos="7654"/>
          <w:tab w:val="right" w:pos="8929"/>
          <w:tab w:val="right" w:pos="9638"/>
        </w:tabs>
        <w:spacing w:after="120"/>
        <w:ind w:left="1559" w:hanging="425"/>
        <w:rPr>
          <w:lang w:val="fr-FR"/>
        </w:rPr>
      </w:pPr>
      <w:r>
        <w:rPr>
          <w:lang w:val="fr-FR"/>
        </w:rPr>
        <w:t>F.</w:t>
      </w:r>
      <w:r>
        <w:rPr>
          <w:lang w:val="fr-FR"/>
        </w:rPr>
        <w:tab/>
        <w:t xml:space="preserve">Approbation des systèmes de séparation des matières et </w:t>
      </w:r>
      <w:r>
        <w:rPr>
          <w:lang w:val="fr-FR"/>
        </w:rPr>
        <w:br/>
        <w:t>objets explosibles par l'autorité compétente</w:t>
      </w:r>
      <w:r>
        <w:rPr>
          <w:lang w:val="fr-FR"/>
        </w:rPr>
        <w:tab/>
      </w:r>
      <w:r>
        <w:rPr>
          <w:lang w:val="fr-FR"/>
        </w:rPr>
        <w:tab/>
        <w:t>77</w:t>
      </w:r>
      <w:r>
        <w:rPr>
          <w:lang w:val="fr-FR"/>
        </w:rPr>
        <w:tab/>
        <w:t>11</w:t>
      </w:r>
    </w:p>
    <w:p w14:paraId="731144AE" w14:textId="77777777" w:rsidR="00AF3928" w:rsidRDefault="00AF3928" w:rsidP="00AF3928">
      <w:pPr>
        <w:tabs>
          <w:tab w:val="right" w:leader="dot" w:pos="7654"/>
          <w:tab w:val="right" w:pos="8929"/>
          <w:tab w:val="right" w:pos="9638"/>
        </w:tabs>
        <w:spacing w:after="120"/>
        <w:ind w:left="1559" w:hanging="425"/>
      </w:pPr>
      <w:r>
        <w:rPr>
          <w:lang w:val="fr-FR"/>
        </w:rPr>
        <w:t>G.</w:t>
      </w:r>
      <w:r>
        <w:rPr>
          <w:lang w:val="fr-FR"/>
        </w:rPr>
        <w:tab/>
        <w:t>Prescriptions concernant l’équipement électrique des véhicules suivant le 9.2.1.1</w:t>
      </w:r>
      <w:r>
        <w:rPr>
          <w:lang w:val="fr-FR"/>
        </w:rPr>
        <w:tab/>
        <w:t>78-79</w:t>
      </w:r>
      <w:r>
        <w:rPr>
          <w:lang w:val="fr-FR"/>
        </w:rPr>
        <w:tab/>
        <w:t>11</w:t>
      </w:r>
    </w:p>
    <w:p w14:paraId="7884AFBC" w14:textId="77777777" w:rsidR="00AF3928" w:rsidRDefault="00AF3928" w:rsidP="00AF3928">
      <w:pPr>
        <w:tabs>
          <w:tab w:val="right" w:pos="850"/>
          <w:tab w:val="right" w:leader="dot" w:pos="7654"/>
          <w:tab w:val="right" w:pos="8929"/>
          <w:tab w:val="right" w:pos="9638"/>
        </w:tabs>
        <w:spacing w:after="120"/>
        <w:ind w:left="1134" w:hanging="1134"/>
      </w:pPr>
      <w:r>
        <w:tab/>
        <w:t>VIII.</w:t>
      </w:r>
      <w:r>
        <w:tab/>
      </w:r>
      <w:r>
        <w:rPr>
          <w:lang w:val="fr-FR"/>
        </w:rPr>
        <w:t>Programme de travail (point 7 de l’ordre du jour)</w:t>
      </w:r>
      <w:r>
        <w:tab/>
      </w:r>
      <w:r>
        <w:tab/>
        <w:t>80-82</w:t>
      </w:r>
      <w:r>
        <w:tab/>
        <w:t>12</w:t>
      </w:r>
    </w:p>
    <w:p w14:paraId="1556A820" w14:textId="77777777" w:rsidR="00AF3928" w:rsidRDefault="00AF3928" w:rsidP="00AF3928">
      <w:pPr>
        <w:tabs>
          <w:tab w:val="right" w:leader="dot" w:pos="7654"/>
          <w:tab w:val="right" w:pos="8929"/>
          <w:tab w:val="right" w:pos="9638"/>
        </w:tabs>
        <w:spacing w:after="120"/>
        <w:ind w:left="1559" w:hanging="425"/>
      </w:pPr>
      <w:r>
        <w:t>A.</w:t>
      </w:r>
      <w:r>
        <w:tab/>
      </w:r>
      <w:r>
        <w:rPr>
          <w:lang w:val="fr-FR"/>
        </w:rPr>
        <w:t>Amendements de 2021</w:t>
      </w:r>
      <w:r>
        <w:tab/>
      </w:r>
      <w:r>
        <w:tab/>
        <w:t>80-81</w:t>
      </w:r>
      <w:r>
        <w:tab/>
        <w:t>12</w:t>
      </w:r>
    </w:p>
    <w:p w14:paraId="387C8B99" w14:textId="77777777" w:rsidR="00AF3928" w:rsidRDefault="00AF3928" w:rsidP="00AF3928">
      <w:pPr>
        <w:tabs>
          <w:tab w:val="right" w:leader="dot" w:pos="7654"/>
          <w:tab w:val="right" w:pos="8929"/>
          <w:tab w:val="right" w:pos="9638"/>
        </w:tabs>
        <w:spacing w:after="120"/>
        <w:ind w:left="1559" w:hanging="425"/>
      </w:pPr>
      <w:r>
        <w:t>B.</w:t>
      </w:r>
      <w:r>
        <w:tab/>
      </w:r>
      <w:r>
        <w:rPr>
          <w:lang w:val="fr-FR"/>
        </w:rPr>
        <w:t>108e session</w:t>
      </w:r>
      <w:r>
        <w:tab/>
      </w:r>
      <w:r>
        <w:tab/>
        <w:t>82</w:t>
      </w:r>
      <w:r>
        <w:tab/>
        <w:t>12</w:t>
      </w:r>
    </w:p>
    <w:p w14:paraId="1D043A5C" w14:textId="77777777" w:rsidR="00AF3928" w:rsidRDefault="00AF3928" w:rsidP="00AF3928">
      <w:pPr>
        <w:tabs>
          <w:tab w:val="right" w:pos="850"/>
          <w:tab w:val="right" w:leader="dot" w:pos="7654"/>
          <w:tab w:val="right" w:pos="8929"/>
          <w:tab w:val="right" w:pos="9638"/>
        </w:tabs>
        <w:spacing w:after="120"/>
        <w:ind w:left="1134" w:hanging="1134"/>
      </w:pPr>
      <w:r>
        <w:tab/>
        <w:t>IX.</w:t>
      </w:r>
      <w:r>
        <w:tab/>
      </w:r>
      <w:r>
        <w:rPr>
          <w:lang w:val="fr-FR"/>
        </w:rPr>
        <w:t>Questions diverses (point 8 de l’ordre du jour)</w:t>
      </w:r>
      <w:r>
        <w:tab/>
      </w:r>
      <w:r>
        <w:tab/>
        <w:t>83-86</w:t>
      </w:r>
      <w:r>
        <w:tab/>
        <w:t>12</w:t>
      </w:r>
    </w:p>
    <w:p w14:paraId="463FA3BA" w14:textId="77777777" w:rsidR="00AF3928" w:rsidRDefault="00AF3928" w:rsidP="00AF3928">
      <w:pPr>
        <w:tabs>
          <w:tab w:val="right" w:leader="dot" w:pos="7654"/>
          <w:tab w:val="right" w:pos="8929"/>
          <w:tab w:val="right" w:pos="9638"/>
        </w:tabs>
        <w:spacing w:after="120"/>
        <w:ind w:left="1559" w:hanging="425"/>
        <w:rPr>
          <w:lang w:val="fr-FR"/>
        </w:rPr>
      </w:pPr>
      <w:r>
        <w:rPr>
          <w:lang w:val="fr-FR"/>
        </w:rPr>
        <w:t>A.</w:t>
      </w:r>
      <w:r>
        <w:rPr>
          <w:lang w:val="fr-FR"/>
        </w:rPr>
        <w:tab/>
        <w:t>Rectificatif à l’ADR 2019</w:t>
      </w:r>
      <w:r>
        <w:rPr>
          <w:lang w:val="fr-FR"/>
        </w:rPr>
        <w:tab/>
      </w:r>
      <w:r>
        <w:rPr>
          <w:lang w:val="fr-FR"/>
        </w:rPr>
        <w:tab/>
        <w:t>83</w:t>
      </w:r>
      <w:r>
        <w:rPr>
          <w:lang w:val="fr-FR"/>
        </w:rPr>
        <w:tab/>
        <w:t>12</w:t>
      </w:r>
    </w:p>
    <w:p w14:paraId="1278FB47" w14:textId="77777777" w:rsidR="00AF3928" w:rsidRDefault="00AF3928" w:rsidP="00AF3928">
      <w:pPr>
        <w:tabs>
          <w:tab w:val="right" w:leader="dot" w:pos="7654"/>
          <w:tab w:val="right" w:pos="8929"/>
          <w:tab w:val="right" w:pos="9638"/>
        </w:tabs>
        <w:spacing w:after="120"/>
        <w:ind w:left="1559" w:hanging="425"/>
        <w:rPr>
          <w:lang w:val="fr-FR"/>
        </w:rPr>
      </w:pPr>
      <w:r>
        <w:rPr>
          <w:lang w:val="fr-FR"/>
        </w:rPr>
        <w:t>B.</w:t>
      </w:r>
      <w:r>
        <w:rPr>
          <w:lang w:val="fr-FR"/>
        </w:rPr>
        <w:tab/>
        <w:t>Références aux autorités compétentes</w:t>
      </w:r>
      <w:r>
        <w:rPr>
          <w:lang w:val="fr-FR"/>
        </w:rPr>
        <w:tab/>
      </w:r>
      <w:r>
        <w:rPr>
          <w:lang w:val="fr-FR"/>
        </w:rPr>
        <w:tab/>
        <w:t>84</w:t>
      </w:r>
      <w:r>
        <w:rPr>
          <w:lang w:val="fr-FR"/>
        </w:rPr>
        <w:tab/>
        <w:t>13</w:t>
      </w:r>
    </w:p>
    <w:p w14:paraId="464C8B10" w14:textId="77777777" w:rsidR="00AF3928" w:rsidRDefault="00AF3928" w:rsidP="00AF3928">
      <w:pPr>
        <w:tabs>
          <w:tab w:val="right" w:leader="dot" w:pos="7654"/>
          <w:tab w:val="right" w:pos="8929"/>
          <w:tab w:val="right" w:pos="9638"/>
        </w:tabs>
        <w:spacing w:after="120"/>
        <w:ind w:left="1559" w:hanging="425"/>
        <w:rPr>
          <w:lang w:val="fr-FR"/>
        </w:rPr>
      </w:pPr>
      <w:r>
        <w:rPr>
          <w:lang w:val="fr-FR"/>
        </w:rPr>
        <w:t>C.</w:t>
      </w:r>
      <w:r>
        <w:rPr>
          <w:lang w:val="fr-FR"/>
        </w:rPr>
        <w:tab/>
        <w:t xml:space="preserve">Transport de batteries endommagées et de véhicules ou </w:t>
      </w:r>
      <w:r>
        <w:rPr>
          <w:lang w:val="fr-FR"/>
        </w:rPr>
        <w:br/>
        <w:t>équipements dont la batterie est endommagée</w:t>
      </w:r>
      <w:r>
        <w:rPr>
          <w:lang w:val="fr-FR"/>
        </w:rPr>
        <w:tab/>
      </w:r>
      <w:r>
        <w:rPr>
          <w:lang w:val="fr-FR"/>
        </w:rPr>
        <w:tab/>
        <w:t>85-86</w:t>
      </w:r>
      <w:r>
        <w:rPr>
          <w:lang w:val="fr-FR"/>
        </w:rPr>
        <w:tab/>
        <w:t>13</w:t>
      </w:r>
    </w:p>
    <w:p w14:paraId="017FCE77" w14:textId="591EE10E" w:rsidR="00AF3928" w:rsidRDefault="00AF3928" w:rsidP="00AF3928">
      <w:pPr>
        <w:tabs>
          <w:tab w:val="right" w:pos="850"/>
          <w:tab w:val="right" w:leader="dot" w:pos="7654"/>
          <w:tab w:val="right" w:pos="8929"/>
          <w:tab w:val="right" w:pos="9638"/>
        </w:tabs>
        <w:spacing w:after="120"/>
        <w:ind w:left="1134" w:hanging="1134"/>
      </w:pPr>
      <w:r>
        <w:tab/>
        <w:t>X.</w:t>
      </w:r>
      <w:r>
        <w:tab/>
      </w:r>
      <w:r>
        <w:rPr>
          <w:lang w:val="fr-FR"/>
        </w:rPr>
        <w:t>Élection du Bureau pour 20</w:t>
      </w:r>
      <w:r w:rsidR="00B269F8">
        <w:rPr>
          <w:lang w:val="fr-FR"/>
        </w:rPr>
        <w:t>20</w:t>
      </w:r>
      <w:r>
        <w:rPr>
          <w:lang w:val="fr-FR"/>
        </w:rPr>
        <w:t xml:space="preserve"> (point 9 de l’ordre du jour)</w:t>
      </w:r>
      <w:r>
        <w:tab/>
      </w:r>
      <w:r>
        <w:tab/>
        <w:t>87</w:t>
      </w:r>
      <w:r>
        <w:tab/>
        <w:t>13</w:t>
      </w:r>
    </w:p>
    <w:p w14:paraId="1F20630E" w14:textId="77777777" w:rsidR="00AF3928" w:rsidRDefault="00AF3928" w:rsidP="00AF3928">
      <w:pPr>
        <w:tabs>
          <w:tab w:val="right" w:pos="850"/>
          <w:tab w:val="right" w:leader="dot" w:pos="7654"/>
          <w:tab w:val="right" w:pos="8929"/>
          <w:tab w:val="right" w:pos="9638"/>
        </w:tabs>
        <w:spacing w:after="120"/>
        <w:ind w:left="1134" w:hanging="1134"/>
      </w:pPr>
      <w:r>
        <w:tab/>
        <w:t>XI.</w:t>
      </w:r>
      <w:r>
        <w:tab/>
      </w:r>
      <w:r>
        <w:rPr>
          <w:lang w:val="fr-FR"/>
        </w:rPr>
        <w:t>Adoption du rapport (point 10 de l’ordre du jour)</w:t>
      </w:r>
      <w:r>
        <w:tab/>
      </w:r>
      <w:r>
        <w:tab/>
        <w:t>88</w:t>
      </w:r>
      <w:r>
        <w:tab/>
        <w:t>13</w:t>
      </w:r>
    </w:p>
    <w:p w14:paraId="3884CFED" w14:textId="77777777" w:rsidR="00AF3928" w:rsidRDefault="00AF3928" w:rsidP="00AF3928">
      <w:pPr>
        <w:tabs>
          <w:tab w:val="right" w:pos="850"/>
        </w:tabs>
        <w:spacing w:after="120"/>
      </w:pPr>
      <w:r>
        <w:tab/>
        <w:t>Annexes</w:t>
      </w:r>
    </w:p>
    <w:p w14:paraId="5A299325" w14:textId="77777777" w:rsidR="00AF3928" w:rsidRDefault="00AF3928" w:rsidP="00AF3928">
      <w:pPr>
        <w:tabs>
          <w:tab w:val="right" w:pos="850"/>
          <w:tab w:val="right" w:leader="dot" w:pos="8929"/>
          <w:tab w:val="right" w:pos="9638"/>
        </w:tabs>
        <w:spacing w:after="120"/>
        <w:ind w:left="1134" w:hanging="1134"/>
      </w:pPr>
      <w:r>
        <w:tab/>
        <w:t>I.</w:t>
      </w:r>
      <w:r>
        <w:tab/>
      </w:r>
      <w:r>
        <w:rPr>
          <w:spacing w:val="-2"/>
          <w:lang w:val="fr-FR"/>
        </w:rPr>
        <w:t xml:space="preserve">Projet d’amendements aux annexes A et B de l’ADR pour </w:t>
      </w:r>
      <w:proofErr w:type="spellStart"/>
      <w:r>
        <w:rPr>
          <w:spacing w:val="-2"/>
          <w:lang w:val="fr-FR"/>
        </w:rPr>
        <w:t>entrée</w:t>
      </w:r>
      <w:proofErr w:type="spellEnd"/>
      <w:r>
        <w:rPr>
          <w:spacing w:val="-2"/>
          <w:lang w:val="fr-FR"/>
        </w:rPr>
        <w:t xml:space="preserve"> en vigueur le 1</w:t>
      </w:r>
      <w:r>
        <w:rPr>
          <w:spacing w:val="-2"/>
          <w:vertAlign w:val="superscript"/>
          <w:lang w:val="fr-FR"/>
        </w:rPr>
        <w:t>er</w:t>
      </w:r>
      <w:r>
        <w:rPr>
          <w:spacing w:val="-2"/>
          <w:lang w:val="fr-FR"/>
        </w:rPr>
        <w:t xml:space="preserve"> janvier 2021</w:t>
      </w:r>
      <w:r>
        <w:tab/>
      </w:r>
      <w:r>
        <w:tab/>
        <w:t>14</w:t>
      </w:r>
    </w:p>
    <w:p w14:paraId="07FEE516" w14:textId="77777777" w:rsidR="00AF3928" w:rsidRDefault="00AF3928" w:rsidP="00AF3928">
      <w:pPr>
        <w:tabs>
          <w:tab w:val="right" w:pos="850"/>
          <w:tab w:val="right" w:leader="dot" w:pos="8929"/>
          <w:tab w:val="right" w:pos="9638"/>
        </w:tabs>
        <w:spacing w:after="120"/>
        <w:ind w:left="1134" w:hanging="1134"/>
      </w:pPr>
      <w:r>
        <w:tab/>
        <w:t>II.</w:t>
      </w:r>
      <w:r>
        <w:tab/>
      </w:r>
      <w:r>
        <w:rPr>
          <w:lang w:val="fr-FR"/>
        </w:rPr>
        <w:t>Ligne directrice pour l’application de la note de bas de page 3 du 6.8.2.1.18 de l’ADR</w:t>
      </w:r>
      <w:r>
        <w:tab/>
      </w:r>
      <w:r>
        <w:tab/>
        <w:t>18</w:t>
      </w:r>
    </w:p>
    <w:p w14:paraId="36C56EC9" w14:textId="5C6D55E2" w:rsidR="00557AF5" w:rsidRPr="00A91A7C" w:rsidRDefault="00225058" w:rsidP="008A7D88">
      <w:pPr>
        <w:spacing w:after="120"/>
        <w:rPr>
          <w:lang w:val="fr-FR"/>
        </w:rPr>
      </w:pPr>
      <w:r>
        <w:br w:type="page"/>
      </w:r>
      <w:r w:rsidR="00557AF5" w:rsidRPr="00A91A7C">
        <w:rPr>
          <w:lang w:val="fr-FR"/>
        </w:rPr>
        <w:lastRenderedPageBreak/>
        <w:tab/>
        <w:t>I.</w:t>
      </w:r>
      <w:r w:rsidR="00557AF5" w:rsidRPr="00A91A7C">
        <w:rPr>
          <w:lang w:val="fr-FR"/>
        </w:rPr>
        <w:tab/>
        <w:t>Participation</w:t>
      </w:r>
    </w:p>
    <w:p w14:paraId="4F37DA07" w14:textId="77777777" w:rsidR="00557AF5" w:rsidRPr="00A91A7C" w:rsidRDefault="00557AF5" w:rsidP="00557AF5">
      <w:pPr>
        <w:pStyle w:val="SingleTxtG"/>
        <w:rPr>
          <w:lang w:val="fr-FR"/>
        </w:rPr>
      </w:pPr>
      <w:r w:rsidRPr="00A91A7C">
        <w:rPr>
          <w:lang w:val="fr-FR"/>
        </w:rPr>
        <w:t>1.</w:t>
      </w:r>
      <w:r w:rsidRPr="00A91A7C">
        <w:rPr>
          <w:lang w:val="fr-FR"/>
        </w:rPr>
        <w:tab/>
        <w:t>Le Groupe de travail des transports de marchandises dangereuses a tenu sa 107</w:t>
      </w:r>
      <w:r w:rsidRPr="00A91A7C">
        <w:rPr>
          <w:vertAlign w:val="superscript"/>
          <w:lang w:val="fr-FR"/>
        </w:rPr>
        <w:t>e</w:t>
      </w:r>
      <w:r w:rsidRPr="00A91A7C">
        <w:rPr>
          <w:lang w:val="fr-FR"/>
        </w:rPr>
        <w:t> session du 11 au 15 novembre 2019 sous la présidence de M</w:t>
      </w:r>
      <w:r w:rsidRPr="00A91A7C">
        <w:rPr>
          <w:vertAlign w:val="superscript"/>
          <w:lang w:val="fr-FR"/>
        </w:rPr>
        <w:t>me</w:t>
      </w:r>
      <w:r w:rsidRPr="00A91A7C">
        <w:rPr>
          <w:lang w:val="fr-FR"/>
        </w:rPr>
        <w:t> A. </w:t>
      </w:r>
      <w:proofErr w:type="spellStart"/>
      <w:r w:rsidRPr="00A91A7C">
        <w:rPr>
          <w:lang w:val="fr-FR"/>
        </w:rPr>
        <w:t>Roumier</w:t>
      </w:r>
      <w:proofErr w:type="spellEnd"/>
      <w:r w:rsidRPr="00A91A7C">
        <w:rPr>
          <w:lang w:val="fr-FR"/>
        </w:rPr>
        <w:t xml:space="preserve"> (France) et la vice-présidence de M. A. Simoni (Italie).</w:t>
      </w:r>
    </w:p>
    <w:p w14:paraId="2CB4238C" w14:textId="6E38B879" w:rsidR="00557AF5" w:rsidRPr="00FB306E" w:rsidRDefault="00557AF5" w:rsidP="00557AF5">
      <w:pPr>
        <w:pStyle w:val="SingleTxtG"/>
        <w:rPr>
          <w:lang w:val="fr-FR"/>
        </w:rPr>
      </w:pPr>
      <w:r w:rsidRPr="00FB306E">
        <w:rPr>
          <w:lang w:val="fr-FR"/>
        </w:rPr>
        <w:t>2.</w:t>
      </w:r>
      <w:r w:rsidRPr="00FB306E">
        <w:rPr>
          <w:lang w:val="fr-FR"/>
        </w:rPr>
        <w:tab/>
        <w:t>Ont pris part à la session des représentants des pays suivants : Allemagne, Autriche, Bélarus, Belgique, Danemark, Espagne, Fédération de Russie, Finlande, France, Géorgie, Hongrie, Italie, Lettonie, Luxembourg, Malte, Pays-Bas, Pologne, Portugal, Roumanie, Royaume-Uni, Slovaquie, Suède, Suisse, Tchéquie et Turquie.</w:t>
      </w:r>
    </w:p>
    <w:p w14:paraId="15C48602" w14:textId="376C1810" w:rsidR="00557AF5" w:rsidRPr="00A91A7C" w:rsidRDefault="00557AF5" w:rsidP="00557AF5">
      <w:pPr>
        <w:pStyle w:val="SingleTxtG"/>
        <w:rPr>
          <w:lang w:val="fr-FR"/>
        </w:rPr>
      </w:pPr>
      <w:r w:rsidRPr="00A91A7C">
        <w:rPr>
          <w:lang w:val="fr-FR"/>
        </w:rPr>
        <w:t>3.</w:t>
      </w:r>
      <w:r w:rsidRPr="00A91A7C">
        <w:rPr>
          <w:lang w:val="fr-FR"/>
        </w:rPr>
        <w:tab/>
        <w:t xml:space="preserve">Des représentants de l’Algérie, de la Jordanie, du Maroc, du Nigeria et de la Tunisie ont participé à la session conformément aux dispositions du paragraphe 11 du mandat de la Commission économique pour l’Europe. Les représentants du Maroc, du Nigeria et de la Tunisie ont pris part de plein droit à la session pour les questions relatives à l’Accord européen relatif au transport international des marchandises dangereuses par route (ADR), conformément à l’article premier, alinéa b), du règlement intérieur du Groupe de travail. </w:t>
      </w:r>
    </w:p>
    <w:p w14:paraId="2F55AD87" w14:textId="77777777" w:rsidR="00557AF5" w:rsidRPr="00A91A7C" w:rsidRDefault="00557AF5" w:rsidP="00557AF5">
      <w:pPr>
        <w:pStyle w:val="SingleTxtG"/>
        <w:rPr>
          <w:lang w:val="fr-FR"/>
        </w:rPr>
      </w:pPr>
      <w:r w:rsidRPr="00A91A7C">
        <w:rPr>
          <w:lang w:val="fr-FR"/>
        </w:rPr>
        <w:t>4.</w:t>
      </w:r>
      <w:r w:rsidRPr="00A91A7C">
        <w:rPr>
          <w:lang w:val="fr-FR"/>
        </w:rPr>
        <w:tab/>
        <w:t>L’Union européenne était représentée.</w:t>
      </w:r>
    </w:p>
    <w:p w14:paraId="04EEF3BB" w14:textId="77777777" w:rsidR="00557AF5" w:rsidRPr="00A91A7C" w:rsidRDefault="00557AF5" w:rsidP="00557AF5">
      <w:pPr>
        <w:pStyle w:val="SingleTxtG"/>
        <w:rPr>
          <w:lang w:val="fr-FR"/>
        </w:rPr>
      </w:pPr>
      <w:r w:rsidRPr="00A91A7C">
        <w:rPr>
          <w:lang w:val="fr-FR"/>
        </w:rPr>
        <w:t>5.</w:t>
      </w:r>
      <w:r w:rsidRPr="00A91A7C">
        <w:rPr>
          <w:lang w:val="fr-FR"/>
        </w:rPr>
        <w:tab/>
        <w:t>L’organisation intergouvernementale suivante était représentée : Organisation intergouvernementale pour les transports internationaux ferroviaires (OTIF).</w:t>
      </w:r>
    </w:p>
    <w:p w14:paraId="5E08FEAF" w14:textId="6BA67E97" w:rsidR="00557AF5" w:rsidRPr="00A91A7C" w:rsidRDefault="00557AF5" w:rsidP="00557AF5">
      <w:pPr>
        <w:pStyle w:val="SingleTxtG"/>
        <w:rPr>
          <w:lang w:val="fr-FR"/>
        </w:rPr>
      </w:pPr>
      <w:r w:rsidRPr="00A91A7C">
        <w:rPr>
          <w:lang w:val="fr-FR"/>
        </w:rPr>
        <w:t>6.</w:t>
      </w:r>
      <w:r w:rsidRPr="00A91A7C">
        <w:rPr>
          <w:lang w:val="fr-FR"/>
        </w:rPr>
        <w:tab/>
        <w:t xml:space="preserve">Les organisations non gouvernementales suivantes étaient représentées : la Conférence européenne des négociants en combustibles et carburants (ECFD), le Conseil européen de l’industrie chimique (CEFIC), Council on Safe Transportation of </w:t>
      </w:r>
      <w:proofErr w:type="spellStart"/>
      <w:r w:rsidRPr="00A91A7C">
        <w:rPr>
          <w:lang w:val="fr-FR"/>
        </w:rPr>
        <w:t>Hazardous</w:t>
      </w:r>
      <w:proofErr w:type="spellEnd"/>
      <w:r w:rsidRPr="00A91A7C">
        <w:rPr>
          <w:lang w:val="fr-FR"/>
        </w:rPr>
        <w:t xml:space="preserve"> Articles (COSTHA) et l’Union internationale des transports routiers (IRU). Le projet </w:t>
      </w:r>
      <w:proofErr w:type="spellStart"/>
      <w:r w:rsidRPr="00A91A7C">
        <w:rPr>
          <w:lang w:val="fr-FR"/>
        </w:rPr>
        <w:t>EuroMed</w:t>
      </w:r>
      <w:proofErr w:type="spellEnd"/>
      <w:r w:rsidRPr="00A91A7C">
        <w:rPr>
          <w:lang w:val="fr-FR"/>
        </w:rPr>
        <w:t xml:space="preserve"> était également représenté.</w:t>
      </w:r>
    </w:p>
    <w:p w14:paraId="1A1F70CB" w14:textId="77777777" w:rsidR="00557AF5" w:rsidRPr="00A91A7C" w:rsidRDefault="00557AF5" w:rsidP="00557AF5">
      <w:pPr>
        <w:pStyle w:val="HChG"/>
        <w:rPr>
          <w:lang w:val="fr-FR"/>
        </w:rPr>
      </w:pPr>
      <w:r w:rsidRPr="00A91A7C">
        <w:rPr>
          <w:lang w:val="fr-FR"/>
        </w:rPr>
        <w:tab/>
        <w:t>II.</w:t>
      </w:r>
      <w:r w:rsidRPr="00A91A7C">
        <w:rPr>
          <w:lang w:val="fr-FR"/>
        </w:rPr>
        <w:tab/>
      </w:r>
      <w:bookmarkStart w:id="1" w:name="_Hlk6316889"/>
      <w:r w:rsidRPr="00A91A7C">
        <w:rPr>
          <w:lang w:val="fr-FR"/>
        </w:rPr>
        <w:t>Adoption de l’ordre du jour (point 1 de l’ordre du jour)</w:t>
      </w:r>
      <w:bookmarkStart w:id="2" w:name="_Toc499903630"/>
      <w:bookmarkEnd w:id="1"/>
      <w:bookmarkEnd w:id="2"/>
    </w:p>
    <w:p w14:paraId="4336E0D5" w14:textId="77777777" w:rsidR="00557AF5" w:rsidRPr="00A91A7C" w:rsidRDefault="00557AF5" w:rsidP="00557AF5">
      <w:pPr>
        <w:pStyle w:val="SingleTxtG"/>
        <w:ind w:left="3402" w:hanging="2268"/>
        <w:rPr>
          <w:lang w:val="fr-FR"/>
        </w:rPr>
      </w:pPr>
      <w:r w:rsidRPr="00A91A7C">
        <w:rPr>
          <w:i/>
          <w:iCs/>
          <w:lang w:val="fr-FR"/>
        </w:rPr>
        <w:t>Documents </w:t>
      </w:r>
      <w:r w:rsidRPr="00A91A7C">
        <w:rPr>
          <w:iCs/>
          <w:lang w:val="fr-FR"/>
        </w:rPr>
        <w:t>:</w:t>
      </w:r>
      <w:r w:rsidRPr="00A91A7C">
        <w:rPr>
          <w:lang w:val="fr-FR"/>
        </w:rPr>
        <w:tab/>
        <w:t>ECE/TRANS/WP.15/247 et Add.1 (secrétariat)</w:t>
      </w:r>
    </w:p>
    <w:p w14:paraId="2B5C10FD" w14:textId="77777777" w:rsidR="00557AF5" w:rsidRPr="00A91A7C" w:rsidRDefault="00557AF5" w:rsidP="00557AF5">
      <w:pPr>
        <w:pStyle w:val="SingleTxtG"/>
        <w:ind w:left="3402" w:hanging="2268"/>
        <w:rPr>
          <w:lang w:val="fr-FR"/>
        </w:rPr>
      </w:pPr>
      <w:r w:rsidRPr="00A91A7C">
        <w:rPr>
          <w:i/>
          <w:iCs/>
          <w:lang w:val="fr-FR"/>
        </w:rPr>
        <w:t>Documents informels </w:t>
      </w:r>
      <w:r w:rsidRPr="00A91A7C">
        <w:rPr>
          <w:lang w:val="fr-FR"/>
        </w:rPr>
        <w:t>:</w:t>
      </w:r>
      <w:r w:rsidRPr="00A91A7C">
        <w:rPr>
          <w:lang w:val="fr-FR"/>
        </w:rPr>
        <w:tab/>
        <w:t>INF.1 et INF.2 (secrétariat)</w:t>
      </w:r>
    </w:p>
    <w:p w14:paraId="060489F0" w14:textId="6D534D81" w:rsidR="00557AF5" w:rsidRPr="00A91A7C" w:rsidRDefault="00557AF5" w:rsidP="00557AF5">
      <w:pPr>
        <w:pStyle w:val="SingleTxtG"/>
        <w:rPr>
          <w:lang w:val="fr-FR"/>
        </w:rPr>
      </w:pPr>
      <w:r w:rsidRPr="00A91A7C">
        <w:rPr>
          <w:lang w:val="fr-FR"/>
        </w:rPr>
        <w:t>7.</w:t>
      </w:r>
      <w:r w:rsidRPr="00A91A7C">
        <w:rPr>
          <w:lang w:val="fr-FR"/>
        </w:rPr>
        <w:tab/>
        <w:t>Le Groupe de travail a adopté l’ordre du jour provisoire établi par le secrétariat, tel que modifié par le document informel INF.2 pour tenir compte des documents informels INF.1 à INF.30.</w:t>
      </w:r>
    </w:p>
    <w:p w14:paraId="772C6F5C" w14:textId="77777777" w:rsidR="00557AF5" w:rsidRPr="00A91A7C" w:rsidRDefault="00557AF5" w:rsidP="00557AF5">
      <w:pPr>
        <w:pStyle w:val="HChG"/>
        <w:rPr>
          <w:lang w:val="fr-FR"/>
        </w:rPr>
      </w:pPr>
      <w:bookmarkStart w:id="3" w:name="_Hlk24985045"/>
      <w:r w:rsidRPr="00A91A7C">
        <w:rPr>
          <w:lang w:val="fr-FR"/>
        </w:rPr>
        <w:tab/>
        <w:t>III.</w:t>
      </w:r>
      <w:r w:rsidRPr="00A91A7C">
        <w:rPr>
          <w:lang w:val="fr-FR"/>
        </w:rPr>
        <w:tab/>
        <w:t>Quatre-vingt-unième session du Comité des transports intérieurs (point 2 de l’ordre du jour)</w:t>
      </w:r>
    </w:p>
    <w:p w14:paraId="7EB91EF2" w14:textId="77777777" w:rsidR="00557AF5" w:rsidRPr="00A91A7C" w:rsidRDefault="00557AF5" w:rsidP="00557AF5">
      <w:pPr>
        <w:pStyle w:val="SingleTxtG"/>
        <w:ind w:left="2268" w:hanging="1134"/>
        <w:jc w:val="left"/>
        <w:rPr>
          <w:lang w:val="fr-FR"/>
        </w:rPr>
      </w:pPr>
      <w:r w:rsidRPr="00A91A7C">
        <w:rPr>
          <w:i/>
          <w:iCs/>
          <w:lang w:val="fr-FR"/>
        </w:rPr>
        <w:t>Documents </w:t>
      </w:r>
      <w:r w:rsidRPr="00A91A7C">
        <w:rPr>
          <w:lang w:val="fr-FR"/>
        </w:rPr>
        <w:t xml:space="preserve">: </w:t>
      </w:r>
      <w:r w:rsidRPr="00A91A7C">
        <w:rPr>
          <w:lang w:val="fr-FR"/>
        </w:rPr>
        <w:tab/>
        <w:t xml:space="preserve">ECE/TRANS/288 et Add.1/Add.2 (Secrétariat), </w:t>
      </w:r>
      <w:r w:rsidRPr="00A91A7C">
        <w:rPr>
          <w:lang w:val="fr-FR"/>
        </w:rPr>
        <w:br/>
        <w:t>ECE/TRANS/WP.15/246, paragraphe 10</w:t>
      </w:r>
    </w:p>
    <w:p w14:paraId="1EE513F1" w14:textId="77777777" w:rsidR="00557AF5" w:rsidRPr="00A91A7C" w:rsidRDefault="00557AF5" w:rsidP="00557AF5">
      <w:pPr>
        <w:pStyle w:val="SingleTxtG"/>
        <w:ind w:left="2268" w:hanging="1134"/>
        <w:jc w:val="left"/>
        <w:rPr>
          <w:lang w:val="fr-FR"/>
        </w:rPr>
      </w:pPr>
      <w:r w:rsidRPr="00A91A7C">
        <w:rPr>
          <w:i/>
          <w:iCs/>
          <w:lang w:val="fr-FR"/>
        </w:rPr>
        <w:t>Document informel </w:t>
      </w:r>
      <w:r w:rsidRPr="00A91A7C">
        <w:rPr>
          <w:lang w:val="fr-FR"/>
        </w:rPr>
        <w:t>: INF.29 (Turquie)</w:t>
      </w:r>
    </w:p>
    <w:p w14:paraId="553AB8ED" w14:textId="77777777" w:rsidR="00557AF5" w:rsidRPr="00A91A7C" w:rsidRDefault="00557AF5" w:rsidP="00557AF5">
      <w:pPr>
        <w:pStyle w:val="H1G"/>
        <w:rPr>
          <w:lang w:val="fr-FR"/>
        </w:rPr>
      </w:pPr>
      <w:r w:rsidRPr="00A91A7C">
        <w:rPr>
          <w:lang w:val="fr-FR"/>
        </w:rPr>
        <w:tab/>
        <w:t>A.</w:t>
      </w:r>
      <w:r w:rsidRPr="00A91A7C">
        <w:rPr>
          <w:lang w:val="fr-FR"/>
        </w:rPr>
        <w:tab/>
        <w:t>Rapport du Comité des transports intérieurs (CTI) sur sa quatre-vingtième session</w:t>
      </w:r>
    </w:p>
    <w:p w14:paraId="48D534AA" w14:textId="2FD1485F" w:rsidR="00557AF5" w:rsidRPr="00A91A7C" w:rsidRDefault="008A6949" w:rsidP="00557AF5">
      <w:pPr>
        <w:pStyle w:val="SingleTxtG"/>
        <w:rPr>
          <w:lang w:val="fr-FR"/>
        </w:rPr>
      </w:pPr>
      <w:r w:rsidRPr="00A91A7C">
        <w:rPr>
          <w:lang w:val="fr-FR"/>
        </w:rPr>
        <w:t>8</w:t>
      </w:r>
      <w:r w:rsidR="00557AF5" w:rsidRPr="00A91A7C">
        <w:rPr>
          <w:lang w:val="fr-FR"/>
        </w:rPr>
        <w:t>.</w:t>
      </w:r>
      <w:r w:rsidR="00557AF5" w:rsidRPr="00A91A7C">
        <w:rPr>
          <w:lang w:val="fr-FR"/>
        </w:rPr>
        <w:tab/>
        <w:t xml:space="preserve">Le Groupe de travail a noté que le rapport du Comité des transports intérieurs (CTI) sur sa quatre-vingtième session était disponible sur le site Web de la </w:t>
      </w:r>
      <w:r w:rsidR="00146B5F" w:rsidRPr="00A91A7C">
        <w:rPr>
          <w:lang w:val="fr-FR"/>
        </w:rPr>
        <w:t xml:space="preserve">Commission économique pour l’Europe </w:t>
      </w:r>
      <w:r w:rsidR="00D41148" w:rsidRPr="00A91A7C">
        <w:rPr>
          <w:lang w:val="fr-FR"/>
        </w:rPr>
        <w:t>(</w:t>
      </w:r>
      <w:r w:rsidR="00146B5F" w:rsidRPr="00A91A7C">
        <w:rPr>
          <w:lang w:val="fr-FR"/>
        </w:rPr>
        <w:t>CEE</w:t>
      </w:r>
      <w:r w:rsidR="00D41148" w:rsidRPr="00A91A7C">
        <w:rPr>
          <w:lang w:val="fr-FR"/>
        </w:rPr>
        <w:t>)</w:t>
      </w:r>
      <w:r w:rsidR="00557AF5" w:rsidRPr="00A91A7C">
        <w:rPr>
          <w:lang w:val="fr-FR"/>
        </w:rPr>
        <w:t xml:space="preserve"> en anglais, français et russe.</w:t>
      </w:r>
    </w:p>
    <w:p w14:paraId="36522C0F" w14:textId="77777777" w:rsidR="00557AF5" w:rsidRPr="00A91A7C" w:rsidRDefault="00557AF5" w:rsidP="00557AF5">
      <w:pPr>
        <w:pStyle w:val="H1G"/>
        <w:rPr>
          <w:lang w:val="fr-FR"/>
        </w:rPr>
      </w:pPr>
      <w:r w:rsidRPr="00A91A7C">
        <w:rPr>
          <w:lang w:val="fr-FR"/>
        </w:rPr>
        <w:tab/>
        <w:t>B.</w:t>
      </w:r>
      <w:r w:rsidRPr="00A91A7C">
        <w:rPr>
          <w:lang w:val="fr-FR"/>
        </w:rPr>
        <w:tab/>
        <w:t>Stratégie du CTI jusqu'en 2030 et projet de recommandations</w:t>
      </w:r>
    </w:p>
    <w:p w14:paraId="09710E2C" w14:textId="0AD23DC1" w:rsidR="00557AF5" w:rsidRPr="00A91A7C" w:rsidRDefault="008A6949" w:rsidP="00557AF5">
      <w:pPr>
        <w:pStyle w:val="SingleTxtG"/>
        <w:rPr>
          <w:lang w:val="fr-FR"/>
        </w:rPr>
      </w:pPr>
      <w:r w:rsidRPr="00A91A7C">
        <w:rPr>
          <w:lang w:val="fr-FR"/>
        </w:rPr>
        <w:t>9</w:t>
      </w:r>
      <w:r w:rsidR="00557AF5" w:rsidRPr="00A91A7C">
        <w:rPr>
          <w:lang w:val="fr-FR"/>
        </w:rPr>
        <w:t>.</w:t>
      </w:r>
      <w:r w:rsidR="00557AF5" w:rsidRPr="00A91A7C">
        <w:rPr>
          <w:lang w:val="fr-FR"/>
        </w:rPr>
        <w:tab/>
        <w:t xml:space="preserve">Lors de la dernière session réunion du Groupe de travail, le Directeur de la Division des transports durables avait présenté les principaux éléments de la stratégie du CTI jusqu'en 2030 et avait souligné que le Groupe de travail devrait prendre les mesures appropriées pour aligner ses travaux sur la stratégie adoptée. Depuis cette dernière session, la Présidente du </w:t>
      </w:r>
      <w:r w:rsidR="00557AF5" w:rsidRPr="00A91A7C">
        <w:rPr>
          <w:lang w:val="fr-FR"/>
        </w:rPr>
        <w:lastRenderedPageBreak/>
        <w:t>Groupe de travail a transmis aux participants au Groupe de travail une note explicative du secrétariat accompagnée du projet de recommandations du CTI visant à améliorer les systèmes nationaux de sécurité routière pour avis et contribution.</w:t>
      </w:r>
    </w:p>
    <w:p w14:paraId="513975D7" w14:textId="10738699" w:rsidR="00557AF5" w:rsidRPr="00A91A7C" w:rsidRDefault="008A6949" w:rsidP="00557AF5">
      <w:pPr>
        <w:pStyle w:val="SingleTxtG"/>
        <w:rPr>
          <w:lang w:val="fr-FR"/>
        </w:rPr>
      </w:pPr>
      <w:r w:rsidRPr="00A91A7C">
        <w:rPr>
          <w:lang w:val="fr-FR"/>
        </w:rPr>
        <w:t>10</w:t>
      </w:r>
      <w:r w:rsidR="00557AF5" w:rsidRPr="00A91A7C">
        <w:rPr>
          <w:lang w:val="fr-FR"/>
        </w:rPr>
        <w:t>.</w:t>
      </w:r>
      <w:r w:rsidR="00557AF5" w:rsidRPr="00A91A7C">
        <w:rPr>
          <w:lang w:val="fr-FR"/>
        </w:rPr>
        <w:tab/>
        <w:t xml:space="preserve">Le Groupe de travail a approuvé ce projet de recommandations et a confirmé que ses travaux et l’ADR s’inscrivaient pleinement dans la stratégie du CTI. </w:t>
      </w:r>
    </w:p>
    <w:p w14:paraId="246A9A5D" w14:textId="3AFF635D" w:rsidR="00557AF5" w:rsidRPr="00A91A7C" w:rsidRDefault="008A6949" w:rsidP="00557AF5">
      <w:pPr>
        <w:pStyle w:val="SingleTxtG"/>
        <w:rPr>
          <w:lang w:val="fr-FR"/>
        </w:rPr>
      </w:pPr>
      <w:r w:rsidRPr="00A91A7C">
        <w:rPr>
          <w:lang w:val="fr-FR"/>
        </w:rPr>
        <w:t>11</w:t>
      </w:r>
      <w:r w:rsidR="00557AF5" w:rsidRPr="00A91A7C">
        <w:rPr>
          <w:lang w:val="fr-FR"/>
        </w:rPr>
        <w:t>.</w:t>
      </w:r>
      <w:r w:rsidR="00557AF5" w:rsidRPr="00A91A7C">
        <w:rPr>
          <w:lang w:val="fr-FR"/>
        </w:rPr>
        <w:tab/>
        <w:t xml:space="preserve">Le Groupe de travail a rappelé que, </w:t>
      </w:r>
      <w:r w:rsidR="00557AF5" w:rsidRPr="00A91A7C">
        <w:rPr>
          <w:lang w:val="fr-FR" w:eastAsia="en-US"/>
        </w:rPr>
        <w:t xml:space="preserve">pour faciliter la mise en œuvre de l’ADR et pour améliorer la sécurité routière, il était également recommandé d’aligner les législations relatives au transport national des marchandises dangereuses sur l’ADR autant que possible. Le CTI souhaitera peut-être adopter également cette recommandation. </w:t>
      </w:r>
      <w:r w:rsidR="00557AF5" w:rsidRPr="00A91A7C">
        <w:rPr>
          <w:lang w:val="fr-FR"/>
        </w:rPr>
        <w:t xml:space="preserve"> </w:t>
      </w:r>
    </w:p>
    <w:p w14:paraId="28B0B2C9" w14:textId="7293C112" w:rsidR="00557AF5" w:rsidRPr="00A91A7C" w:rsidRDefault="008A6949" w:rsidP="00557AF5">
      <w:pPr>
        <w:pStyle w:val="SingleTxtG"/>
        <w:rPr>
          <w:lang w:val="fr-FR"/>
        </w:rPr>
      </w:pPr>
      <w:r w:rsidRPr="00A91A7C">
        <w:rPr>
          <w:lang w:val="fr-FR"/>
        </w:rPr>
        <w:t>12</w:t>
      </w:r>
      <w:r w:rsidR="00557AF5" w:rsidRPr="00A91A7C">
        <w:rPr>
          <w:lang w:val="fr-FR"/>
        </w:rPr>
        <w:t>.</w:t>
      </w:r>
      <w:r w:rsidR="00557AF5" w:rsidRPr="00A91A7C">
        <w:rPr>
          <w:lang w:val="fr-FR"/>
        </w:rPr>
        <w:tab/>
        <w:t>Le Groupe de travail s’est félicité de la présentation de la représentante de la Turquie sur les avantages à participer aux sessions du Groupe de travail et a repris à son compte les 15 points présentés</w:t>
      </w:r>
      <w:r w:rsidR="00E71CFA" w:rsidRPr="00A91A7C">
        <w:rPr>
          <w:lang w:val="fr-FR"/>
        </w:rPr>
        <w:t xml:space="preserve"> et repris dans le document informel INF.29</w:t>
      </w:r>
      <w:r w:rsidR="00557AF5" w:rsidRPr="00A91A7C">
        <w:rPr>
          <w:lang w:val="fr-FR"/>
        </w:rPr>
        <w:t xml:space="preserve">. Le Groupe de travail a également repris à son compte la déclaration figurant dans le projet de recommandations du CTI : « La participation aux activités des plates-formes intergouvernementales est nécessaire pour élaborer les meilleures pratiques et les nouveaux développements à intégrer dans les systèmes nationaux de sécurité routière afin de maintenir les systèmes à jour. ». </w:t>
      </w:r>
    </w:p>
    <w:p w14:paraId="1DC78A0F" w14:textId="456EA54B" w:rsidR="00557AF5" w:rsidRPr="00A91A7C" w:rsidRDefault="008A6949" w:rsidP="00557AF5">
      <w:pPr>
        <w:pStyle w:val="SingleTxtG"/>
        <w:rPr>
          <w:lang w:val="fr-FR"/>
        </w:rPr>
      </w:pPr>
      <w:r w:rsidRPr="00A91A7C">
        <w:rPr>
          <w:lang w:val="fr-FR"/>
        </w:rPr>
        <w:t>13</w:t>
      </w:r>
      <w:r w:rsidR="00557AF5" w:rsidRPr="00A91A7C">
        <w:rPr>
          <w:lang w:val="fr-FR"/>
        </w:rPr>
        <w:t>.</w:t>
      </w:r>
      <w:r w:rsidR="00557AF5" w:rsidRPr="00A91A7C">
        <w:rPr>
          <w:lang w:val="fr-FR"/>
        </w:rPr>
        <w:tab/>
        <w:t xml:space="preserve">Le représentant de la Tunisie et le représentant </w:t>
      </w:r>
      <w:bookmarkStart w:id="4" w:name="_Hlk25583553"/>
      <w:r w:rsidR="00557AF5" w:rsidRPr="00A91A7C">
        <w:rPr>
          <w:lang w:val="fr-FR"/>
        </w:rPr>
        <w:t>d</w:t>
      </w:r>
      <w:r w:rsidR="006710AF">
        <w:rPr>
          <w:lang w:val="fr-FR"/>
        </w:rPr>
        <w:t xml:space="preserve">u projet </w:t>
      </w:r>
      <w:proofErr w:type="spellStart"/>
      <w:r w:rsidR="00557AF5" w:rsidRPr="00A91A7C">
        <w:rPr>
          <w:lang w:val="fr-FR"/>
        </w:rPr>
        <w:t>Euro</w:t>
      </w:r>
      <w:r w:rsidR="006710AF">
        <w:rPr>
          <w:lang w:val="fr-FR"/>
        </w:rPr>
        <w:t>M</w:t>
      </w:r>
      <w:r w:rsidR="00557AF5" w:rsidRPr="00A91A7C">
        <w:rPr>
          <w:lang w:val="fr-FR"/>
        </w:rPr>
        <w:t>ed</w:t>
      </w:r>
      <w:proofErr w:type="spellEnd"/>
      <w:r w:rsidR="00557AF5" w:rsidRPr="00A91A7C">
        <w:rPr>
          <w:lang w:val="fr-FR"/>
        </w:rPr>
        <w:t xml:space="preserve"> </w:t>
      </w:r>
      <w:bookmarkEnd w:id="4"/>
      <w:r w:rsidR="00557AF5" w:rsidRPr="00A91A7C">
        <w:rPr>
          <w:lang w:val="fr-FR"/>
        </w:rPr>
        <w:t xml:space="preserve">ont rappelé que l’absence d’une version arabe de l’ADR était un obstacle de taille à l’adhésion dans certains pays. Le Groupe de travail a noté que des discussions étaient toujours en cours pour mettre en place un partenariat avec les services linguistiques de l’Office des Nations Unies à Genève sous réserve de trouver les financements nécessaires. Le représentant </w:t>
      </w:r>
      <w:r w:rsidR="006710AF" w:rsidRPr="00A91A7C">
        <w:rPr>
          <w:lang w:val="fr-FR"/>
        </w:rPr>
        <w:t>d</w:t>
      </w:r>
      <w:r w:rsidR="006710AF">
        <w:rPr>
          <w:lang w:val="fr-FR"/>
        </w:rPr>
        <w:t xml:space="preserve">u projet </w:t>
      </w:r>
      <w:proofErr w:type="spellStart"/>
      <w:r w:rsidR="006710AF" w:rsidRPr="00A91A7C">
        <w:rPr>
          <w:lang w:val="fr-FR"/>
        </w:rPr>
        <w:t>Euro</w:t>
      </w:r>
      <w:r w:rsidR="006710AF">
        <w:rPr>
          <w:lang w:val="fr-FR"/>
        </w:rPr>
        <w:t>M</w:t>
      </w:r>
      <w:r w:rsidR="006710AF" w:rsidRPr="00A91A7C">
        <w:rPr>
          <w:lang w:val="fr-FR"/>
        </w:rPr>
        <w:t>ed</w:t>
      </w:r>
      <w:proofErr w:type="spellEnd"/>
      <w:r w:rsidR="006710AF" w:rsidRPr="00A91A7C">
        <w:rPr>
          <w:lang w:val="fr-FR"/>
        </w:rPr>
        <w:t xml:space="preserve"> </w:t>
      </w:r>
      <w:r w:rsidR="00557AF5" w:rsidRPr="00A91A7C">
        <w:rPr>
          <w:lang w:val="fr-FR"/>
        </w:rPr>
        <w:t xml:space="preserve">a indiqué que ce financement pourrait être pris en charge par le projet </w:t>
      </w:r>
      <w:proofErr w:type="spellStart"/>
      <w:r w:rsidR="00557AF5" w:rsidRPr="00A91A7C">
        <w:rPr>
          <w:lang w:val="fr-FR"/>
        </w:rPr>
        <w:t>Euro</w:t>
      </w:r>
      <w:r w:rsidR="006710AF">
        <w:rPr>
          <w:lang w:val="fr-FR"/>
        </w:rPr>
        <w:t>M</w:t>
      </w:r>
      <w:r w:rsidR="00557AF5" w:rsidRPr="00A91A7C">
        <w:rPr>
          <w:lang w:val="fr-FR"/>
        </w:rPr>
        <w:t>ed</w:t>
      </w:r>
      <w:proofErr w:type="spellEnd"/>
      <w:r w:rsidR="00557AF5" w:rsidRPr="00A91A7C">
        <w:rPr>
          <w:lang w:val="fr-FR"/>
        </w:rPr>
        <w:t xml:space="preserve"> pour la traduction d’une première version consolidée de l’ADR mais qu’il conviendrait de trouver une solution à long terme pour la prise en compte des amendements bisannuels. </w:t>
      </w:r>
      <w:bookmarkEnd w:id="3"/>
    </w:p>
    <w:p w14:paraId="3395D67F" w14:textId="2939FD8A" w:rsidR="00C5191F" w:rsidRPr="00A91A7C" w:rsidRDefault="00CC410A" w:rsidP="00C5191F">
      <w:pPr>
        <w:pStyle w:val="SingleTxtG"/>
        <w:rPr>
          <w:lang w:val="fr-FR"/>
        </w:rPr>
      </w:pPr>
      <w:bookmarkStart w:id="5" w:name="_Hlk24985109"/>
      <w:r w:rsidRPr="00A91A7C">
        <w:rPr>
          <w:lang w:val="fr-FR"/>
        </w:rPr>
        <w:t>14</w:t>
      </w:r>
      <w:r w:rsidR="00C5191F" w:rsidRPr="00A91A7C">
        <w:rPr>
          <w:lang w:val="fr-FR"/>
        </w:rPr>
        <w:t>.</w:t>
      </w:r>
      <w:r w:rsidR="00C5191F" w:rsidRPr="00A91A7C">
        <w:rPr>
          <w:lang w:val="fr-FR"/>
        </w:rPr>
        <w:tab/>
        <w:t>Le représentant des Pays-Bas a souhaité rappeler l’engagement politique de son pays envers l’amélioration de la sécurité et la réduction de l’empreinte environnementale des opérations de transport. Les Pays-Bas ont notamment pour objectifs :</w:t>
      </w:r>
    </w:p>
    <w:p w14:paraId="16529E55" w14:textId="203B44A8" w:rsidR="00C5191F" w:rsidRPr="00A91A7C" w:rsidRDefault="006710AF" w:rsidP="006710AF">
      <w:pPr>
        <w:pStyle w:val="SingleTxtG"/>
        <w:ind w:left="1701"/>
        <w:rPr>
          <w:lang w:val="fr-FR"/>
        </w:rPr>
      </w:pPr>
      <w:r>
        <w:rPr>
          <w:lang w:val="fr-FR"/>
        </w:rPr>
        <w:t>a)</w:t>
      </w:r>
      <w:r>
        <w:rPr>
          <w:lang w:val="fr-FR"/>
        </w:rPr>
        <w:tab/>
      </w:r>
      <w:r w:rsidR="00C5191F" w:rsidRPr="00A91A7C">
        <w:rPr>
          <w:lang w:val="fr-FR"/>
        </w:rPr>
        <w:t>La réduction des émissions des véhicules grâce à l'utilisation de carburants alternatifs et d’autres systèmes de propulsion comme les moteurs électriques ;</w:t>
      </w:r>
    </w:p>
    <w:p w14:paraId="7A90CE56" w14:textId="3E126596" w:rsidR="00C5191F" w:rsidRPr="00A91A7C" w:rsidRDefault="006710AF" w:rsidP="006710AF">
      <w:pPr>
        <w:pStyle w:val="SingleTxtG"/>
        <w:ind w:left="1701"/>
        <w:rPr>
          <w:lang w:val="fr-FR"/>
        </w:rPr>
      </w:pPr>
      <w:r>
        <w:rPr>
          <w:lang w:val="fr-FR"/>
        </w:rPr>
        <w:t>b)</w:t>
      </w:r>
      <w:r>
        <w:rPr>
          <w:lang w:val="fr-FR"/>
        </w:rPr>
        <w:tab/>
      </w:r>
      <w:r w:rsidR="00C5191F" w:rsidRPr="00A91A7C">
        <w:rPr>
          <w:lang w:val="fr-FR"/>
        </w:rPr>
        <w:t>L’utilisation de systèmes d'assistance à la conduite pour prévenir les accidents ;</w:t>
      </w:r>
    </w:p>
    <w:p w14:paraId="2048A092" w14:textId="6744B7C5" w:rsidR="00C5191F" w:rsidRPr="00A91A7C" w:rsidRDefault="006710AF" w:rsidP="006710AF">
      <w:pPr>
        <w:pStyle w:val="SingleTxtG"/>
        <w:ind w:left="1701"/>
        <w:rPr>
          <w:lang w:val="fr-FR"/>
        </w:rPr>
      </w:pPr>
      <w:r>
        <w:rPr>
          <w:lang w:val="fr-FR"/>
        </w:rPr>
        <w:t>c)</w:t>
      </w:r>
      <w:r>
        <w:rPr>
          <w:lang w:val="fr-FR"/>
        </w:rPr>
        <w:tab/>
      </w:r>
      <w:r w:rsidR="00C5191F" w:rsidRPr="00A91A7C">
        <w:rPr>
          <w:lang w:val="fr-FR"/>
        </w:rPr>
        <w:t>La prévention des incendies ;</w:t>
      </w:r>
    </w:p>
    <w:p w14:paraId="1D44C719" w14:textId="4494D647" w:rsidR="00C5191F" w:rsidRPr="00A91A7C" w:rsidRDefault="006710AF" w:rsidP="006710AF">
      <w:pPr>
        <w:pStyle w:val="SingleTxtG"/>
        <w:ind w:left="1701"/>
        <w:rPr>
          <w:lang w:val="fr-FR"/>
        </w:rPr>
      </w:pPr>
      <w:r>
        <w:rPr>
          <w:lang w:val="fr-FR"/>
        </w:rPr>
        <w:t>d)</w:t>
      </w:r>
      <w:r>
        <w:rPr>
          <w:lang w:val="fr-FR"/>
        </w:rPr>
        <w:tab/>
      </w:r>
      <w:r w:rsidR="00C5191F" w:rsidRPr="00A91A7C">
        <w:rPr>
          <w:lang w:val="fr-FR"/>
        </w:rPr>
        <w:t>Le recyclage et la réutilisation des matériaux d'emballage ;</w:t>
      </w:r>
    </w:p>
    <w:p w14:paraId="7296DD8D" w14:textId="4D93A0AF" w:rsidR="00C5191F" w:rsidRPr="00A91A7C" w:rsidRDefault="006710AF" w:rsidP="006710AF">
      <w:pPr>
        <w:pStyle w:val="SingleTxtG"/>
        <w:ind w:left="1701"/>
        <w:rPr>
          <w:lang w:val="fr-FR"/>
        </w:rPr>
      </w:pPr>
      <w:r>
        <w:rPr>
          <w:lang w:val="fr-FR"/>
        </w:rPr>
        <w:t>e)</w:t>
      </w:r>
      <w:r>
        <w:rPr>
          <w:lang w:val="fr-FR"/>
        </w:rPr>
        <w:tab/>
      </w:r>
      <w:r w:rsidR="00C5191F" w:rsidRPr="00A91A7C">
        <w:rPr>
          <w:lang w:val="fr-FR"/>
        </w:rPr>
        <w:t>La conception et l’utilisation d’emballage sûrs.</w:t>
      </w:r>
    </w:p>
    <w:p w14:paraId="5C823D33" w14:textId="114B4BD7" w:rsidR="00C5191F" w:rsidRPr="00A91A7C" w:rsidRDefault="00CC410A" w:rsidP="00C5191F">
      <w:pPr>
        <w:pStyle w:val="SingleTxtG"/>
        <w:rPr>
          <w:lang w:val="fr-FR"/>
        </w:rPr>
      </w:pPr>
      <w:r w:rsidRPr="00A91A7C">
        <w:rPr>
          <w:lang w:val="fr-FR"/>
        </w:rPr>
        <w:t>15</w:t>
      </w:r>
      <w:r w:rsidR="00C5191F" w:rsidRPr="00A91A7C">
        <w:rPr>
          <w:lang w:val="fr-FR"/>
        </w:rPr>
        <w:t>.</w:t>
      </w:r>
      <w:r w:rsidR="00C5191F" w:rsidRPr="00A91A7C">
        <w:rPr>
          <w:lang w:val="fr-FR"/>
        </w:rPr>
        <w:tab/>
        <w:t xml:space="preserve">Le représentant des Pays-Bas </w:t>
      </w:r>
      <w:r w:rsidR="00162AB6" w:rsidRPr="00A91A7C">
        <w:rPr>
          <w:lang w:val="fr-FR"/>
        </w:rPr>
        <w:t xml:space="preserve">a indiqué qu’il </w:t>
      </w:r>
      <w:r w:rsidR="00C5191F" w:rsidRPr="00A91A7C">
        <w:rPr>
          <w:lang w:val="fr-FR"/>
        </w:rPr>
        <w:t>sout</w:t>
      </w:r>
      <w:r w:rsidR="00162AB6" w:rsidRPr="00A91A7C">
        <w:rPr>
          <w:lang w:val="fr-FR"/>
        </w:rPr>
        <w:t>enait</w:t>
      </w:r>
      <w:r w:rsidR="00C5191F" w:rsidRPr="00A91A7C">
        <w:rPr>
          <w:lang w:val="fr-FR"/>
        </w:rPr>
        <w:t xml:space="preserve"> la poursuite des travaux sur ces questions au sein du Groupe de travail dans un souci d’atteindre les objectifs de développement durable énoncés dans la stratégie du CTI pour 2030.</w:t>
      </w:r>
    </w:p>
    <w:bookmarkEnd w:id="5"/>
    <w:p w14:paraId="0B082E67" w14:textId="77777777" w:rsidR="00557AF5" w:rsidRPr="00A91A7C" w:rsidRDefault="00557AF5" w:rsidP="00557AF5">
      <w:pPr>
        <w:pStyle w:val="HChG"/>
        <w:rPr>
          <w:lang w:val="fr-FR"/>
        </w:rPr>
      </w:pPr>
      <w:r w:rsidRPr="00A91A7C">
        <w:rPr>
          <w:lang w:val="fr-FR"/>
        </w:rPr>
        <w:tab/>
        <w:t>IV.</w:t>
      </w:r>
      <w:r w:rsidRPr="00A91A7C">
        <w:rPr>
          <w:lang w:val="fr-FR"/>
        </w:rPr>
        <w:tab/>
        <w:t>État de l’Accord européen relatif au transport international des marchandises dangereuses par route (ADR) et questions connexes (point 3 de l’ordre du jour)</w:t>
      </w:r>
    </w:p>
    <w:p w14:paraId="53E8EDCC" w14:textId="10A92DA8" w:rsidR="00557AF5" w:rsidRPr="00A91A7C" w:rsidRDefault="002D7220" w:rsidP="00557AF5">
      <w:pPr>
        <w:pStyle w:val="SingleTxtG"/>
        <w:rPr>
          <w:lang w:val="fr-FR"/>
        </w:rPr>
      </w:pPr>
      <w:r w:rsidRPr="00A91A7C">
        <w:rPr>
          <w:lang w:val="fr-FR"/>
        </w:rPr>
        <w:t>16</w:t>
      </w:r>
      <w:r w:rsidR="00557AF5" w:rsidRPr="00A91A7C">
        <w:rPr>
          <w:lang w:val="fr-FR"/>
        </w:rPr>
        <w:t>.</w:t>
      </w:r>
      <w:r w:rsidR="00557AF5" w:rsidRPr="00A91A7C">
        <w:rPr>
          <w:lang w:val="fr-FR"/>
        </w:rPr>
        <w:tab/>
        <w:t xml:space="preserve">Le Groupe de travail a noté qu’il n’y avait pas de nouvelles parties contractantes à l’ADR. </w:t>
      </w:r>
    </w:p>
    <w:p w14:paraId="29F796C8" w14:textId="59AD9D07" w:rsidR="00557AF5" w:rsidRPr="00A91A7C" w:rsidRDefault="002D7220" w:rsidP="00557AF5">
      <w:pPr>
        <w:pStyle w:val="SingleTxtG"/>
        <w:rPr>
          <w:lang w:val="fr-FR"/>
        </w:rPr>
      </w:pPr>
      <w:r w:rsidRPr="00A91A7C">
        <w:rPr>
          <w:lang w:val="fr-FR"/>
        </w:rPr>
        <w:t>17</w:t>
      </w:r>
      <w:r w:rsidR="00557AF5" w:rsidRPr="00A91A7C">
        <w:rPr>
          <w:lang w:val="fr-FR"/>
        </w:rPr>
        <w:t>.</w:t>
      </w:r>
      <w:r w:rsidR="00557AF5" w:rsidRPr="00A91A7C">
        <w:rPr>
          <w:lang w:val="fr-FR"/>
        </w:rPr>
        <w:tab/>
        <w:t>Le Groupe de travail a noté que treize pays (Azerbaïdjan, Bélarus, Bosnie-Herzégovine, Croatie, Géorgie, Islande, Kazakhstan, Macédoine du Nord, Maroc, Monténégro, Nigéria, San Marin et Tadjikistan) n’</w:t>
      </w:r>
      <w:r w:rsidR="006710AF">
        <w:rPr>
          <w:lang w:val="fr-FR"/>
        </w:rPr>
        <w:t>avaient</w:t>
      </w:r>
      <w:r w:rsidR="00557AF5" w:rsidRPr="00A91A7C">
        <w:rPr>
          <w:lang w:val="fr-FR"/>
        </w:rPr>
        <w:t xml:space="preserve"> pas encore déposé l’instrument juridique approprié pour que le Protocole puisse entrer en vigueur et a encouragé ces pays à prendre les mesures nécessaires pour ratifier ou accéder à ce Protocole, afin qu’il puisse prendre effet. Le Groupe de travail a noté avec satisfaction que le Ministère des affaires étrangères de Malte avait transmis au secrétariat son instrument d'adhésion au Protocole de </w:t>
      </w:r>
      <w:r w:rsidR="00557AF5" w:rsidRPr="00A91A7C">
        <w:rPr>
          <w:lang w:val="fr-FR"/>
        </w:rPr>
        <w:lastRenderedPageBreak/>
        <w:t xml:space="preserve">1993 et contacté le Bureau des Affaires Juridiques des Nations Unies pour soumettre cette notification au Dépositaire. </w:t>
      </w:r>
      <w:r w:rsidR="006710AF">
        <w:rPr>
          <w:rStyle w:val="FootnoteReference"/>
        </w:rPr>
        <w:footnoteReference w:id="2"/>
      </w:r>
    </w:p>
    <w:p w14:paraId="1A60512C" w14:textId="77777777" w:rsidR="00557AF5" w:rsidRPr="00A91A7C" w:rsidRDefault="00557AF5" w:rsidP="00557AF5">
      <w:pPr>
        <w:pStyle w:val="HChG"/>
        <w:rPr>
          <w:lang w:val="fr-FR"/>
        </w:rPr>
      </w:pPr>
      <w:r w:rsidRPr="00A91A7C">
        <w:rPr>
          <w:lang w:val="fr-FR"/>
        </w:rPr>
        <w:tab/>
        <w:t>V.</w:t>
      </w:r>
      <w:r w:rsidRPr="00A91A7C">
        <w:rPr>
          <w:lang w:val="fr-FR"/>
        </w:rPr>
        <w:tab/>
        <w:t>Travaux de la Réunion commune RID/ADR/ADN (point 4 de l’ordre du jour)</w:t>
      </w:r>
    </w:p>
    <w:p w14:paraId="7C16C8A4" w14:textId="77777777" w:rsidR="00557AF5" w:rsidRPr="00A91A7C" w:rsidRDefault="00557AF5" w:rsidP="00557AF5">
      <w:pPr>
        <w:pStyle w:val="SingleTxtG"/>
        <w:keepNext/>
        <w:keepLines/>
        <w:ind w:left="2268" w:hanging="1134"/>
        <w:jc w:val="left"/>
        <w:rPr>
          <w:lang w:val="fr-FR"/>
        </w:rPr>
      </w:pPr>
      <w:r w:rsidRPr="00A91A7C">
        <w:rPr>
          <w:i/>
          <w:lang w:val="fr-FR"/>
        </w:rPr>
        <w:t>Documents </w:t>
      </w:r>
      <w:r w:rsidRPr="00A91A7C">
        <w:rPr>
          <w:lang w:val="fr-FR"/>
        </w:rPr>
        <w:t>:</w:t>
      </w:r>
      <w:r w:rsidRPr="00A91A7C">
        <w:rPr>
          <w:lang w:val="fr-FR"/>
        </w:rPr>
        <w:tab/>
      </w:r>
      <w:r w:rsidRPr="00A91A7C">
        <w:rPr>
          <w:lang w:val="fr-FR"/>
        </w:rPr>
        <w:tab/>
        <w:t>ECE/TRANS/WP.15/AC.1/2019/22/Add.1 et ECE/TRANS/WP.15/AC.1/156 et Add.1 (Rapport de la Réunion commune sur sa session d’automne 2019)</w:t>
      </w:r>
    </w:p>
    <w:p w14:paraId="111C3C9C" w14:textId="07E628A4" w:rsidR="00557AF5" w:rsidRPr="00A91A7C" w:rsidRDefault="00557AF5" w:rsidP="00557AF5">
      <w:pPr>
        <w:pStyle w:val="SingleTxtG"/>
        <w:tabs>
          <w:tab w:val="left" w:pos="3000"/>
        </w:tabs>
        <w:ind w:left="2268" w:hanging="1134"/>
        <w:jc w:val="left"/>
        <w:rPr>
          <w:szCs w:val="24"/>
          <w:lang w:val="fr-FR"/>
        </w:rPr>
      </w:pPr>
      <w:r w:rsidRPr="00A91A7C">
        <w:rPr>
          <w:i/>
          <w:lang w:val="fr-FR"/>
        </w:rPr>
        <w:t>Documents informels </w:t>
      </w:r>
      <w:r w:rsidRPr="00A91A7C">
        <w:rPr>
          <w:lang w:val="fr-FR"/>
        </w:rPr>
        <w:t>:</w:t>
      </w:r>
      <w:r w:rsidRPr="00A91A7C">
        <w:rPr>
          <w:lang w:val="fr-FR"/>
        </w:rPr>
        <w:tab/>
      </w:r>
      <w:r w:rsidRPr="00A91A7C">
        <w:rPr>
          <w:lang w:val="fr-FR"/>
        </w:rPr>
        <w:tab/>
      </w:r>
      <w:r w:rsidR="00162AB6" w:rsidRPr="00A91A7C">
        <w:rPr>
          <w:lang w:val="fr-FR"/>
        </w:rPr>
        <w:t xml:space="preserve">INF.4 (Suisse), </w:t>
      </w:r>
      <w:r w:rsidRPr="00A91A7C">
        <w:rPr>
          <w:szCs w:val="24"/>
          <w:lang w:val="fr-FR"/>
        </w:rPr>
        <w:t>INF.7 (Secrétariat), INF.17 et Add.1 (Secrétariat), INF.25 (Suisse), INF.26 (France)</w:t>
      </w:r>
      <w:r w:rsidR="00162AB6" w:rsidRPr="00A91A7C">
        <w:rPr>
          <w:szCs w:val="24"/>
          <w:lang w:val="fr-FR"/>
        </w:rPr>
        <w:t>, INF.27 (Secrétariat)</w:t>
      </w:r>
    </w:p>
    <w:p w14:paraId="034DD80F" w14:textId="77777777" w:rsidR="00557AF5" w:rsidRPr="00A91A7C" w:rsidRDefault="00557AF5" w:rsidP="00557AF5">
      <w:pPr>
        <w:pStyle w:val="H1G"/>
        <w:rPr>
          <w:lang w:val="fr-FR"/>
        </w:rPr>
      </w:pPr>
      <w:r w:rsidRPr="00A91A7C">
        <w:rPr>
          <w:lang w:val="fr-FR"/>
        </w:rPr>
        <w:tab/>
        <w:t>A.</w:t>
      </w:r>
      <w:r w:rsidRPr="00A91A7C">
        <w:rPr>
          <w:lang w:val="fr-FR"/>
        </w:rPr>
        <w:tab/>
        <w:t>Généralités</w:t>
      </w:r>
    </w:p>
    <w:p w14:paraId="5C667171" w14:textId="6EC750D2" w:rsidR="00557AF5" w:rsidRPr="00A91A7C" w:rsidRDefault="002D7220" w:rsidP="00557AF5">
      <w:pPr>
        <w:pStyle w:val="SingleTxtG"/>
        <w:rPr>
          <w:lang w:val="fr-FR"/>
        </w:rPr>
      </w:pPr>
      <w:r w:rsidRPr="00A91A7C">
        <w:rPr>
          <w:lang w:val="fr-FR"/>
        </w:rPr>
        <w:t>18</w:t>
      </w:r>
      <w:r w:rsidR="00557AF5" w:rsidRPr="00A91A7C">
        <w:rPr>
          <w:lang w:val="fr-FR"/>
        </w:rPr>
        <w:t>.</w:t>
      </w:r>
      <w:r w:rsidR="00557AF5" w:rsidRPr="00A91A7C">
        <w:rPr>
          <w:lang w:val="fr-FR"/>
        </w:rPr>
        <w:tab/>
        <w:t xml:space="preserve">Le Groupe de travail a entériné les amendements adoptés par la Réunion commune, avec quelques modifications (voir annexe </w:t>
      </w:r>
      <w:r w:rsidR="00162AB6" w:rsidRPr="00A91A7C">
        <w:rPr>
          <w:lang w:val="fr-FR"/>
        </w:rPr>
        <w:t>I).</w:t>
      </w:r>
    </w:p>
    <w:p w14:paraId="611AEC85" w14:textId="77777777" w:rsidR="00557AF5" w:rsidRPr="00A91A7C" w:rsidRDefault="00557AF5" w:rsidP="00557AF5">
      <w:pPr>
        <w:pStyle w:val="H1G"/>
        <w:rPr>
          <w:lang w:val="fr-FR"/>
        </w:rPr>
      </w:pPr>
      <w:r w:rsidRPr="00A91A7C">
        <w:rPr>
          <w:lang w:val="fr-FR"/>
        </w:rPr>
        <w:tab/>
        <w:t>B.</w:t>
      </w:r>
      <w:r w:rsidRPr="00A91A7C">
        <w:rPr>
          <w:lang w:val="fr-FR"/>
        </w:rPr>
        <w:tab/>
        <w:t>Questions spécifiques</w:t>
      </w:r>
    </w:p>
    <w:p w14:paraId="60F08D72" w14:textId="6F748378" w:rsidR="00557AF5" w:rsidRPr="0003266E" w:rsidRDefault="00557AF5" w:rsidP="0003266E">
      <w:pPr>
        <w:pStyle w:val="H23G"/>
      </w:pPr>
      <w:r w:rsidRPr="0003266E">
        <w:tab/>
        <w:t>1.</w:t>
      </w:r>
      <w:r w:rsidRPr="0003266E">
        <w:tab/>
        <w:t xml:space="preserve">Travaux du groupe de travail informel de la Réunion commune sur les contrôles et la certification des citernes </w:t>
      </w:r>
    </w:p>
    <w:p w14:paraId="076F342C" w14:textId="77777777" w:rsidR="00557AF5" w:rsidRPr="00A91A7C" w:rsidRDefault="00557AF5" w:rsidP="00557AF5">
      <w:pPr>
        <w:pStyle w:val="SingleTxtG"/>
        <w:tabs>
          <w:tab w:val="left" w:pos="3000"/>
        </w:tabs>
        <w:ind w:left="2268" w:hanging="1134"/>
        <w:jc w:val="left"/>
        <w:rPr>
          <w:szCs w:val="24"/>
          <w:lang w:val="fr-FR"/>
        </w:rPr>
      </w:pPr>
      <w:r w:rsidRPr="00A91A7C">
        <w:rPr>
          <w:i/>
          <w:lang w:val="fr-FR"/>
        </w:rPr>
        <w:t>Document informel </w:t>
      </w:r>
      <w:r w:rsidRPr="00A91A7C">
        <w:rPr>
          <w:lang w:val="fr-FR"/>
        </w:rPr>
        <w:t>:</w:t>
      </w:r>
      <w:r w:rsidRPr="00A91A7C">
        <w:rPr>
          <w:lang w:val="fr-FR"/>
        </w:rPr>
        <w:tab/>
      </w:r>
      <w:r w:rsidRPr="00A91A7C">
        <w:rPr>
          <w:szCs w:val="24"/>
          <w:lang w:val="fr-FR"/>
        </w:rPr>
        <w:t>INF.26 (France)</w:t>
      </w:r>
    </w:p>
    <w:p w14:paraId="503122B9" w14:textId="50AD0734" w:rsidR="00557AF5" w:rsidRPr="00A91A7C" w:rsidRDefault="002D7220" w:rsidP="00557AF5">
      <w:pPr>
        <w:pStyle w:val="SingleTxtG"/>
        <w:rPr>
          <w:lang w:val="fr-FR"/>
        </w:rPr>
      </w:pPr>
      <w:r w:rsidRPr="00A91A7C">
        <w:rPr>
          <w:lang w:val="fr-FR"/>
        </w:rPr>
        <w:t>19</w:t>
      </w:r>
      <w:r w:rsidR="00557AF5" w:rsidRPr="00A91A7C">
        <w:rPr>
          <w:lang w:val="fr-FR"/>
        </w:rPr>
        <w:t>.</w:t>
      </w:r>
      <w:r w:rsidR="00557AF5" w:rsidRPr="00A91A7C">
        <w:rPr>
          <w:lang w:val="fr-FR"/>
        </w:rPr>
        <w:tab/>
        <w:t>Le Groupe de travail a noté que les propositions d’amendements du groupe de travail informel de la Réunion commune sur les contrôles et la certification des citernes seraient discutées à la session de printemps 2020 de la Réunion commune et que le Groupe de travail pourrait être appelé à adopter formellement ces amendements à sa prochaine session.</w:t>
      </w:r>
    </w:p>
    <w:p w14:paraId="080DE987" w14:textId="18FA3859" w:rsidR="00557AF5" w:rsidRPr="00A91A7C" w:rsidRDefault="002D7220" w:rsidP="00557AF5">
      <w:pPr>
        <w:pStyle w:val="SingleTxtG"/>
        <w:rPr>
          <w:lang w:val="fr-FR"/>
        </w:rPr>
      </w:pPr>
      <w:r w:rsidRPr="00A91A7C">
        <w:rPr>
          <w:lang w:val="fr-FR"/>
        </w:rPr>
        <w:t>20</w:t>
      </w:r>
      <w:r w:rsidR="00557AF5" w:rsidRPr="00A91A7C">
        <w:rPr>
          <w:lang w:val="fr-FR"/>
        </w:rPr>
        <w:t>.</w:t>
      </w:r>
      <w:r w:rsidR="00557AF5" w:rsidRPr="00A91A7C">
        <w:rPr>
          <w:lang w:val="fr-FR"/>
        </w:rPr>
        <w:tab/>
        <w:t>Le Groupe de travail a invité les délégations qui le souhaiteraient à envoyer leurs observations et leurs propositions sur les projets d’amendements au Président du groupe de travail informel</w:t>
      </w:r>
      <w:r w:rsidR="00557AF5" w:rsidRPr="00A91A7C">
        <w:rPr>
          <w:rStyle w:val="FootnoteReference"/>
          <w:lang w:val="fr-FR"/>
        </w:rPr>
        <w:footnoteReference w:id="3"/>
      </w:r>
      <w:r w:rsidR="00557AF5" w:rsidRPr="00A91A7C">
        <w:rPr>
          <w:lang w:val="fr-FR"/>
        </w:rPr>
        <w:t xml:space="preserve"> dès que possible et avant la prochaine session du groupe informel prévue du 11 au 13 décembre 2019. </w:t>
      </w:r>
    </w:p>
    <w:p w14:paraId="18C49D1D" w14:textId="77777777" w:rsidR="00557AF5" w:rsidRPr="0003266E" w:rsidRDefault="00557AF5" w:rsidP="0003266E">
      <w:pPr>
        <w:pStyle w:val="H23G"/>
      </w:pPr>
      <w:r w:rsidRPr="0003266E">
        <w:tab/>
        <w:t>2.</w:t>
      </w:r>
      <w:r w:rsidRPr="0003266E">
        <w:tab/>
        <w:t>Référence à l’instruction d’emballage P801 dans l’instruction d’emballage P003, disposition spéciale d’emballage PP16</w:t>
      </w:r>
    </w:p>
    <w:p w14:paraId="49CC166F" w14:textId="169AF504" w:rsidR="00557AF5" w:rsidRPr="00A91A7C" w:rsidRDefault="00557AF5" w:rsidP="00557AF5">
      <w:pPr>
        <w:pStyle w:val="SingleTxtG"/>
        <w:tabs>
          <w:tab w:val="left" w:pos="3000"/>
        </w:tabs>
        <w:ind w:left="2268" w:hanging="1134"/>
        <w:jc w:val="left"/>
        <w:rPr>
          <w:szCs w:val="24"/>
          <w:lang w:val="fr-FR"/>
        </w:rPr>
      </w:pPr>
      <w:r w:rsidRPr="00A91A7C">
        <w:rPr>
          <w:i/>
          <w:lang w:val="fr-FR"/>
        </w:rPr>
        <w:t>Document informel </w:t>
      </w:r>
      <w:r w:rsidRPr="00A91A7C">
        <w:rPr>
          <w:lang w:val="fr-FR"/>
        </w:rPr>
        <w:t>:</w:t>
      </w:r>
      <w:r w:rsidRPr="00A91A7C">
        <w:rPr>
          <w:lang w:val="fr-FR"/>
        </w:rPr>
        <w:tab/>
      </w:r>
      <w:r w:rsidRPr="00A91A7C">
        <w:rPr>
          <w:szCs w:val="24"/>
          <w:lang w:val="fr-FR"/>
        </w:rPr>
        <w:t>INF.27 (Secrétariat)</w:t>
      </w:r>
    </w:p>
    <w:p w14:paraId="3585834E" w14:textId="52507BBB" w:rsidR="00557AF5" w:rsidRPr="00A91A7C" w:rsidRDefault="00557AF5" w:rsidP="00557AF5">
      <w:pPr>
        <w:pStyle w:val="SingleTxtG"/>
        <w:rPr>
          <w:lang w:val="fr-FR"/>
        </w:rPr>
      </w:pPr>
      <w:r w:rsidRPr="00A91A7C">
        <w:rPr>
          <w:lang w:val="fr-FR"/>
        </w:rPr>
        <w:t>21.</w:t>
      </w:r>
      <w:r w:rsidRPr="00A91A7C">
        <w:rPr>
          <w:lang w:val="fr-FR"/>
        </w:rPr>
        <w:tab/>
        <w:t xml:space="preserve">Le Groupe de travail a adopté la modification de l’amendement à l’instruction d’emballage P003, disposition spéciale d’emballage PP16 dans le document informel INF.7 afin que le Nota 2 de cette disposition d’emballage renvoie à l’instruction d’emballage P801 dans son ensemble (voir annexe </w:t>
      </w:r>
      <w:r w:rsidR="00162AB6" w:rsidRPr="00A91A7C">
        <w:rPr>
          <w:lang w:val="fr-FR"/>
        </w:rPr>
        <w:t>I).</w:t>
      </w:r>
    </w:p>
    <w:p w14:paraId="5E0B1F26" w14:textId="77777777" w:rsidR="00557AF5" w:rsidRPr="00A91A7C" w:rsidRDefault="00557AF5" w:rsidP="00557AF5">
      <w:pPr>
        <w:pStyle w:val="SingleTxtG"/>
        <w:rPr>
          <w:lang w:val="fr-FR"/>
        </w:rPr>
      </w:pPr>
      <w:r w:rsidRPr="00A91A7C">
        <w:rPr>
          <w:lang w:val="fr-FR"/>
        </w:rPr>
        <w:t>22.</w:t>
      </w:r>
      <w:r w:rsidRPr="00A91A7C">
        <w:rPr>
          <w:lang w:val="fr-FR"/>
        </w:rPr>
        <w:tab/>
        <w:t>Plusieurs délégations étaient d’avis que les textes de ces instructions d’emballage pourraient être clarifiés dans le futur en ce qui concerne leur utilisation pour le No ONU 2800. Le Groupe de travail a invité les délégations qui le souhaiteraient à soumettre des propositions en ce sens à la Réunion commune.</w:t>
      </w:r>
    </w:p>
    <w:p w14:paraId="6BB6F082" w14:textId="77777777" w:rsidR="00557AF5" w:rsidRPr="00A91A7C" w:rsidRDefault="00557AF5" w:rsidP="00557AF5">
      <w:pPr>
        <w:pStyle w:val="H23G"/>
        <w:rPr>
          <w:lang w:val="fr-FR"/>
        </w:rPr>
      </w:pPr>
      <w:r w:rsidRPr="00A91A7C">
        <w:rPr>
          <w:lang w:val="fr-FR"/>
        </w:rPr>
        <w:tab/>
        <w:t>3.</w:t>
      </w:r>
      <w:r w:rsidRPr="00A91A7C">
        <w:rPr>
          <w:lang w:val="fr-FR"/>
        </w:rPr>
        <w:tab/>
        <w:t>Lignes directrices pour l’application du paragraphe 5.4.0.2</w:t>
      </w:r>
    </w:p>
    <w:p w14:paraId="6435A728" w14:textId="51B66262" w:rsidR="00557AF5" w:rsidRPr="00A91A7C" w:rsidRDefault="00557AF5" w:rsidP="00557AF5">
      <w:pPr>
        <w:pStyle w:val="SingleTxtG"/>
        <w:tabs>
          <w:tab w:val="left" w:pos="3000"/>
        </w:tabs>
        <w:ind w:left="2268" w:hanging="1134"/>
        <w:jc w:val="left"/>
        <w:rPr>
          <w:szCs w:val="24"/>
          <w:lang w:val="fr-FR"/>
        </w:rPr>
      </w:pPr>
      <w:r w:rsidRPr="00A91A7C">
        <w:rPr>
          <w:i/>
          <w:lang w:val="fr-FR"/>
        </w:rPr>
        <w:t>Document informel </w:t>
      </w:r>
      <w:r w:rsidRPr="00A91A7C">
        <w:rPr>
          <w:lang w:val="fr-FR"/>
        </w:rPr>
        <w:t>:</w:t>
      </w:r>
      <w:r w:rsidRPr="00A91A7C">
        <w:rPr>
          <w:lang w:val="fr-FR"/>
        </w:rPr>
        <w:tab/>
      </w:r>
      <w:r w:rsidRPr="00A91A7C">
        <w:rPr>
          <w:szCs w:val="24"/>
          <w:lang w:val="fr-FR"/>
        </w:rPr>
        <w:t>INF.17 et Add.1 (Secrétariat)</w:t>
      </w:r>
    </w:p>
    <w:p w14:paraId="795A9427" w14:textId="74A7A71F" w:rsidR="00557AF5" w:rsidRPr="00A91A7C" w:rsidRDefault="002D7220" w:rsidP="00557AF5">
      <w:pPr>
        <w:pStyle w:val="SingleTxtG"/>
        <w:rPr>
          <w:lang w:val="fr-FR"/>
        </w:rPr>
      </w:pPr>
      <w:r w:rsidRPr="00A91A7C">
        <w:rPr>
          <w:lang w:val="fr-FR"/>
        </w:rPr>
        <w:t>23</w:t>
      </w:r>
      <w:r w:rsidR="00557AF5" w:rsidRPr="00A91A7C">
        <w:rPr>
          <w:lang w:val="fr-FR"/>
        </w:rPr>
        <w:t>.</w:t>
      </w:r>
      <w:r w:rsidR="00557AF5" w:rsidRPr="00A91A7C">
        <w:rPr>
          <w:lang w:val="fr-FR"/>
        </w:rPr>
        <w:tab/>
        <w:t>Le Groupe de travail s’est félicité des résultats obtenus par le groupe de travail informel sur la télématique de la Réunion commune.</w:t>
      </w:r>
    </w:p>
    <w:p w14:paraId="22F28837" w14:textId="5EC34992" w:rsidR="00557AF5" w:rsidRPr="00A91A7C" w:rsidRDefault="002D7220" w:rsidP="00557AF5">
      <w:pPr>
        <w:pStyle w:val="SingleTxtG"/>
        <w:rPr>
          <w:lang w:val="fr-FR"/>
        </w:rPr>
      </w:pPr>
      <w:r w:rsidRPr="00A91A7C">
        <w:rPr>
          <w:lang w:val="fr-FR"/>
        </w:rPr>
        <w:t>24</w:t>
      </w:r>
      <w:r w:rsidR="00557AF5" w:rsidRPr="00A91A7C">
        <w:rPr>
          <w:lang w:val="fr-FR"/>
        </w:rPr>
        <w:t>.</w:t>
      </w:r>
      <w:r w:rsidR="00557AF5" w:rsidRPr="00A91A7C">
        <w:rPr>
          <w:lang w:val="fr-FR"/>
        </w:rPr>
        <w:tab/>
        <w:t>Le Groupe de travail a demandé au secrétariat de publier les lignes directrices pour l’application du paragraphe 5.4.0.2 du RID/</w:t>
      </w:r>
      <w:r w:rsidRPr="00A91A7C">
        <w:rPr>
          <w:lang w:val="fr-FR"/>
        </w:rPr>
        <w:t>de l’</w:t>
      </w:r>
      <w:r w:rsidR="00557AF5" w:rsidRPr="00A91A7C">
        <w:rPr>
          <w:lang w:val="fr-FR"/>
        </w:rPr>
        <w:t>ADR/</w:t>
      </w:r>
      <w:r w:rsidRPr="00A91A7C">
        <w:rPr>
          <w:lang w:val="fr-FR"/>
        </w:rPr>
        <w:t>de l’</w:t>
      </w:r>
      <w:r w:rsidR="00557AF5" w:rsidRPr="00A91A7C">
        <w:rPr>
          <w:lang w:val="fr-FR"/>
        </w:rPr>
        <w:t xml:space="preserve">ADN, telles que reprises dans le </w:t>
      </w:r>
      <w:r w:rsidR="00557AF5" w:rsidRPr="00A91A7C">
        <w:rPr>
          <w:lang w:val="fr-FR"/>
        </w:rPr>
        <w:lastRenderedPageBreak/>
        <w:t xml:space="preserve">document informel INF.17/Add.1 et avec quelques modifications éditoriales, sur le site Web de la CEE afin d’en faciliter leur application sur une base volontaire et de façon cohérente. </w:t>
      </w:r>
    </w:p>
    <w:p w14:paraId="23ABFA74" w14:textId="77777777" w:rsidR="00222176" w:rsidRPr="00A91A7C" w:rsidRDefault="00222176" w:rsidP="00222176">
      <w:pPr>
        <w:pStyle w:val="H23G"/>
        <w:rPr>
          <w:lang w:val="fr-FR"/>
        </w:rPr>
      </w:pPr>
      <w:r w:rsidRPr="00A91A7C">
        <w:rPr>
          <w:lang w:val="fr-FR"/>
        </w:rPr>
        <w:tab/>
        <w:t>4.</w:t>
      </w:r>
      <w:r w:rsidRPr="00A91A7C">
        <w:rPr>
          <w:lang w:val="fr-FR"/>
        </w:rPr>
        <w:tab/>
        <w:t>Emballages pour le No ONU 3549</w:t>
      </w:r>
    </w:p>
    <w:p w14:paraId="17B3F1F6" w14:textId="5CE931D3" w:rsidR="00222176" w:rsidRPr="00A91A7C" w:rsidRDefault="00222176" w:rsidP="00222176">
      <w:pPr>
        <w:pStyle w:val="SingleTxtG"/>
        <w:tabs>
          <w:tab w:val="left" w:pos="3000"/>
        </w:tabs>
        <w:ind w:left="2268" w:hanging="1134"/>
        <w:jc w:val="left"/>
        <w:rPr>
          <w:szCs w:val="24"/>
          <w:lang w:val="fr-FR"/>
        </w:rPr>
      </w:pPr>
      <w:r w:rsidRPr="00A91A7C">
        <w:rPr>
          <w:i/>
          <w:lang w:val="fr-FR"/>
        </w:rPr>
        <w:t>Document informel </w:t>
      </w:r>
      <w:r w:rsidRPr="00A91A7C">
        <w:rPr>
          <w:lang w:val="fr-FR"/>
        </w:rPr>
        <w:t>:</w:t>
      </w:r>
      <w:r w:rsidRPr="00A91A7C">
        <w:rPr>
          <w:lang w:val="fr-FR"/>
        </w:rPr>
        <w:tab/>
      </w:r>
      <w:r w:rsidRPr="00A91A7C">
        <w:rPr>
          <w:szCs w:val="24"/>
          <w:lang w:val="fr-FR"/>
        </w:rPr>
        <w:t>INF.25 (Suisse)</w:t>
      </w:r>
    </w:p>
    <w:p w14:paraId="6D561839" w14:textId="6BC95D28" w:rsidR="00222176" w:rsidRPr="00A91A7C" w:rsidRDefault="002D7220" w:rsidP="00222176">
      <w:pPr>
        <w:pStyle w:val="SingleTxtG"/>
        <w:rPr>
          <w:lang w:val="fr-FR"/>
        </w:rPr>
      </w:pPr>
      <w:r w:rsidRPr="00A91A7C">
        <w:rPr>
          <w:lang w:val="fr-FR"/>
        </w:rPr>
        <w:t>25</w:t>
      </w:r>
      <w:r w:rsidR="00222176" w:rsidRPr="00A91A7C">
        <w:rPr>
          <w:lang w:val="fr-FR"/>
        </w:rPr>
        <w:t>.</w:t>
      </w:r>
      <w:r w:rsidR="00222176" w:rsidRPr="00A91A7C">
        <w:rPr>
          <w:lang w:val="fr-FR"/>
        </w:rPr>
        <w:tab/>
        <w:t xml:space="preserve">La proposition de la Suisse visait à modifier le 4.1.8.6 afin de permettre que les emballages en plastique puissent encore être utilisés au-delà de leur période de validité de cinq ans comme cela est déjà le cas pour les matières infectieuses de catégorie A. </w:t>
      </w:r>
    </w:p>
    <w:p w14:paraId="1AEC22D8" w14:textId="4D0AC890" w:rsidR="00222176" w:rsidRPr="00A91A7C" w:rsidRDefault="002D7220" w:rsidP="00222176">
      <w:pPr>
        <w:pStyle w:val="SingleTxtG"/>
        <w:rPr>
          <w:lang w:val="fr-FR"/>
        </w:rPr>
      </w:pPr>
      <w:r w:rsidRPr="00A91A7C">
        <w:rPr>
          <w:lang w:val="fr-FR"/>
        </w:rPr>
        <w:t>26</w:t>
      </w:r>
      <w:r w:rsidR="00222176" w:rsidRPr="00A91A7C">
        <w:rPr>
          <w:lang w:val="fr-FR"/>
        </w:rPr>
        <w:t>.</w:t>
      </w:r>
      <w:r w:rsidR="00222176" w:rsidRPr="00A91A7C">
        <w:rPr>
          <w:lang w:val="fr-FR"/>
        </w:rPr>
        <w:tab/>
        <w:t xml:space="preserve">Le Groupe de travail a invité le représentant de la Suisse à présenter ce document à la Réunion commune en tant que document officiel. Dans l’attente d’une décision de la Réunion commune à sa session de printemps 2020, le Groupe de travail a retiré l’amendement au 4.1.8.6 du document informel INF.7 (voir annexe </w:t>
      </w:r>
      <w:r w:rsidR="00162AB6" w:rsidRPr="00A91A7C">
        <w:rPr>
          <w:lang w:val="fr-FR"/>
        </w:rPr>
        <w:t>I).</w:t>
      </w:r>
    </w:p>
    <w:p w14:paraId="70016DBD" w14:textId="7F311BAB" w:rsidR="00222176" w:rsidRPr="00A91A7C" w:rsidRDefault="002D7220" w:rsidP="00222176">
      <w:pPr>
        <w:pStyle w:val="SingleTxtG"/>
        <w:rPr>
          <w:lang w:val="fr-FR"/>
        </w:rPr>
      </w:pPr>
      <w:r w:rsidRPr="00A91A7C">
        <w:rPr>
          <w:lang w:val="fr-FR"/>
        </w:rPr>
        <w:t>27</w:t>
      </w:r>
      <w:r w:rsidR="00222176" w:rsidRPr="00A91A7C">
        <w:rPr>
          <w:lang w:val="fr-FR"/>
        </w:rPr>
        <w:t>.</w:t>
      </w:r>
      <w:r w:rsidR="00222176" w:rsidRPr="00A91A7C">
        <w:rPr>
          <w:lang w:val="fr-FR"/>
        </w:rPr>
        <w:tab/>
        <w:t>Le Groupe de travail a noté que le représentant de la Suisse présenterait également un document informel sur ce sujet au Sous-Comité d’experts du transport des marchandises dangereuses à sa cinquante-sixième session (</w:t>
      </w:r>
      <w:r w:rsidR="006710AF">
        <w:rPr>
          <w:lang w:val="fr-FR"/>
        </w:rPr>
        <w:t>4</w:t>
      </w:r>
      <w:r w:rsidR="00222176" w:rsidRPr="00A91A7C">
        <w:rPr>
          <w:lang w:val="fr-FR"/>
        </w:rPr>
        <w:t>-1</w:t>
      </w:r>
      <w:r w:rsidR="006710AF">
        <w:rPr>
          <w:lang w:val="fr-FR"/>
        </w:rPr>
        <w:t>0</w:t>
      </w:r>
      <w:r w:rsidR="00222176" w:rsidRPr="00A91A7C">
        <w:rPr>
          <w:lang w:val="fr-FR"/>
        </w:rPr>
        <w:t xml:space="preserve"> décembre 2019).</w:t>
      </w:r>
    </w:p>
    <w:p w14:paraId="3CAC49D3" w14:textId="77777777" w:rsidR="00C5191F" w:rsidRPr="00A91A7C" w:rsidRDefault="00C5191F" w:rsidP="00C5191F">
      <w:pPr>
        <w:pStyle w:val="H23G"/>
        <w:rPr>
          <w:lang w:val="fr-FR"/>
        </w:rPr>
      </w:pPr>
      <w:r w:rsidRPr="00A91A7C">
        <w:rPr>
          <w:lang w:val="fr-FR"/>
        </w:rPr>
        <w:tab/>
        <w:t>5.</w:t>
      </w:r>
      <w:r w:rsidRPr="00A91A7C">
        <w:rPr>
          <w:lang w:val="fr-FR"/>
        </w:rPr>
        <w:tab/>
        <w:t xml:space="preserve">Changement des produits chargés dans des véhicules-citernes </w:t>
      </w:r>
    </w:p>
    <w:p w14:paraId="3898F639" w14:textId="19FF588C" w:rsidR="00C5191F" w:rsidRPr="00A91A7C" w:rsidRDefault="00C5191F" w:rsidP="00C5191F">
      <w:pPr>
        <w:pStyle w:val="SingleTxtG"/>
        <w:tabs>
          <w:tab w:val="left" w:pos="3000"/>
        </w:tabs>
        <w:ind w:left="2268" w:hanging="1134"/>
        <w:jc w:val="left"/>
        <w:rPr>
          <w:szCs w:val="24"/>
          <w:lang w:val="fr-FR"/>
        </w:rPr>
      </w:pPr>
      <w:r w:rsidRPr="00A91A7C">
        <w:rPr>
          <w:i/>
          <w:lang w:val="fr-FR"/>
        </w:rPr>
        <w:t>Document informel </w:t>
      </w:r>
      <w:r w:rsidRPr="00A91A7C">
        <w:rPr>
          <w:lang w:val="fr-FR"/>
        </w:rPr>
        <w:t>:</w:t>
      </w:r>
      <w:r w:rsidRPr="00A91A7C">
        <w:rPr>
          <w:lang w:val="fr-FR"/>
        </w:rPr>
        <w:tab/>
      </w:r>
      <w:r w:rsidRPr="00A91A7C">
        <w:rPr>
          <w:szCs w:val="24"/>
          <w:lang w:val="fr-FR"/>
        </w:rPr>
        <w:t>INF.4 (Suisse)</w:t>
      </w:r>
    </w:p>
    <w:p w14:paraId="5F2AC8FD" w14:textId="73F4BC36" w:rsidR="00C5191F" w:rsidRPr="00A91A7C" w:rsidRDefault="002D7220" w:rsidP="00C5191F">
      <w:pPr>
        <w:pStyle w:val="SingleTxtG"/>
        <w:rPr>
          <w:lang w:val="fr-FR"/>
        </w:rPr>
      </w:pPr>
      <w:r w:rsidRPr="00A91A7C">
        <w:rPr>
          <w:lang w:val="fr-FR"/>
        </w:rPr>
        <w:t>28</w:t>
      </w:r>
      <w:r w:rsidR="00C5191F" w:rsidRPr="00A91A7C">
        <w:rPr>
          <w:lang w:val="fr-FR"/>
        </w:rPr>
        <w:t>.</w:t>
      </w:r>
      <w:r w:rsidR="00C5191F" w:rsidRPr="00A91A7C">
        <w:rPr>
          <w:lang w:val="fr-FR"/>
        </w:rPr>
        <w:tab/>
        <w:t xml:space="preserve">Le Groupe de travail a noté les conclusions du Groupe de travail sur les citernes de la Réunion commune concernant le document ECE/TRANS/WP.15/2019/9 (Suisse) et le document informel INF.18 (Royaume-Uni) de la session précédente (voir ECE/TRANS/WP.15/AC.1/156/Add.1, paragraphes 21-26). </w:t>
      </w:r>
    </w:p>
    <w:p w14:paraId="076D7B6A" w14:textId="4A8C849F" w:rsidR="00C5191F" w:rsidRPr="00A91A7C" w:rsidRDefault="002D7220" w:rsidP="00C5191F">
      <w:pPr>
        <w:pStyle w:val="SingleTxtG"/>
        <w:rPr>
          <w:lang w:val="fr-FR"/>
        </w:rPr>
      </w:pPr>
      <w:r w:rsidRPr="00A91A7C">
        <w:rPr>
          <w:lang w:val="fr-FR"/>
        </w:rPr>
        <w:t>29</w:t>
      </w:r>
      <w:r w:rsidR="00C5191F" w:rsidRPr="00A91A7C">
        <w:rPr>
          <w:lang w:val="fr-FR"/>
        </w:rPr>
        <w:t>.</w:t>
      </w:r>
      <w:r w:rsidR="00C5191F" w:rsidRPr="00A91A7C">
        <w:rPr>
          <w:lang w:val="fr-FR"/>
        </w:rPr>
        <w:tab/>
        <w:t>La délégation du Royaume-Uni a appuyé la proposition de la Suisse concernant l’information à fournir sur le panneau orange pour les citernes de carburants en cas de changement des produits chargés telle que proposée dans le document informel INF.4. Les autres délégations qui se sont prononcées ne soutenaient pas la proposition.</w:t>
      </w:r>
    </w:p>
    <w:p w14:paraId="75D5B76C" w14:textId="0BC8B0F7" w:rsidR="00C5191F" w:rsidRPr="00A91A7C" w:rsidRDefault="002D7220" w:rsidP="00C5191F">
      <w:pPr>
        <w:pStyle w:val="SingleTxtG"/>
        <w:rPr>
          <w:lang w:val="fr-FR"/>
        </w:rPr>
      </w:pPr>
      <w:r w:rsidRPr="00A91A7C">
        <w:rPr>
          <w:lang w:val="fr-FR"/>
        </w:rPr>
        <w:t>30</w:t>
      </w:r>
      <w:r w:rsidR="00C5191F" w:rsidRPr="00A91A7C">
        <w:rPr>
          <w:lang w:val="fr-FR"/>
        </w:rPr>
        <w:t>.</w:t>
      </w:r>
      <w:r w:rsidR="00C5191F" w:rsidRPr="00A91A7C">
        <w:rPr>
          <w:lang w:val="fr-FR"/>
        </w:rPr>
        <w:tab/>
        <w:t xml:space="preserve">Le représentant de la Suisse réexaminera sa proposition en consultation avec la représentante du Royaume-Uni. </w:t>
      </w:r>
    </w:p>
    <w:p w14:paraId="09ACF19F" w14:textId="04BCF410" w:rsidR="00557AF5" w:rsidRPr="00A91A7C" w:rsidRDefault="00557AF5" w:rsidP="00557AF5">
      <w:pPr>
        <w:pStyle w:val="HChG"/>
        <w:rPr>
          <w:lang w:val="fr-FR"/>
        </w:rPr>
      </w:pPr>
      <w:r w:rsidRPr="00A91A7C">
        <w:rPr>
          <w:lang w:val="fr-FR"/>
        </w:rPr>
        <w:tab/>
        <w:t>VI.</w:t>
      </w:r>
      <w:r w:rsidRPr="00A91A7C">
        <w:rPr>
          <w:lang w:val="fr-FR"/>
        </w:rPr>
        <w:tab/>
        <w:t>Propositions d’amendement aux annexes A et B de l’ADR (point 5 de l’ordre du jour)</w:t>
      </w:r>
    </w:p>
    <w:p w14:paraId="3E6D82B7" w14:textId="77777777" w:rsidR="00222176" w:rsidRPr="00A91A7C" w:rsidRDefault="00222176" w:rsidP="00222176">
      <w:pPr>
        <w:pStyle w:val="H1G"/>
        <w:rPr>
          <w:i/>
          <w:iCs/>
          <w:lang w:val="fr-FR"/>
        </w:rPr>
      </w:pPr>
      <w:r w:rsidRPr="00A91A7C">
        <w:rPr>
          <w:lang w:val="fr-FR"/>
        </w:rPr>
        <w:tab/>
        <w:t>A.</w:t>
      </w:r>
      <w:r w:rsidRPr="00A91A7C">
        <w:rPr>
          <w:lang w:val="fr-FR"/>
        </w:rPr>
        <w:tab/>
        <w:t>Construction et homologation des véhicules</w:t>
      </w:r>
    </w:p>
    <w:p w14:paraId="0A3C8F3C" w14:textId="77777777" w:rsidR="00222176" w:rsidRPr="00A91A7C" w:rsidRDefault="00222176" w:rsidP="00222176">
      <w:pPr>
        <w:pStyle w:val="H23G"/>
        <w:rPr>
          <w:lang w:val="fr-FR"/>
        </w:rPr>
      </w:pPr>
      <w:r w:rsidRPr="00A91A7C">
        <w:rPr>
          <w:lang w:val="fr-FR"/>
        </w:rPr>
        <w:tab/>
        <w:t>1.</w:t>
      </w:r>
      <w:r w:rsidRPr="00A91A7C">
        <w:rPr>
          <w:lang w:val="fr-FR"/>
        </w:rPr>
        <w:tab/>
      </w:r>
      <w:bookmarkStart w:id="6" w:name="_Hlk24573764"/>
      <w:r w:rsidRPr="00A91A7C">
        <w:rPr>
          <w:lang w:val="fr-FR"/>
        </w:rPr>
        <w:t xml:space="preserve">Groupe de travail informel pour la clarification du 9.3.4.2 </w:t>
      </w:r>
    </w:p>
    <w:p w14:paraId="504FA1B9" w14:textId="77777777" w:rsidR="00222176" w:rsidRPr="00A91A7C" w:rsidRDefault="00222176" w:rsidP="00222176">
      <w:pPr>
        <w:pStyle w:val="SingleTxtG"/>
        <w:tabs>
          <w:tab w:val="left" w:pos="3000"/>
        </w:tabs>
        <w:ind w:left="2268" w:hanging="1134"/>
        <w:jc w:val="left"/>
        <w:rPr>
          <w:szCs w:val="24"/>
          <w:lang w:val="fr-FR"/>
        </w:rPr>
      </w:pPr>
      <w:r w:rsidRPr="00A91A7C">
        <w:rPr>
          <w:i/>
          <w:lang w:val="fr-FR"/>
        </w:rPr>
        <w:t>Document informel </w:t>
      </w:r>
      <w:r w:rsidRPr="00A91A7C">
        <w:rPr>
          <w:lang w:val="fr-FR"/>
        </w:rPr>
        <w:t>:</w:t>
      </w:r>
      <w:r w:rsidRPr="00A91A7C">
        <w:rPr>
          <w:lang w:val="fr-FR"/>
        </w:rPr>
        <w:tab/>
      </w:r>
      <w:r w:rsidRPr="00A91A7C">
        <w:rPr>
          <w:szCs w:val="24"/>
          <w:lang w:val="fr-FR"/>
        </w:rPr>
        <w:t>INF.3 (Allemagne)</w:t>
      </w:r>
    </w:p>
    <w:p w14:paraId="19FC2780" w14:textId="2D39A81B" w:rsidR="00222176" w:rsidRPr="00A91A7C" w:rsidRDefault="002D7220" w:rsidP="00222176">
      <w:pPr>
        <w:pStyle w:val="SingleTxtG"/>
        <w:rPr>
          <w:lang w:val="fr-FR"/>
        </w:rPr>
      </w:pPr>
      <w:r w:rsidRPr="00A91A7C">
        <w:rPr>
          <w:lang w:val="fr-FR"/>
        </w:rPr>
        <w:t>31</w:t>
      </w:r>
      <w:r w:rsidR="00222176" w:rsidRPr="00A91A7C">
        <w:rPr>
          <w:lang w:val="fr-FR"/>
        </w:rPr>
        <w:t>.</w:t>
      </w:r>
      <w:r w:rsidR="00222176" w:rsidRPr="00A91A7C">
        <w:rPr>
          <w:lang w:val="fr-FR"/>
        </w:rPr>
        <w:tab/>
        <w:t xml:space="preserve">Le Groupe de travail a noté l’avancée des travaux du groupe de travail informel pour la clarification du 9.3.4.2 (construction des caisses des véhicules EX/III) qui s’est réuni à Bonn les 1 et 2 octobre 2018. </w:t>
      </w:r>
    </w:p>
    <w:p w14:paraId="7984258D" w14:textId="17F2EC60" w:rsidR="00222176" w:rsidRPr="00A91A7C" w:rsidRDefault="002D7220" w:rsidP="00222176">
      <w:pPr>
        <w:pStyle w:val="SingleTxtG"/>
        <w:rPr>
          <w:lang w:val="fr-FR"/>
        </w:rPr>
      </w:pPr>
      <w:r w:rsidRPr="00A91A7C">
        <w:rPr>
          <w:lang w:val="fr-FR"/>
        </w:rPr>
        <w:t>32</w:t>
      </w:r>
      <w:r w:rsidR="00222176" w:rsidRPr="00A91A7C">
        <w:rPr>
          <w:lang w:val="fr-FR"/>
        </w:rPr>
        <w:t>.</w:t>
      </w:r>
      <w:r w:rsidR="00222176" w:rsidRPr="00A91A7C">
        <w:rPr>
          <w:lang w:val="fr-FR"/>
        </w:rPr>
        <w:tab/>
        <w:t>Le Groupe de travail s’est félicité des premières conclusions obtenues et a noté que le travail devrait se poursuivre pour déterminer des dispositions relatives à la construction de la caisse des véhicules EX/III. La représentante du Royaume-Uni a fait remarquer que cela pourrait être fait à la lumière des résultats des discussions au sein du groupe de travail informel sur le risque de BLEVE de la Réunion commune.</w:t>
      </w:r>
    </w:p>
    <w:p w14:paraId="5DA17A12" w14:textId="5D62ED2C" w:rsidR="00222176" w:rsidRPr="00A91A7C" w:rsidRDefault="002D7220" w:rsidP="00222176">
      <w:pPr>
        <w:pStyle w:val="SingleTxtG"/>
        <w:rPr>
          <w:lang w:val="fr-FR"/>
        </w:rPr>
      </w:pPr>
      <w:r w:rsidRPr="00A91A7C">
        <w:rPr>
          <w:lang w:val="fr-FR"/>
        </w:rPr>
        <w:t>33</w:t>
      </w:r>
      <w:r w:rsidR="00222176" w:rsidRPr="00A91A7C">
        <w:rPr>
          <w:lang w:val="fr-FR"/>
        </w:rPr>
        <w:t>.</w:t>
      </w:r>
      <w:r w:rsidR="00222176" w:rsidRPr="00A91A7C">
        <w:rPr>
          <w:lang w:val="fr-FR"/>
        </w:rPr>
        <w:tab/>
        <w:t>Le Groupe de travail a regretté le manque de spécialistes pour poursuivre les travaux dans le cadre du groupe informel dans l’immédiat.</w:t>
      </w:r>
    </w:p>
    <w:bookmarkEnd w:id="6"/>
    <w:p w14:paraId="16D4FB74" w14:textId="77777777" w:rsidR="00222176" w:rsidRPr="00A91A7C" w:rsidRDefault="00222176" w:rsidP="002E566B">
      <w:pPr>
        <w:pStyle w:val="H23G"/>
        <w:rPr>
          <w:lang w:val="fr-FR"/>
        </w:rPr>
      </w:pPr>
      <w:r w:rsidRPr="00A91A7C">
        <w:rPr>
          <w:lang w:val="fr-FR"/>
        </w:rPr>
        <w:lastRenderedPageBreak/>
        <w:tab/>
        <w:t>2.</w:t>
      </w:r>
      <w:r w:rsidRPr="00A91A7C">
        <w:rPr>
          <w:lang w:val="fr-FR"/>
        </w:rPr>
        <w:tab/>
        <w:t>Utilisation de véhicules électriques et de véhicules hybrides électriques pour le transport de marchandises dangereuses</w:t>
      </w:r>
    </w:p>
    <w:p w14:paraId="03BF4EBC" w14:textId="77777777" w:rsidR="00222176" w:rsidRPr="00A91A7C" w:rsidRDefault="00222176" w:rsidP="002E566B">
      <w:pPr>
        <w:pStyle w:val="SingleTxtG"/>
        <w:keepNext/>
        <w:keepLines/>
        <w:tabs>
          <w:tab w:val="left" w:pos="3000"/>
        </w:tabs>
        <w:ind w:left="2268" w:hanging="1134"/>
        <w:jc w:val="left"/>
        <w:rPr>
          <w:szCs w:val="24"/>
          <w:lang w:val="fr-FR"/>
        </w:rPr>
      </w:pPr>
      <w:r w:rsidRPr="00A91A7C">
        <w:rPr>
          <w:i/>
          <w:lang w:val="fr-FR"/>
        </w:rPr>
        <w:t>Document informel </w:t>
      </w:r>
      <w:r w:rsidRPr="00A91A7C">
        <w:rPr>
          <w:lang w:val="fr-FR"/>
        </w:rPr>
        <w:t>:</w:t>
      </w:r>
      <w:r w:rsidRPr="00A91A7C">
        <w:rPr>
          <w:lang w:val="fr-FR"/>
        </w:rPr>
        <w:tab/>
      </w:r>
      <w:r w:rsidRPr="00A91A7C">
        <w:rPr>
          <w:szCs w:val="24"/>
          <w:lang w:val="fr-FR"/>
        </w:rPr>
        <w:t>INF.10 (Pays-Bas)</w:t>
      </w:r>
    </w:p>
    <w:p w14:paraId="5D3C419C" w14:textId="3731AA12" w:rsidR="00222176" w:rsidRPr="00A91A7C" w:rsidRDefault="002D7220" w:rsidP="002E566B">
      <w:pPr>
        <w:pStyle w:val="SingleTxtG"/>
        <w:keepNext/>
        <w:keepLines/>
        <w:rPr>
          <w:lang w:val="fr-FR"/>
        </w:rPr>
      </w:pPr>
      <w:r w:rsidRPr="00A91A7C">
        <w:rPr>
          <w:lang w:val="fr-FR"/>
        </w:rPr>
        <w:t>34</w:t>
      </w:r>
      <w:r w:rsidR="00222176" w:rsidRPr="00A91A7C">
        <w:rPr>
          <w:lang w:val="fr-FR"/>
        </w:rPr>
        <w:t>.</w:t>
      </w:r>
      <w:r w:rsidR="00222176" w:rsidRPr="00A91A7C">
        <w:rPr>
          <w:lang w:val="fr-FR"/>
        </w:rPr>
        <w:tab/>
        <w:t xml:space="preserve">Le Groupe de travail est convenu que les risques liés à l’utilisation de véhicules électriques et de véhicules hybrides électriques pour le transport de marchandises dangereuses devaient être évalués et que des mesures de limitation de ces risques devaient être proposées le cas échéant. </w:t>
      </w:r>
    </w:p>
    <w:p w14:paraId="6BADEA2A" w14:textId="07563C66" w:rsidR="00222176" w:rsidRPr="00A91A7C" w:rsidRDefault="002D7220" w:rsidP="00222176">
      <w:pPr>
        <w:pStyle w:val="SingleTxtG"/>
        <w:rPr>
          <w:lang w:val="fr-FR"/>
        </w:rPr>
      </w:pPr>
      <w:r w:rsidRPr="00A91A7C">
        <w:rPr>
          <w:lang w:val="fr-FR"/>
        </w:rPr>
        <w:t>35</w:t>
      </w:r>
      <w:r w:rsidR="00222176" w:rsidRPr="00A91A7C">
        <w:rPr>
          <w:lang w:val="fr-FR"/>
        </w:rPr>
        <w:t>.</w:t>
      </w:r>
      <w:r w:rsidR="00222176" w:rsidRPr="00A91A7C">
        <w:rPr>
          <w:lang w:val="fr-FR"/>
        </w:rPr>
        <w:tab/>
        <w:t>Le Groupe de travail a estimé qu’il conviendrait d’examiner ce point conjointement avec le Forum mondial de l’harmonisation des Règlements concernant les véhicules (WP.29) lors d’une réunion conjointe des groupes de travail en novembre 2020. Sous réserve de l’accord du WP.29 sur cette proposition, les membres des bureaux des deux groupes de travail pourraient décider, après la date limite de soumission des documents, de la date de la session conjointe, du temps nécessaire et des sujets à examiner.</w:t>
      </w:r>
    </w:p>
    <w:p w14:paraId="09FD4E10" w14:textId="1257CFF4" w:rsidR="00222176" w:rsidRPr="00A91A7C" w:rsidRDefault="002D7220" w:rsidP="00222176">
      <w:pPr>
        <w:pStyle w:val="SingleTxtG"/>
        <w:rPr>
          <w:lang w:val="fr-FR"/>
        </w:rPr>
      </w:pPr>
      <w:r w:rsidRPr="00A91A7C">
        <w:rPr>
          <w:lang w:val="fr-FR"/>
        </w:rPr>
        <w:t>36</w:t>
      </w:r>
      <w:r w:rsidR="00222176" w:rsidRPr="00A91A7C">
        <w:rPr>
          <w:lang w:val="fr-FR"/>
        </w:rPr>
        <w:t>.</w:t>
      </w:r>
      <w:r w:rsidR="00222176" w:rsidRPr="00A91A7C">
        <w:rPr>
          <w:lang w:val="fr-FR"/>
        </w:rPr>
        <w:tab/>
        <w:t>Le Groupe de travail a invité les délégations qui le souhaiteraient à proposer, dès la prochaine session, des éléments de réflexion afin de préparer ce travail.</w:t>
      </w:r>
    </w:p>
    <w:p w14:paraId="55A87894" w14:textId="77777777" w:rsidR="00222176" w:rsidRPr="00A91A7C" w:rsidRDefault="00222176" w:rsidP="00222176">
      <w:pPr>
        <w:pStyle w:val="H23G"/>
        <w:rPr>
          <w:lang w:val="fr-FR"/>
        </w:rPr>
      </w:pPr>
      <w:r w:rsidRPr="00A91A7C">
        <w:rPr>
          <w:lang w:val="fr-FR"/>
        </w:rPr>
        <w:tab/>
        <w:t>3.</w:t>
      </w:r>
      <w:r w:rsidRPr="00A91A7C">
        <w:rPr>
          <w:lang w:val="fr-FR"/>
        </w:rPr>
        <w:tab/>
        <w:t>Mise en œuvre des prescriptions du 9.2.2.2.1 sur les câbles</w:t>
      </w:r>
    </w:p>
    <w:p w14:paraId="3B26AB85" w14:textId="77777777" w:rsidR="00222176" w:rsidRPr="00A91A7C" w:rsidRDefault="00222176" w:rsidP="00222176">
      <w:pPr>
        <w:pStyle w:val="SingleTxtG"/>
        <w:tabs>
          <w:tab w:val="left" w:pos="3000"/>
        </w:tabs>
        <w:ind w:left="2268" w:hanging="1134"/>
        <w:jc w:val="left"/>
        <w:rPr>
          <w:szCs w:val="24"/>
          <w:lang w:val="fr-FR"/>
        </w:rPr>
      </w:pPr>
      <w:r w:rsidRPr="00A91A7C">
        <w:rPr>
          <w:i/>
          <w:lang w:val="fr-FR"/>
        </w:rPr>
        <w:t>Document informel </w:t>
      </w:r>
      <w:r w:rsidRPr="00A91A7C">
        <w:rPr>
          <w:lang w:val="fr-FR"/>
        </w:rPr>
        <w:t>:</w:t>
      </w:r>
      <w:r w:rsidRPr="00A91A7C">
        <w:rPr>
          <w:lang w:val="fr-FR"/>
        </w:rPr>
        <w:tab/>
      </w:r>
      <w:r w:rsidRPr="00A91A7C">
        <w:rPr>
          <w:szCs w:val="24"/>
          <w:lang w:val="fr-FR"/>
        </w:rPr>
        <w:t>INF.15 (France)</w:t>
      </w:r>
    </w:p>
    <w:p w14:paraId="558EDA6B" w14:textId="2E4DA344" w:rsidR="00222176" w:rsidRPr="00A91A7C" w:rsidRDefault="002D7220" w:rsidP="00222176">
      <w:pPr>
        <w:pStyle w:val="SingleTxtG"/>
        <w:rPr>
          <w:lang w:val="fr-FR"/>
        </w:rPr>
      </w:pPr>
      <w:r w:rsidRPr="00A91A7C">
        <w:rPr>
          <w:lang w:val="fr-FR"/>
        </w:rPr>
        <w:t>37</w:t>
      </w:r>
      <w:r w:rsidR="00222176" w:rsidRPr="00A91A7C">
        <w:rPr>
          <w:lang w:val="fr-FR"/>
        </w:rPr>
        <w:t>.</w:t>
      </w:r>
      <w:r w:rsidR="00222176" w:rsidRPr="00A91A7C">
        <w:rPr>
          <w:lang w:val="fr-FR"/>
        </w:rPr>
        <w:tab/>
        <w:t xml:space="preserve">La représentante de la France a rappelé qu’elle avait déjà attiré l’attention du Groupe de travail, lors de la 105e session (6-9 novembre 2018), sur la difficulté de se procurer des câbles conformes aux normes ISO introduites dans l’édition 2017 (voir ECE/TRANS/WP.15/244, </w:t>
      </w:r>
      <w:bookmarkStart w:id="7" w:name="_Hlk25583994"/>
      <w:r w:rsidR="006710AF">
        <w:rPr>
          <w:lang w:val="fr-FR"/>
        </w:rPr>
        <w:t>paragraphe</w:t>
      </w:r>
      <w:r w:rsidR="00222176" w:rsidRPr="00A91A7C">
        <w:rPr>
          <w:lang w:val="fr-FR"/>
        </w:rPr>
        <w:t xml:space="preserve"> </w:t>
      </w:r>
      <w:bookmarkEnd w:id="7"/>
      <w:r w:rsidR="00222176" w:rsidRPr="00A91A7C">
        <w:rPr>
          <w:lang w:val="fr-FR"/>
        </w:rPr>
        <w:t>30).</w:t>
      </w:r>
    </w:p>
    <w:p w14:paraId="645E1130" w14:textId="652AF7A7" w:rsidR="00222176" w:rsidRPr="00A91A7C" w:rsidRDefault="002D7220" w:rsidP="00222176">
      <w:pPr>
        <w:pStyle w:val="SingleTxtG"/>
        <w:rPr>
          <w:lang w:val="fr-FR"/>
        </w:rPr>
      </w:pPr>
      <w:r w:rsidRPr="00A91A7C">
        <w:rPr>
          <w:lang w:val="fr-FR"/>
        </w:rPr>
        <w:t>38</w:t>
      </w:r>
      <w:r w:rsidR="00222176" w:rsidRPr="00A91A7C">
        <w:rPr>
          <w:lang w:val="fr-FR"/>
        </w:rPr>
        <w:t>.</w:t>
      </w:r>
      <w:r w:rsidR="00222176" w:rsidRPr="00A91A7C">
        <w:rPr>
          <w:lang w:val="fr-FR"/>
        </w:rPr>
        <w:tab/>
        <w:t xml:space="preserve">Le Groupe de travail a noté que ce problème pouvait encore se présenter pour les véhicules de type N1 et N2 convertis ultérieurement aux fins de l’ADR car ces véhicules </w:t>
      </w:r>
      <w:r w:rsidR="006710AF">
        <w:rPr>
          <w:lang w:val="fr-FR"/>
        </w:rPr>
        <w:t>n’étaient</w:t>
      </w:r>
      <w:r w:rsidR="00222176" w:rsidRPr="00A91A7C">
        <w:rPr>
          <w:lang w:val="fr-FR"/>
        </w:rPr>
        <w:t xml:space="preserve"> pas équipés de câbles conformes et en refaire le câblage serait coûteux et pourrait entrainer des problèmes de sécurité.  </w:t>
      </w:r>
    </w:p>
    <w:p w14:paraId="07C641DF" w14:textId="10E10756" w:rsidR="00222176" w:rsidRPr="00A91A7C" w:rsidRDefault="002D7220" w:rsidP="00222176">
      <w:pPr>
        <w:pStyle w:val="SingleTxtG"/>
        <w:rPr>
          <w:lang w:val="fr-FR"/>
        </w:rPr>
      </w:pPr>
      <w:r w:rsidRPr="00A91A7C">
        <w:rPr>
          <w:lang w:val="fr-FR"/>
        </w:rPr>
        <w:t>39</w:t>
      </w:r>
      <w:r w:rsidR="00222176" w:rsidRPr="00A91A7C">
        <w:rPr>
          <w:lang w:val="fr-FR"/>
        </w:rPr>
        <w:t>.</w:t>
      </w:r>
      <w:r w:rsidR="00222176" w:rsidRPr="00A91A7C">
        <w:rPr>
          <w:lang w:val="fr-FR"/>
        </w:rPr>
        <w:tab/>
        <w:t>Le Groupe de travail a invité les représentants des pays concernés à se rapprocher des constructeurs pour régler ce problème.</w:t>
      </w:r>
    </w:p>
    <w:p w14:paraId="4ABE0EB1" w14:textId="77777777" w:rsidR="00557AF5" w:rsidRPr="00A91A7C" w:rsidRDefault="00557AF5" w:rsidP="00557AF5">
      <w:pPr>
        <w:pStyle w:val="H1G"/>
        <w:rPr>
          <w:lang w:val="fr-FR"/>
        </w:rPr>
      </w:pPr>
      <w:r w:rsidRPr="00A91A7C">
        <w:rPr>
          <w:lang w:val="fr-FR"/>
        </w:rPr>
        <w:tab/>
        <w:t>B.</w:t>
      </w:r>
      <w:r w:rsidRPr="00A91A7C">
        <w:rPr>
          <w:lang w:val="fr-FR"/>
        </w:rPr>
        <w:tab/>
        <w:t>Propositions diverses</w:t>
      </w:r>
    </w:p>
    <w:p w14:paraId="78468366" w14:textId="3C6BC013" w:rsidR="00557AF5" w:rsidRPr="00A91A7C" w:rsidRDefault="00557AF5" w:rsidP="00557AF5">
      <w:pPr>
        <w:pStyle w:val="H23G"/>
        <w:rPr>
          <w:lang w:val="fr-FR"/>
        </w:rPr>
      </w:pPr>
      <w:r w:rsidRPr="00A91A7C">
        <w:rPr>
          <w:lang w:val="fr-FR"/>
        </w:rPr>
        <w:tab/>
        <w:t>1.</w:t>
      </w:r>
      <w:r w:rsidRPr="00A91A7C">
        <w:rPr>
          <w:lang w:val="fr-FR"/>
        </w:rPr>
        <w:tab/>
        <w:t>Prescriptions relatives à la surveillance des véhicules dans les dispositions S1</w:t>
      </w:r>
      <w:r w:rsidR="006710AF">
        <w:rPr>
          <w:lang w:val="fr-FR"/>
        </w:rPr>
        <w:t xml:space="preserve"> </w:t>
      </w:r>
      <w:r w:rsidRPr="00A91A7C">
        <w:rPr>
          <w:lang w:val="fr-FR"/>
        </w:rPr>
        <w:t>(6), S16 et S21</w:t>
      </w:r>
    </w:p>
    <w:p w14:paraId="442BDDDC" w14:textId="77777777" w:rsidR="00557AF5" w:rsidRPr="00A91A7C" w:rsidRDefault="00557AF5" w:rsidP="00557AF5">
      <w:pPr>
        <w:pStyle w:val="SingleTxtG"/>
        <w:keepNext/>
        <w:keepLines/>
        <w:ind w:left="2268" w:hanging="1134"/>
        <w:jc w:val="left"/>
        <w:rPr>
          <w:lang w:val="fr-FR"/>
        </w:rPr>
      </w:pPr>
      <w:r w:rsidRPr="00A91A7C">
        <w:rPr>
          <w:i/>
          <w:lang w:val="fr-FR"/>
        </w:rPr>
        <w:t>Document </w:t>
      </w:r>
      <w:r w:rsidRPr="00A91A7C">
        <w:rPr>
          <w:lang w:val="fr-FR"/>
        </w:rPr>
        <w:t>:</w:t>
      </w:r>
      <w:r w:rsidRPr="00A91A7C">
        <w:rPr>
          <w:lang w:val="fr-FR"/>
        </w:rPr>
        <w:tab/>
      </w:r>
      <w:r w:rsidRPr="00A91A7C">
        <w:rPr>
          <w:lang w:val="fr-FR"/>
        </w:rPr>
        <w:tab/>
        <w:t>ECE/TRANS/WP.15/2019/16 (Suède)</w:t>
      </w:r>
    </w:p>
    <w:p w14:paraId="61EB19DC" w14:textId="77777777" w:rsidR="00557AF5" w:rsidRPr="00A91A7C" w:rsidRDefault="00557AF5" w:rsidP="00557AF5">
      <w:pPr>
        <w:pStyle w:val="SingleTxtG"/>
        <w:tabs>
          <w:tab w:val="left" w:pos="3000"/>
        </w:tabs>
        <w:ind w:left="2268" w:hanging="1134"/>
        <w:jc w:val="left"/>
        <w:rPr>
          <w:szCs w:val="24"/>
          <w:lang w:val="fr-FR"/>
        </w:rPr>
      </w:pPr>
      <w:r w:rsidRPr="00A91A7C">
        <w:rPr>
          <w:i/>
          <w:lang w:val="fr-FR"/>
        </w:rPr>
        <w:t>Document informel </w:t>
      </w:r>
      <w:r w:rsidRPr="00A91A7C">
        <w:rPr>
          <w:lang w:val="fr-FR"/>
        </w:rPr>
        <w:t>:</w:t>
      </w:r>
      <w:r w:rsidRPr="00A91A7C">
        <w:rPr>
          <w:lang w:val="fr-FR"/>
        </w:rPr>
        <w:tab/>
      </w:r>
      <w:r w:rsidRPr="00A91A7C">
        <w:rPr>
          <w:szCs w:val="24"/>
          <w:lang w:val="fr-FR"/>
        </w:rPr>
        <w:t>INF.18 (Suisse)</w:t>
      </w:r>
    </w:p>
    <w:p w14:paraId="134BFE11" w14:textId="344A550E" w:rsidR="00557AF5" w:rsidRPr="00A91A7C" w:rsidRDefault="002D7220" w:rsidP="00557AF5">
      <w:pPr>
        <w:pStyle w:val="SingleTxtG"/>
        <w:rPr>
          <w:lang w:val="fr-FR"/>
        </w:rPr>
      </w:pPr>
      <w:bookmarkStart w:id="8" w:name="_Hlk24401397"/>
      <w:r w:rsidRPr="00A91A7C">
        <w:rPr>
          <w:lang w:val="fr-FR"/>
        </w:rPr>
        <w:t>40</w:t>
      </w:r>
      <w:r w:rsidR="00557AF5" w:rsidRPr="00A91A7C">
        <w:rPr>
          <w:lang w:val="fr-FR"/>
        </w:rPr>
        <w:t>.</w:t>
      </w:r>
      <w:r w:rsidR="00557AF5" w:rsidRPr="00A91A7C">
        <w:rPr>
          <w:lang w:val="fr-FR"/>
        </w:rPr>
        <w:tab/>
        <w:t>Les propositions de la Suède visaient à ajouter une référence aux dispositions de la section 1.10.3 dans les parties pertinentes des dispositions S1 (6), S16 et S21 du chapitre 8.5, de sorte que les exigences en matière de surveillance supplémentaire s'appliquent aux matières et objets soumis à aux dispositions de la section 1.10.3 et conformément au plan de sûreté du 1.10.3.2. La proposition alternative de la Suisse consistait à préciser que, pour les marchandises qui ne sont pas soumises au 1.10.3, l'exigence actuelle en matière de contrôle supplémentaire prévue dans ces dispositions spéciales devrait être conservée.</w:t>
      </w:r>
    </w:p>
    <w:p w14:paraId="655E904A" w14:textId="00D34658" w:rsidR="00557AF5" w:rsidRPr="00A91A7C" w:rsidRDefault="002D7220" w:rsidP="00557AF5">
      <w:pPr>
        <w:pStyle w:val="SingleTxtG"/>
        <w:rPr>
          <w:lang w:val="fr-FR"/>
        </w:rPr>
      </w:pPr>
      <w:r w:rsidRPr="00A91A7C">
        <w:rPr>
          <w:lang w:val="fr-FR"/>
        </w:rPr>
        <w:t>41</w:t>
      </w:r>
      <w:r w:rsidR="00557AF5" w:rsidRPr="00A91A7C">
        <w:rPr>
          <w:lang w:val="fr-FR"/>
        </w:rPr>
        <w:t>.</w:t>
      </w:r>
      <w:r w:rsidR="00557AF5" w:rsidRPr="00A91A7C">
        <w:rPr>
          <w:lang w:val="fr-FR"/>
        </w:rPr>
        <w:tab/>
        <w:t xml:space="preserve">Le Groupe de travail a adopté par vote les propositions de la Suède avec quelques modifications éditoriales (voir annexe </w:t>
      </w:r>
      <w:r w:rsidR="00CC7D3B" w:rsidRPr="00A91A7C">
        <w:rPr>
          <w:lang w:val="fr-FR"/>
        </w:rPr>
        <w:t xml:space="preserve">I). </w:t>
      </w:r>
    </w:p>
    <w:p w14:paraId="77D256F9" w14:textId="0CB45CCA" w:rsidR="00557AF5" w:rsidRPr="00A91A7C" w:rsidRDefault="002D7220" w:rsidP="00557AF5">
      <w:pPr>
        <w:pStyle w:val="SingleTxtG"/>
        <w:rPr>
          <w:lang w:val="fr-FR"/>
        </w:rPr>
      </w:pPr>
      <w:r w:rsidRPr="00A91A7C">
        <w:rPr>
          <w:lang w:val="fr-FR"/>
        </w:rPr>
        <w:t>42</w:t>
      </w:r>
      <w:r w:rsidR="00557AF5" w:rsidRPr="00A91A7C">
        <w:rPr>
          <w:lang w:val="fr-FR"/>
        </w:rPr>
        <w:t>.</w:t>
      </w:r>
      <w:r w:rsidR="00557AF5" w:rsidRPr="00A91A7C">
        <w:rPr>
          <w:lang w:val="fr-FR"/>
        </w:rPr>
        <w:tab/>
        <w:t>Le Groupe de travail a noté que</w:t>
      </w:r>
      <w:r w:rsidR="006710AF">
        <w:rPr>
          <w:lang w:val="fr-FR"/>
        </w:rPr>
        <w:t>,</w:t>
      </w:r>
      <w:r w:rsidR="00557AF5" w:rsidRPr="00A91A7C">
        <w:rPr>
          <w:lang w:val="fr-FR"/>
        </w:rPr>
        <w:t xml:space="preserve"> pour les autres marchandises soumises à ces prescriptions supplémentaires, les règles de surveillance générales du chapitre 8.4 restent applicables. </w:t>
      </w:r>
    </w:p>
    <w:bookmarkEnd w:id="8"/>
    <w:p w14:paraId="5B5F8478" w14:textId="77777777" w:rsidR="00557AF5" w:rsidRPr="00A91A7C" w:rsidRDefault="00557AF5" w:rsidP="00AF3928">
      <w:pPr>
        <w:pStyle w:val="H23G"/>
        <w:rPr>
          <w:lang w:val="fr-FR"/>
        </w:rPr>
      </w:pPr>
      <w:r w:rsidRPr="00A91A7C">
        <w:rPr>
          <w:lang w:val="fr-FR"/>
        </w:rPr>
        <w:lastRenderedPageBreak/>
        <w:tab/>
        <w:t>2.</w:t>
      </w:r>
      <w:r w:rsidRPr="00A91A7C">
        <w:rPr>
          <w:lang w:val="fr-FR"/>
        </w:rPr>
        <w:tab/>
        <w:t>Certificat de formation du conducteur ADR</w:t>
      </w:r>
    </w:p>
    <w:p w14:paraId="7A69CCBA" w14:textId="77777777" w:rsidR="00557AF5" w:rsidRPr="00A91A7C" w:rsidRDefault="00557AF5" w:rsidP="00AF3928">
      <w:pPr>
        <w:pStyle w:val="SingleTxtG"/>
        <w:keepNext/>
        <w:keepLines/>
        <w:ind w:left="2268" w:hanging="1134"/>
        <w:jc w:val="left"/>
        <w:rPr>
          <w:lang w:val="fr-FR"/>
        </w:rPr>
      </w:pPr>
      <w:r w:rsidRPr="00A91A7C">
        <w:rPr>
          <w:i/>
          <w:lang w:val="fr-FR"/>
        </w:rPr>
        <w:t>Document </w:t>
      </w:r>
      <w:r w:rsidRPr="00A91A7C">
        <w:rPr>
          <w:lang w:val="fr-FR"/>
        </w:rPr>
        <w:t>:</w:t>
      </w:r>
      <w:r w:rsidRPr="00A91A7C">
        <w:rPr>
          <w:lang w:val="fr-FR"/>
        </w:rPr>
        <w:tab/>
      </w:r>
      <w:r w:rsidRPr="00A91A7C">
        <w:rPr>
          <w:lang w:val="fr-FR"/>
        </w:rPr>
        <w:tab/>
        <w:t>ECE/TRANS/WP.15/2019/18 (CEFIC)</w:t>
      </w:r>
    </w:p>
    <w:p w14:paraId="47DFF34E" w14:textId="77777777" w:rsidR="00557AF5" w:rsidRPr="00A91A7C" w:rsidRDefault="00557AF5" w:rsidP="00AF3928">
      <w:pPr>
        <w:pStyle w:val="SingleTxtG"/>
        <w:keepNext/>
        <w:keepLines/>
        <w:tabs>
          <w:tab w:val="left" w:pos="3000"/>
        </w:tabs>
        <w:ind w:left="2268" w:hanging="1134"/>
        <w:jc w:val="left"/>
        <w:rPr>
          <w:szCs w:val="24"/>
          <w:lang w:val="fr-FR"/>
        </w:rPr>
      </w:pPr>
      <w:r w:rsidRPr="00A91A7C">
        <w:rPr>
          <w:i/>
          <w:lang w:val="fr-FR"/>
        </w:rPr>
        <w:t>Documents informels </w:t>
      </w:r>
      <w:r w:rsidRPr="00A91A7C">
        <w:rPr>
          <w:lang w:val="fr-FR"/>
        </w:rPr>
        <w:t>:</w:t>
      </w:r>
      <w:r w:rsidRPr="00A91A7C">
        <w:rPr>
          <w:lang w:val="fr-FR"/>
        </w:rPr>
        <w:tab/>
      </w:r>
      <w:r w:rsidRPr="00A91A7C">
        <w:rPr>
          <w:szCs w:val="24"/>
          <w:lang w:val="fr-FR"/>
        </w:rPr>
        <w:t>INF.24 (CEFIC), INF.28/Rev.1 (Secrétariat)</w:t>
      </w:r>
    </w:p>
    <w:p w14:paraId="7585DB5D" w14:textId="22247859" w:rsidR="00557AF5" w:rsidRPr="00A91A7C" w:rsidRDefault="002D7220" w:rsidP="00AF3928">
      <w:pPr>
        <w:pStyle w:val="SingleTxtG"/>
        <w:keepNext/>
        <w:keepLines/>
        <w:rPr>
          <w:lang w:val="fr-FR"/>
        </w:rPr>
      </w:pPr>
      <w:r w:rsidRPr="00A91A7C">
        <w:rPr>
          <w:lang w:val="fr-FR"/>
        </w:rPr>
        <w:t>43</w:t>
      </w:r>
      <w:r w:rsidR="00557AF5" w:rsidRPr="00A91A7C">
        <w:rPr>
          <w:lang w:val="fr-FR"/>
        </w:rPr>
        <w:t>.</w:t>
      </w:r>
      <w:r w:rsidR="00557AF5" w:rsidRPr="00A91A7C">
        <w:rPr>
          <w:lang w:val="fr-FR"/>
        </w:rPr>
        <w:tab/>
        <w:t>Le Groupe de travail a adopté la proposition figurant au paragraphe 12 du document informel INF.24,</w:t>
      </w:r>
      <w:r w:rsidR="00557AF5" w:rsidRPr="002019A4">
        <w:rPr>
          <w:lang w:val="fr-FR"/>
        </w:rPr>
        <w:t xml:space="preserve"> telle que modifiée dans le document informel INF.28/Rev.1,</w:t>
      </w:r>
      <w:r w:rsidR="00557AF5" w:rsidRPr="00A91A7C">
        <w:rPr>
          <w:lang w:val="fr-FR"/>
        </w:rPr>
        <w:t xml:space="preserve"> avec quelques modifications éditoriales (voir annexe </w:t>
      </w:r>
      <w:r w:rsidR="00CC7D3B" w:rsidRPr="00A91A7C">
        <w:rPr>
          <w:lang w:val="fr-FR"/>
        </w:rPr>
        <w:t xml:space="preserve">I). </w:t>
      </w:r>
    </w:p>
    <w:p w14:paraId="2B3D6B6F" w14:textId="180A335E" w:rsidR="00557AF5" w:rsidRPr="00A91A7C" w:rsidRDefault="002D7220" w:rsidP="00557AF5">
      <w:pPr>
        <w:pStyle w:val="SingleTxtG"/>
        <w:rPr>
          <w:lang w:val="fr-FR"/>
        </w:rPr>
      </w:pPr>
      <w:r w:rsidRPr="00A91A7C">
        <w:rPr>
          <w:lang w:val="fr-FR"/>
        </w:rPr>
        <w:t>44</w:t>
      </w:r>
      <w:r w:rsidR="00557AF5" w:rsidRPr="00A91A7C">
        <w:rPr>
          <w:lang w:val="fr-FR"/>
        </w:rPr>
        <w:t>.</w:t>
      </w:r>
      <w:r w:rsidR="00557AF5" w:rsidRPr="00A91A7C">
        <w:rPr>
          <w:lang w:val="fr-FR"/>
        </w:rPr>
        <w:tab/>
        <w:t>La proposition figurant au paragraphe 13 de créer une base de données internationale des certificats de formation de conducteur ADR a soulevé plusieurs problèmes concernant notamment l’accessibilité d’une telle base de données, la protection des données personnelles et les financements nécessaires pour sa création et ses mises à jour. Le Groupe de travail a noté avec intérêt que de telles bases de données se mettaient en place au niveau national dans certains pays et qu’il pourrait être intéressant d’inviter le groupe de travail télématique de la Réunion commune à se pencher sur la mise en place d’une interface commune pour faciliter l’échange de données entre les autorités compétentes.</w:t>
      </w:r>
    </w:p>
    <w:p w14:paraId="6E4F437C" w14:textId="1534083C" w:rsidR="00557AF5" w:rsidRPr="00A91A7C" w:rsidRDefault="002D7220" w:rsidP="00557AF5">
      <w:pPr>
        <w:pStyle w:val="SingleTxtG"/>
        <w:rPr>
          <w:lang w:val="fr-FR"/>
        </w:rPr>
      </w:pPr>
      <w:r w:rsidRPr="00A91A7C">
        <w:rPr>
          <w:lang w:val="fr-FR"/>
        </w:rPr>
        <w:t>45</w:t>
      </w:r>
      <w:r w:rsidR="00557AF5" w:rsidRPr="00A91A7C">
        <w:rPr>
          <w:lang w:val="fr-FR"/>
        </w:rPr>
        <w:t>.</w:t>
      </w:r>
      <w:r w:rsidR="00557AF5" w:rsidRPr="00A91A7C">
        <w:rPr>
          <w:lang w:val="fr-FR"/>
        </w:rPr>
        <w:tab/>
        <w:t xml:space="preserve">Le Groupe de travail a également adopté la proposition 2 du document informel INF.28/Rev.1 (voir annexe </w:t>
      </w:r>
      <w:r w:rsidR="00CC7D3B" w:rsidRPr="00A91A7C">
        <w:rPr>
          <w:lang w:val="fr-FR"/>
        </w:rPr>
        <w:t>I</w:t>
      </w:r>
      <w:r w:rsidR="00557AF5" w:rsidRPr="00A91A7C">
        <w:rPr>
          <w:lang w:val="fr-FR"/>
        </w:rPr>
        <w:t xml:space="preserve">). </w:t>
      </w:r>
    </w:p>
    <w:p w14:paraId="71DCD4CB" w14:textId="77777777" w:rsidR="00557AF5" w:rsidRPr="00A91A7C" w:rsidRDefault="00557AF5" w:rsidP="00557AF5">
      <w:pPr>
        <w:pStyle w:val="H23G"/>
        <w:rPr>
          <w:lang w:val="fr-FR"/>
        </w:rPr>
      </w:pPr>
      <w:r w:rsidRPr="00A91A7C">
        <w:rPr>
          <w:lang w:val="fr-FR"/>
        </w:rPr>
        <w:tab/>
        <w:t>3.</w:t>
      </w:r>
      <w:r w:rsidRPr="00A91A7C">
        <w:rPr>
          <w:lang w:val="fr-FR"/>
        </w:rPr>
        <w:tab/>
        <w:t>Propositions d’amendements éditoriaux</w:t>
      </w:r>
    </w:p>
    <w:p w14:paraId="3FDC6D8D" w14:textId="77777777" w:rsidR="00557AF5" w:rsidRPr="00A91A7C" w:rsidRDefault="00557AF5" w:rsidP="00557AF5">
      <w:pPr>
        <w:pStyle w:val="SingleTxtG"/>
        <w:tabs>
          <w:tab w:val="left" w:pos="3000"/>
        </w:tabs>
        <w:ind w:left="2268" w:hanging="1134"/>
        <w:jc w:val="left"/>
        <w:rPr>
          <w:szCs w:val="24"/>
          <w:lang w:val="fr-FR"/>
        </w:rPr>
      </w:pPr>
      <w:r w:rsidRPr="00A91A7C">
        <w:rPr>
          <w:i/>
          <w:lang w:val="fr-FR"/>
        </w:rPr>
        <w:t>Document informel </w:t>
      </w:r>
      <w:r w:rsidRPr="00A91A7C">
        <w:rPr>
          <w:lang w:val="fr-FR"/>
        </w:rPr>
        <w:t>:</w:t>
      </w:r>
      <w:r w:rsidRPr="00A91A7C">
        <w:rPr>
          <w:lang w:val="fr-FR"/>
        </w:rPr>
        <w:tab/>
      </w:r>
      <w:r w:rsidRPr="00A91A7C">
        <w:rPr>
          <w:szCs w:val="24"/>
          <w:lang w:val="fr-FR"/>
        </w:rPr>
        <w:t>INF.20/Rev.1 (Secrétariat)</w:t>
      </w:r>
    </w:p>
    <w:p w14:paraId="0663932B" w14:textId="33D84EE5" w:rsidR="00557AF5" w:rsidRPr="00A91A7C" w:rsidRDefault="002D7220" w:rsidP="00557AF5">
      <w:pPr>
        <w:pStyle w:val="SingleTxtG"/>
        <w:rPr>
          <w:lang w:val="fr-FR"/>
        </w:rPr>
      </w:pPr>
      <w:r w:rsidRPr="00A91A7C">
        <w:rPr>
          <w:lang w:val="fr-FR"/>
        </w:rPr>
        <w:t>46</w:t>
      </w:r>
      <w:r w:rsidR="00557AF5" w:rsidRPr="00A91A7C">
        <w:rPr>
          <w:lang w:val="fr-FR"/>
        </w:rPr>
        <w:t>.</w:t>
      </w:r>
      <w:r w:rsidR="00557AF5" w:rsidRPr="00A91A7C">
        <w:rPr>
          <w:lang w:val="fr-FR"/>
        </w:rPr>
        <w:tab/>
        <w:t xml:space="preserve">Le Groupe de travail a adopté les modifications éditoriales proposées dans le document informel INF.20/Rev.1 (voir annexe </w:t>
      </w:r>
      <w:r w:rsidR="00CC7D3B" w:rsidRPr="00A91A7C">
        <w:rPr>
          <w:lang w:val="fr-FR"/>
        </w:rPr>
        <w:t xml:space="preserve">I). </w:t>
      </w:r>
    </w:p>
    <w:p w14:paraId="35117D0A" w14:textId="0C5768E8" w:rsidR="00557AF5" w:rsidRPr="00A91A7C" w:rsidRDefault="002D7220" w:rsidP="00557AF5">
      <w:pPr>
        <w:pStyle w:val="SingleTxtG"/>
        <w:rPr>
          <w:lang w:val="fr-FR"/>
        </w:rPr>
      </w:pPr>
      <w:r w:rsidRPr="00A91A7C">
        <w:rPr>
          <w:lang w:val="fr-FR"/>
        </w:rPr>
        <w:t>47</w:t>
      </w:r>
      <w:r w:rsidR="00557AF5" w:rsidRPr="00A91A7C">
        <w:rPr>
          <w:lang w:val="fr-FR"/>
        </w:rPr>
        <w:t>.</w:t>
      </w:r>
      <w:r w:rsidR="00557AF5" w:rsidRPr="00A91A7C">
        <w:rPr>
          <w:lang w:val="fr-FR"/>
        </w:rPr>
        <w:tab/>
        <w:t>Le représentant de l’OTIF a confirmé que la modification du 4.1.1.10 dans la version française de l’ADR serait également proposée à la Commission d’experts du RID. Le secrétariat informera le Sous-Comité d’experts du transport des marchandises dangereuses de cette modification.</w:t>
      </w:r>
    </w:p>
    <w:p w14:paraId="7AF6A6BF" w14:textId="77777777" w:rsidR="00557AF5" w:rsidRPr="00A91A7C" w:rsidRDefault="00557AF5" w:rsidP="00557AF5">
      <w:pPr>
        <w:pStyle w:val="H23G"/>
        <w:rPr>
          <w:lang w:val="fr-FR"/>
        </w:rPr>
      </w:pPr>
      <w:r w:rsidRPr="00A91A7C">
        <w:rPr>
          <w:lang w:val="fr-FR"/>
        </w:rPr>
        <w:tab/>
        <w:t>4.</w:t>
      </w:r>
      <w:r w:rsidRPr="00A91A7C">
        <w:rPr>
          <w:lang w:val="fr-FR"/>
        </w:rPr>
        <w:tab/>
        <w:t>Mise à jour de mesures transitoires</w:t>
      </w:r>
    </w:p>
    <w:p w14:paraId="6367DD7A" w14:textId="77777777" w:rsidR="00557AF5" w:rsidRPr="00A91A7C" w:rsidRDefault="00557AF5" w:rsidP="00557AF5">
      <w:pPr>
        <w:pStyle w:val="SingleTxtG"/>
        <w:tabs>
          <w:tab w:val="left" w:pos="3000"/>
        </w:tabs>
        <w:ind w:left="2268" w:hanging="1134"/>
        <w:jc w:val="left"/>
        <w:rPr>
          <w:szCs w:val="24"/>
          <w:lang w:val="fr-FR"/>
        </w:rPr>
      </w:pPr>
      <w:r w:rsidRPr="00A91A7C">
        <w:rPr>
          <w:i/>
          <w:lang w:val="fr-FR"/>
        </w:rPr>
        <w:t>Document informel </w:t>
      </w:r>
      <w:r w:rsidRPr="00A91A7C">
        <w:rPr>
          <w:lang w:val="fr-FR"/>
        </w:rPr>
        <w:t>:</w:t>
      </w:r>
      <w:r w:rsidRPr="00A91A7C">
        <w:rPr>
          <w:lang w:val="fr-FR"/>
        </w:rPr>
        <w:tab/>
      </w:r>
      <w:r w:rsidRPr="00A91A7C">
        <w:rPr>
          <w:szCs w:val="24"/>
          <w:lang w:val="fr-FR"/>
        </w:rPr>
        <w:t>INF.21 (Secrétariat)</w:t>
      </w:r>
    </w:p>
    <w:p w14:paraId="22A88756" w14:textId="5932935C" w:rsidR="00557AF5" w:rsidRPr="00A91A7C" w:rsidRDefault="002D7220" w:rsidP="00557AF5">
      <w:pPr>
        <w:pStyle w:val="SingleTxtG"/>
        <w:rPr>
          <w:lang w:val="fr-FR"/>
        </w:rPr>
      </w:pPr>
      <w:r w:rsidRPr="00A91A7C">
        <w:rPr>
          <w:lang w:val="fr-FR"/>
        </w:rPr>
        <w:t>48</w:t>
      </w:r>
      <w:r w:rsidR="00557AF5" w:rsidRPr="00A91A7C">
        <w:rPr>
          <w:lang w:val="fr-FR"/>
        </w:rPr>
        <w:t>.</w:t>
      </w:r>
      <w:r w:rsidR="00557AF5" w:rsidRPr="00A91A7C">
        <w:rPr>
          <w:lang w:val="fr-FR"/>
        </w:rPr>
        <w:tab/>
        <w:t xml:space="preserve">Le Groupe de travail a adopté les propositions de mise à jour de mesures transitoires (voir annexe </w:t>
      </w:r>
      <w:r w:rsidR="00CC7D3B" w:rsidRPr="00A91A7C">
        <w:rPr>
          <w:lang w:val="fr-FR"/>
        </w:rPr>
        <w:t xml:space="preserve">I). </w:t>
      </w:r>
    </w:p>
    <w:p w14:paraId="365CA4F1" w14:textId="77777777" w:rsidR="00557AF5" w:rsidRPr="00A91A7C" w:rsidRDefault="00557AF5" w:rsidP="00557AF5">
      <w:pPr>
        <w:pStyle w:val="H23G"/>
        <w:rPr>
          <w:lang w:val="fr-FR"/>
        </w:rPr>
      </w:pPr>
      <w:r w:rsidRPr="00A91A7C">
        <w:rPr>
          <w:lang w:val="fr-FR"/>
        </w:rPr>
        <w:tab/>
        <w:t>5.</w:t>
      </w:r>
      <w:r w:rsidRPr="00A91A7C">
        <w:rPr>
          <w:lang w:val="fr-FR"/>
        </w:rPr>
        <w:tab/>
        <w:t>Documents relatifs aux marchandises dangereuses qui ne se trouvent plus dans l’unité de transport</w:t>
      </w:r>
    </w:p>
    <w:p w14:paraId="1B307BF5" w14:textId="77777777" w:rsidR="00557AF5" w:rsidRPr="00A91A7C" w:rsidRDefault="00557AF5" w:rsidP="00557AF5">
      <w:pPr>
        <w:pStyle w:val="SingleTxtG"/>
        <w:keepNext/>
        <w:keepLines/>
        <w:ind w:left="2268" w:hanging="1134"/>
        <w:jc w:val="left"/>
        <w:rPr>
          <w:lang w:val="fr-FR"/>
        </w:rPr>
      </w:pPr>
      <w:r w:rsidRPr="00A91A7C">
        <w:rPr>
          <w:i/>
          <w:lang w:val="fr-FR"/>
        </w:rPr>
        <w:t>Document </w:t>
      </w:r>
      <w:r w:rsidRPr="00A91A7C">
        <w:rPr>
          <w:lang w:val="fr-FR"/>
        </w:rPr>
        <w:t>:</w:t>
      </w:r>
      <w:r w:rsidRPr="00A91A7C">
        <w:rPr>
          <w:lang w:val="fr-FR"/>
        </w:rPr>
        <w:tab/>
      </w:r>
      <w:r w:rsidRPr="00A91A7C">
        <w:rPr>
          <w:lang w:val="fr-FR"/>
        </w:rPr>
        <w:tab/>
        <w:t>ECE/TRANS/WP.15/2019/22 (Suisse)</w:t>
      </w:r>
    </w:p>
    <w:p w14:paraId="2E1027A4" w14:textId="044C1F78" w:rsidR="00557AF5" w:rsidRPr="00A91A7C" w:rsidRDefault="002D7220" w:rsidP="00557AF5">
      <w:pPr>
        <w:pStyle w:val="SingleTxtG"/>
        <w:rPr>
          <w:lang w:val="fr-FR"/>
        </w:rPr>
      </w:pPr>
      <w:r w:rsidRPr="00A91A7C">
        <w:rPr>
          <w:lang w:val="fr-FR"/>
        </w:rPr>
        <w:t>49</w:t>
      </w:r>
      <w:r w:rsidR="00557AF5" w:rsidRPr="00A91A7C">
        <w:rPr>
          <w:lang w:val="fr-FR"/>
        </w:rPr>
        <w:t>.</w:t>
      </w:r>
      <w:r w:rsidR="00557AF5" w:rsidRPr="00A91A7C">
        <w:rPr>
          <w:lang w:val="fr-FR"/>
        </w:rPr>
        <w:tab/>
        <w:t xml:space="preserve">La plupart des délégations étaient d’accord sur le fait que les conducteurs devaient présenter uniquement les documents pertinents pour le transport en cours en cas de contrôle et que la documentation relative à des marchandises déchargées devrait idéalement être écartée. Cependant la plupart des délégations n’ont pas soutenu la solution proposée par la Suisse. </w:t>
      </w:r>
    </w:p>
    <w:p w14:paraId="3CCD9CEA" w14:textId="58986A95" w:rsidR="00557AF5" w:rsidRPr="00A91A7C" w:rsidRDefault="002D7220" w:rsidP="00557AF5">
      <w:pPr>
        <w:pStyle w:val="SingleTxtG"/>
        <w:rPr>
          <w:lang w:val="fr-FR"/>
        </w:rPr>
      </w:pPr>
      <w:r w:rsidRPr="00A91A7C">
        <w:rPr>
          <w:lang w:val="fr-FR"/>
        </w:rPr>
        <w:t>50</w:t>
      </w:r>
      <w:r w:rsidR="00557AF5" w:rsidRPr="00A91A7C">
        <w:rPr>
          <w:lang w:val="fr-FR"/>
        </w:rPr>
        <w:t>.</w:t>
      </w:r>
      <w:r w:rsidR="00557AF5" w:rsidRPr="00A91A7C">
        <w:rPr>
          <w:lang w:val="fr-FR"/>
        </w:rPr>
        <w:tab/>
        <w:t xml:space="preserve">Il a été fait remarquer que ce problème était plutôt un problème de mise en œuvre de l’ADR et de formation des conducteurs. Plusieurs délégations ont également indiqué que la proposition de la Suisse ne tenait pas compte de tous les cas possibles comme </w:t>
      </w:r>
      <w:r w:rsidR="00B246F6">
        <w:rPr>
          <w:lang w:val="fr-FR"/>
        </w:rPr>
        <w:t>celui</w:t>
      </w:r>
      <w:r w:rsidR="00557AF5" w:rsidRPr="00A91A7C">
        <w:rPr>
          <w:lang w:val="fr-FR"/>
        </w:rPr>
        <w:t xml:space="preserve"> des citernes vides non nettoyées pour lesquelles l’information doit être conservée. </w:t>
      </w:r>
    </w:p>
    <w:p w14:paraId="37098AC9" w14:textId="37F0218A" w:rsidR="00557AF5" w:rsidRPr="00A91A7C" w:rsidRDefault="002D7220" w:rsidP="00557AF5">
      <w:pPr>
        <w:pStyle w:val="SingleTxtG"/>
        <w:rPr>
          <w:lang w:val="fr-FR"/>
        </w:rPr>
      </w:pPr>
      <w:r w:rsidRPr="00A91A7C">
        <w:rPr>
          <w:lang w:val="fr-FR"/>
        </w:rPr>
        <w:t>51</w:t>
      </w:r>
      <w:r w:rsidR="00557AF5" w:rsidRPr="00A91A7C">
        <w:rPr>
          <w:lang w:val="fr-FR"/>
        </w:rPr>
        <w:t>.</w:t>
      </w:r>
      <w:r w:rsidR="00557AF5" w:rsidRPr="00A91A7C">
        <w:rPr>
          <w:lang w:val="fr-FR"/>
        </w:rPr>
        <w:tab/>
        <w:t>Le représentant de la Suisse a indiqué qu’il pourrait présenter une proposition révisée dans le futur et a invité les délégations qui le souhaiteraient à lui transmettre leurs commentaires.</w:t>
      </w:r>
    </w:p>
    <w:p w14:paraId="75F746F5" w14:textId="1243704B" w:rsidR="00222176" w:rsidRPr="00A91A7C" w:rsidRDefault="00222176" w:rsidP="001273D3">
      <w:pPr>
        <w:pStyle w:val="H23G"/>
        <w:rPr>
          <w:lang w:val="fr-FR"/>
        </w:rPr>
      </w:pPr>
      <w:r w:rsidRPr="00A91A7C">
        <w:rPr>
          <w:lang w:val="fr-FR"/>
        </w:rPr>
        <w:lastRenderedPageBreak/>
        <w:tab/>
        <w:t>6.</w:t>
      </w:r>
      <w:r w:rsidRPr="00A91A7C">
        <w:rPr>
          <w:lang w:val="fr-FR"/>
        </w:rPr>
        <w:tab/>
        <w:t>Formes des sections transversales des réservoirs conformément au 6.8.2.1.18</w:t>
      </w:r>
    </w:p>
    <w:p w14:paraId="2A6A23DC" w14:textId="77777777" w:rsidR="00222176" w:rsidRPr="00A91A7C" w:rsidRDefault="00222176" w:rsidP="001273D3">
      <w:pPr>
        <w:pStyle w:val="SingleTxtG"/>
        <w:keepNext/>
        <w:keepLines/>
        <w:tabs>
          <w:tab w:val="left" w:pos="3000"/>
        </w:tabs>
        <w:ind w:left="2268" w:hanging="1134"/>
        <w:jc w:val="left"/>
        <w:rPr>
          <w:szCs w:val="24"/>
          <w:lang w:val="fr-FR"/>
        </w:rPr>
      </w:pPr>
      <w:r w:rsidRPr="00A91A7C">
        <w:rPr>
          <w:i/>
          <w:lang w:val="fr-FR"/>
        </w:rPr>
        <w:t>Document informel </w:t>
      </w:r>
      <w:r w:rsidRPr="00A91A7C">
        <w:rPr>
          <w:lang w:val="fr-FR"/>
        </w:rPr>
        <w:t>:</w:t>
      </w:r>
      <w:r w:rsidRPr="00A91A7C">
        <w:rPr>
          <w:lang w:val="fr-FR"/>
        </w:rPr>
        <w:tab/>
      </w:r>
      <w:r w:rsidRPr="00A91A7C">
        <w:rPr>
          <w:szCs w:val="24"/>
          <w:lang w:val="fr-FR"/>
        </w:rPr>
        <w:t>INF.8 (Royaume-Uni)</w:t>
      </w:r>
    </w:p>
    <w:p w14:paraId="44EE7654" w14:textId="5FCA7E44" w:rsidR="00222176" w:rsidRPr="00A91A7C" w:rsidRDefault="002D7220" w:rsidP="001273D3">
      <w:pPr>
        <w:pStyle w:val="SingleTxtG"/>
        <w:keepNext/>
        <w:keepLines/>
        <w:rPr>
          <w:lang w:val="fr-FR"/>
        </w:rPr>
      </w:pPr>
      <w:r w:rsidRPr="00A91A7C">
        <w:rPr>
          <w:lang w:val="fr-FR"/>
        </w:rPr>
        <w:t>52</w:t>
      </w:r>
      <w:r w:rsidR="00222176" w:rsidRPr="00A91A7C">
        <w:rPr>
          <w:lang w:val="fr-FR"/>
        </w:rPr>
        <w:t>.</w:t>
      </w:r>
      <w:r w:rsidR="00222176" w:rsidRPr="00A91A7C">
        <w:rPr>
          <w:lang w:val="fr-FR"/>
        </w:rPr>
        <w:tab/>
        <w:t>Les représentants du Royaume-Uni et de ECFD ont rappelé que des travaux étaient toujours en cours au sein du comité technique CEN/TC 296 afin de réviser la norme EN</w:t>
      </w:r>
      <w:r w:rsidR="00B246F6">
        <w:rPr>
          <w:lang w:val="fr-FR"/>
        </w:rPr>
        <w:t> </w:t>
      </w:r>
      <w:r w:rsidR="00222176" w:rsidRPr="00A91A7C">
        <w:rPr>
          <w:lang w:val="fr-FR"/>
        </w:rPr>
        <w:t xml:space="preserve">13094. Ils ont présenté les lignes directrices révisées pour l’application de la note de bas de page 3 du 6.8.2.1.18 pour donner suite aux discussions sur ce point à la Réunion commune à sa session d’automne 2019. </w:t>
      </w:r>
    </w:p>
    <w:p w14:paraId="0B3E5254" w14:textId="3F92D781" w:rsidR="00222176" w:rsidRPr="00A91A7C" w:rsidRDefault="002D7220" w:rsidP="00222176">
      <w:pPr>
        <w:pStyle w:val="SingleTxtG"/>
        <w:rPr>
          <w:lang w:val="fr-FR"/>
        </w:rPr>
      </w:pPr>
      <w:r w:rsidRPr="00A91A7C">
        <w:rPr>
          <w:lang w:val="fr-FR"/>
        </w:rPr>
        <w:t>53</w:t>
      </w:r>
      <w:r w:rsidR="00222176" w:rsidRPr="00A91A7C">
        <w:rPr>
          <w:lang w:val="fr-FR"/>
        </w:rPr>
        <w:t>.</w:t>
      </w:r>
      <w:r w:rsidR="00222176" w:rsidRPr="00A91A7C">
        <w:rPr>
          <w:lang w:val="fr-FR"/>
        </w:rPr>
        <w:tab/>
        <w:t xml:space="preserve">Le Groupe de travail a approuvé ces lignes directrices et leur publication sur le site internet de la </w:t>
      </w:r>
      <w:r w:rsidR="00B246F6">
        <w:rPr>
          <w:lang w:val="fr-FR"/>
        </w:rPr>
        <w:t>CEE</w:t>
      </w:r>
      <w:r w:rsidR="00222176" w:rsidRPr="00A91A7C">
        <w:rPr>
          <w:lang w:val="fr-FR"/>
        </w:rPr>
        <w:t xml:space="preserve"> si la version révisée de la norme ne </w:t>
      </w:r>
      <w:bookmarkStart w:id="9" w:name="_Hlk25584133"/>
      <w:r w:rsidR="003C3FBE">
        <w:rPr>
          <w:lang w:val="fr-FR"/>
        </w:rPr>
        <w:t>pouvait</w:t>
      </w:r>
      <w:r w:rsidR="00222176" w:rsidRPr="00A91A7C">
        <w:rPr>
          <w:lang w:val="fr-FR"/>
        </w:rPr>
        <w:t xml:space="preserve"> </w:t>
      </w:r>
      <w:bookmarkEnd w:id="9"/>
      <w:r w:rsidR="00222176" w:rsidRPr="00A91A7C">
        <w:rPr>
          <w:lang w:val="fr-FR"/>
        </w:rPr>
        <w:t xml:space="preserve">être publiée à temps pour être citée en référence dans l’ADR 2021 (voir annexe </w:t>
      </w:r>
      <w:r w:rsidR="002019A4">
        <w:rPr>
          <w:lang w:val="fr-FR"/>
        </w:rPr>
        <w:t>II</w:t>
      </w:r>
      <w:r w:rsidR="00222176" w:rsidRPr="00A91A7C">
        <w:rPr>
          <w:lang w:val="fr-FR"/>
        </w:rPr>
        <w:t>).</w:t>
      </w:r>
    </w:p>
    <w:p w14:paraId="57E45E54" w14:textId="6308DC75" w:rsidR="00222176" w:rsidRPr="00A91A7C" w:rsidRDefault="002D7220" w:rsidP="00222176">
      <w:pPr>
        <w:pStyle w:val="SingleTxtG"/>
        <w:rPr>
          <w:lang w:val="fr-FR"/>
        </w:rPr>
      </w:pPr>
      <w:r w:rsidRPr="00A91A7C">
        <w:rPr>
          <w:lang w:val="fr-FR"/>
        </w:rPr>
        <w:t>54</w:t>
      </w:r>
      <w:r w:rsidR="00222176" w:rsidRPr="00A91A7C">
        <w:rPr>
          <w:lang w:val="fr-FR"/>
        </w:rPr>
        <w:t>.</w:t>
      </w:r>
      <w:r w:rsidR="00222176" w:rsidRPr="00A91A7C">
        <w:rPr>
          <w:lang w:val="fr-FR"/>
        </w:rPr>
        <w:tab/>
        <w:t xml:space="preserve">En conséquence, le Groupe de travail a confirmé l’adoption de l’amendement à la note de bas de page 3 du 6.8.2.1.18 et a adopté un amendement supplémentaire visant à introduire une référence aux lignes directrices dans l’ADR (voir annexe </w:t>
      </w:r>
      <w:r w:rsidR="00CC7D3B" w:rsidRPr="00A91A7C">
        <w:rPr>
          <w:lang w:val="fr-FR"/>
        </w:rPr>
        <w:t>I).</w:t>
      </w:r>
    </w:p>
    <w:p w14:paraId="1D42C51B" w14:textId="77777777" w:rsidR="00222176" w:rsidRPr="00A91A7C" w:rsidRDefault="00222176" w:rsidP="00222176">
      <w:pPr>
        <w:pStyle w:val="H23G"/>
        <w:rPr>
          <w:lang w:val="fr-FR"/>
        </w:rPr>
      </w:pPr>
      <w:r w:rsidRPr="00A91A7C">
        <w:rPr>
          <w:lang w:val="fr-FR"/>
        </w:rPr>
        <w:tab/>
        <w:t>7.</w:t>
      </w:r>
      <w:r w:rsidRPr="00A91A7C">
        <w:rPr>
          <w:lang w:val="fr-FR"/>
        </w:rPr>
        <w:tab/>
        <w:t>Restrictions de circulation en tunnels pour les conteneurs chargés de marchandises dangereuses en quantités limitées</w:t>
      </w:r>
    </w:p>
    <w:p w14:paraId="25905994" w14:textId="19F09C02" w:rsidR="00222176" w:rsidRPr="00A91A7C" w:rsidRDefault="00222176" w:rsidP="003C3FBE">
      <w:pPr>
        <w:pStyle w:val="SingleTxtG"/>
        <w:tabs>
          <w:tab w:val="left" w:pos="2410"/>
        </w:tabs>
        <w:ind w:left="2410" w:hanging="1276"/>
        <w:jc w:val="left"/>
        <w:rPr>
          <w:szCs w:val="24"/>
          <w:lang w:val="fr-FR"/>
        </w:rPr>
      </w:pPr>
      <w:r w:rsidRPr="00A91A7C">
        <w:rPr>
          <w:i/>
          <w:lang w:val="fr-FR"/>
        </w:rPr>
        <w:t>Documents </w:t>
      </w:r>
      <w:r w:rsidRPr="00A91A7C">
        <w:rPr>
          <w:lang w:val="fr-FR"/>
        </w:rPr>
        <w:t>:</w:t>
      </w:r>
      <w:r w:rsidRPr="00A91A7C">
        <w:rPr>
          <w:lang w:val="fr-FR"/>
        </w:rPr>
        <w:tab/>
        <w:t>ECE/TRANS/WP.15/2019/15 (Suisse), ECE/TRANS/WP.15/2019/17</w:t>
      </w:r>
      <w:r w:rsidR="003C3FBE">
        <w:rPr>
          <w:lang w:val="fr-FR"/>
        </w:rPr>
        <w:t> </w:t>
      </w:r>
      <w:r w:rsidRPr="00A91A7C">
        <w:rPr>
          <w:lang w:val="fr-FR"/>
        </w:rPr>
        <w:t>(Suisse)</w:t>
      </w:r>
    </w:p>
    <w:p w14:paraId="2DC94228" w14:textId="77777777" w:rsidR="00222176" w:rsidRPr="00A91A7C" w:rsidRDefault="00222176" w:rsidP="00222176">
      <w:pPr>
        <w:pStyle w:val="SingleTxtG"/>
        <w:tabs>
          <w:tab w:val="left" w:pos="3000"/>
        </w:tabs>
        <w:ind w:left="2268" w:hanging="1134"/>
        <w:jc w:val="left"/>
        <w:rPr>
          <w:szCs w:val="24"/>
          <w:lang w:val="fr-FR"/>
        </w:rPr>
      </w:pPr>
      <w:r w:rsidRPr="00A91A7C">
        <w:rPr>
          <w:i/>
          <w:lang w:val="fr-FR"/>
        </w:rPr>
        <w:t>Document informel </w:t>
      </w:r>
      <w:r w:rsidRPr="00A91A7C">
        <w:rPr>
          <w:lang w:val="fr-FR"/>
        </w:rPr>
        <w:t>:</w:t>
      </w:r>
      <w:r w:rsidRPr="00A91A7C">
        <w:rPr>
          <w:lang w:val="fr-FR"/>
        </w:rPr>
        <w:tab/>
      </w:r>
      <w:r w:rsidRPr="00A91A7C">
        <w:rPr>
          <w:szCs w:val="24"/>
          <w:lang w:val="fr-FR"/>
        </w:rPr>
        <w:t>INF.6 (</w:t>
      </w:r>
      <w:r w:rsidRPr="00A91A7C">
        <w:rPr>
          <w:lang w:val="fr-FR"/>
        </w:rPr>
        <w:t>Suisse</w:t>
      </w:r>
      <w:r w:rsidRPr="00A91A7C">
        <w:rPr>
          <w:szCs w:val="24"/>
          <w:lang w:val="fr-FR"/>
        </w:rPr>
        <w:t>)</w:t>
      </w:r>
    </w:p>
    <w:p w14:paraId="1CFBC5A3" w14:textId="65FE5BC1" w:rsidR="00222176" w:rsidRPr="00A91A7C" w:rsidRDefault="002D7220" w:rsidP="00222176">
      <w:pPr>
        <w:pStyle w:val="SingleTxtG"/>
        <w:rPr>
          <w:lang w:val="fr-FR"/>
        </w:rPr>
      </w:pPr>
      <w:r w:rsidRPr="00A91A7C">
        <w:rPr>
          <w:lang w:val="fr-FR"/>
        </w:rPr>
        <w:t>55</w:t>
      </w:r>
      <w:r w:rsidR="00222176" w:rsidRPr="00A91A7C">
        <w:rPr>
          <w:lang w:val="fr-FR"/>
        </w:rPr>
        <w:t>.</w:t>
      </w:r>
      <w:r w:rsidR="00222176" w:rsidRPr="00A91A7C">
        <w:rPr>
          <w:lang w:val="fr-FR"/>
        </w:rPr>
        <w:tab/>
        <w:t xml:space="preserve">Le Groupe de travail a discuté des différentes options afin de clarifier les dispositions relatives à la circulation dans les tunnels pour les véhicules transportant des conteneurs chargés de marchandises dangereuses en quantités limitées. </w:t>
      </w:r>
    </w:p>
    <w:p w14:paraId="01D9AE2C" w14:textId="6A12E07D" w:rsidR="00222176" w:rsidRPr="00A91A7C" w:rsidRDefault="002D7220" w:rsidP="00222176">
      <w:pPr>
        <w:pStyle w:val="SingleTxtG"/>
        <w:rPr>
          <w:lang w:val="fr-FR"/>
        </w:rPr>
      </w:pPr>
      <w:r w:rsidRPr="00A91A7C">
        <w:rPr>
          <w:lang w:val="fr-FR"/>
        </w:rPr>
        <w:t>56</w:t>
      </w:r>
      <w:r w:rsidR="00222176" w:rsidRPr="00A91A7C">
        <w:rPr>
          <w:lang w:val="fr-FR"/>
        </w:rPr>
        <w:t>.</w:t>
      </w:r>
      <w:r w:rsidR="00222176" w:rsidRPr="00A91A7C">
        <w:rPr>
          <w:lang w:val="fr-FR"/>
        </w:rPr>
        <w:tab/>
        <w:t xml:space="preserve">Le Groupe de travail est convenu que le cas des conteneurs portant des plaques-étiquettes suivant le 5.3.1 et chargés de marchandises dangereuses en quantités limitées posait des problèmes de mise en œuvre en ce qui concerne les restrictions de circulation dans les tunnels. </w:t>
      </w:r>
    </w:p>
    <w:p w14:paraId="16FB8B0E" w14:textId="713B1265" w:rsidR="00222176" w:rsidRPr="00A91A7C" w:rsidRDefault="002D7220" w:rsidP="00222176">
      <w:pPr>
        <w:pStyle w:val="SingleTxtG"/>
        <w:rPr>
          <w:lang w:val="fr-FR"/>
        </w:rPr>
      </w:pPr>
      <w:r w:rsidRPr="00A91A7C">
        <w:rPr>
          <w:lang w:val="fr-FR"/>
        </w:rPr>
        <w:t>57</w:t>
      </w:r>
      <w:r w:rsidR="00222176" w:rsidRPr="00A91A7C">
        <w:rPr>
          <w:lang w:val="fr-FR"/>
        </w:rPr>
        <w:t>.</w:t>
      </w:r>
      <w:r w:rsidR="00222176" w:rsidRPr="00A91A7C">
        <w:rPr>
          <w:lang w:val="fr-FR"/>
        </w:rPr>
        <w:tab/>
        <w:t xml:space="preserve">Il n’y a pas eu consensus sur les différentes possibilités de résoudre ce problème. </w:t>
      </w:r>
    </w:p>
    <w:p w14:paraId="72CC307B" w14:textId="2D3743ED" w:rsidR="00222176" w:rsidRPr="00A91A7C" w:rsidRDefault="002D7220" w:rsidP="00222176">
      <w:pPr>
        <w:pStyle w:val="SingleTxtG"/>
        <w:rPr>
          <w:lang w:val="fr-FR"/>
        </w:rPr>
      </w:pPr>
      <w:r w:rsidRPr="00A91A7C">
        <w:rPr>
          <w:lang w:val="fr-FR"/>
        </w:rPr>
        <w:t>58</w:t>
      </w:r>
      <w:r w:rsidR="00222176" w:rsidRPr="00A91A7C">
        <w:rPr>
          <w:lang w:val="fr-FR"/>
        </w:rPr>
        <w:t>.</w:t>
      </w:r>
      <w:r w:rsidR="00222176" w:rsidRPr="00A91A7C">
        <w:rPr>
          <w:lang w:val="fr-FR"/>
        </w:rPr>
        <w:tab/>
        <w:t>Le Groupe de travail a invité le représentant de la Suisse ainsi que le représentant de l’</w:t>
      </w:r>
      <w:r w:rsidR="003C3FBE">
        <w:rPr>
          <w:lang w:val="fr-FR"/>
        </w:rPr>
        <w:t>Autriche,</w:t>
      </w:r>
      <w:r w:rsidR="00222176" w:rsidRPr="00A91A7C">
        <w:rPr>
          <w:lang w:val="fr-FR"/>
        </w:rPr>
        <w:t xml:space="preserve"> qui avait proposé une solution alternative en session, à préparer une ou des propositions révisées pour la prochaine session.</w:t>
      </w:r>
    </w:p>
    <w:p w14:paraId="620830B8" w14:textId="77777777" w:rsidR="00C5191F" w:rsidRPr="00A91A7C" w:rsidRDefault="00C5191F" w:rsidP="00C5191F">
      <w:pPr>
        <w:pStyle w:val="H23G"/>
        <w:rPr>
          <w:lang w:val="fr-FR"/>
        </w:rPr>
      </w:pPr>
      <w:r w:rsidRPr="00A91A7C">
        <w:rPr>
          <w:lang w:val="fr-FR"/>
        </w:rPr>
        <w:tab/>
        <w:t>8.</w:t>
      </w:r>
      <w:r w:rsidRPr="00A91A7C">
        <w:rPr>
          <w:lang w:val="fr-FR"/>
        </w:rPr>
        <w:tab/>
        <w:t>Marchandises dangereuses exemptées des restrictions en tunnels</w:t>
      </w:r>
    </w:p>
    <w:p w14:paraId="6F41E0F3" w14:textId="77777777" w:rsidR="00C5191F" w:rsidRPr="00A91A7C" w:rsidRDefault="00C5191F" w:rsidP="00C5191F">
      <w:pPr>
        <w:pStyle w:val="SingleTxtG"/>
        <w:keepNext/>
        <w:keepLines/>
        <w:ind w:left="2268" w:hanging="1134"/>
        <w:jc w:val="left"/>
        <w:rPr>
          <w:lang w:val="fr-FR"/>
        </w:rPr>
      </w:pPr>
      <w:r w:rsidRPr="00A91A7C">
        <w:rPr>
          <w:i/>
          <w:lang w:val="fr-FR"/>
        </w:rPr>
        <w:t>Document </w:t>
      </w:r>
      <w:r w:rsidRPr="00A91A7C">
        <w:rPr>
          <w:lang w:val="fr-FR"/>
        </w:rPr>
        <w:t>:</w:t>
      </w:r>
      <w:r w:rsidRPr="00A91A7C">
        <w:rPr>
          <w:lang w:val="fr-FR"/>
        </w:rPr>
        <w:tab/>
      </w:r>
      <w:r w:rsidRPr="00A91A7C">
        <w:rPr>
          <w:lang w:val="fr-FR"/>
        </w:rPr>
        <w:tab/>
        <w:t>ECE/TRANS/WP.15/2019/19 (Suisse)</w:t>
      </w:r>
    </w:p>
    <w:p w14:paraId="4D5FCFE0" w14:textId="0FEE43AC" w:rsidR="00C5191F" w:rsidRPr="00A91A7C" w:rsidRDefault="002D7220" w:rsidP="00C5191F">
      <w:pPr>
        <w:pStyle w:val="SingleTxtG"/>
        <w:rPr>
          <w:lang w:val="fr-FR"/>
        </w:rPr>
      </w:pPr>
      <w:r w:rsidRPr="00A91A7C">
        <w:rPr>
          <w:lang w:val="fr-FR"/>
        </w:rPr>
        <w:t>59</w:t>
      </w:r>
      <w:r w:rsidR="00C5191F" w:rsidRPr="00A91A7C">
        <w:rPr>
          <w:lang w:val="fr-FR"/>
        </w:rPr>
        <w:t>.</w:t>
      </w:r>
      <w:r w:rsidR="00C5191F" w:rsidRPr="00A91A7C">
        <w:rPr>
          <w:lang w:val="fr-FR"/>
        </w:rPr>
        <w:tab/>
        <w:t>Les avis divergeaient sur la façon de traiter les véhicules transportant :</w:t>
      </w:r>
    </w:p>
    <w:p w14:paraId="6FB6991E" w14:textId="01777F5C" w:rsidR="00C5191F" w:rsidRPr="00A91A7C" w:rsidRDefault="003C3FBE" w:rsidP="003C3FBE">
      <w:pPr>
        <w:pStyle w:val="SingleTxtG"/>
        <w:ind w:left="1701"/>
        <w:rPr>
          <w:lang w:val="fr-FR"/>
        </w:rPr>
      </w:pPr>
      <w:r>
        <w:rPr>
          <w:lang w:val="fr-FR"/>
        </w:rPr>
        <w:t>a)</w:t>
      </w:r>
      <w:r>
        <w:rPr>
          <w:lang w:val="fr-FR"/>
        </w:rPr>
        <w:tab/>
      </w:r>
      <w:r w:rsidR="00C5191F" w:rsidRPr="00A91A7C">
        <w:rPr>
          <w:lang w:val="fr-FR"/>
        </w:rPr>
        <w:t>Des marchandises soumises aux restrictions dans les tunnels en quantités ne dépassant pas les limites du 1.1.3.6 ; avec</w:t>
      </w:r>
    </w:p>
    <w:p w14:paraId="4B1CFE72" w14:textId="004D171F" w:rsidR="00C5191F" w:rsidRPr="00A91A7C" w:rsidRDefault="003C3FBE" w:rsidP="003C3FBE">
      <w:pPr>
        <w:pStyle w:val="SingleTxtG"/>
        <w:ind w:left="1701"/>
        <w:rPr>
          <w:lang w:val="fr-FR"/>
        </w:rPr>
      </w:pPr>
      <w:r>
        <w:rPr>
          <w:lang w:val="fr-FR"/>
        </w:rPr>
        <w:t>b)</w:t>
      </w:r>
      <w:r>
        <w:rPr>
          <w:lang w:val="fr-FR"/>
        </w:rPr>
        <w:tab/>
      </w:r>
      <w:r w:rsidR="00C5191F" w:rsidRPr="00A91A7C">
        <w:rPr>
          <w:lang w:val="fr-FR"/>
        </w:rPr>
        <w:t>Des marchandises pour lesquelles « (-) » est indiqué en colonne (15) du tableau A de l’ADR dans des quantités qui font que le chargement dépasse les seuils du 1.1.3.6.</w:t>
      </w:r>
    </w:p>
    <w:p w14:paraId="325A40A5" w14:textId="12D10B62" w:rsidR="00C5191F" w:rsidRPr="00A91A7C" w:rsidRDefault="002D7220" w:rsidP="00C5191F">
      <w:pPr>
        <w:pStyle w:val="SingleTxtG"/>
        <w:rPr>
          <w:lang w:val="fr-FR"/>
        </w:rPr>
      </w:pPr>
      <w:r w:rsidRPr="00A91A7C">
        <w:rPr>
          <w:lang w:val="fr-FR"/>
        </w:rPr>
        <w:t>60</w:t>
      </w:r>
      <w:r w:rsidR="00C5191F" w:rsidRPr="00A91A7C">
        <w:rPr>
          <w:lang w:val="fr-FR"/>
        </w:rPr>
        <w:t>.</w:t>
      </w:r>
      <w:r w:rsidR="00C5191F" w:rsidRPr="00A91A7C">
        <w:rPr>
          <w:lang w:val="fr-FR"/>
        </w:rPr>
        <w:tab/>
        <w:t xml:space="preserve">Comme la Suisse, la plupart des délégations pensaient qu’un transport selon le 1.1.3.6 était exempté en ce qui concerne les restrictions en tunnels alors que l’exemple ci-dessus n’était pas exempté bien que les marchandises avec « (-) » ne seraient pas prises en compte en termes de sécurité dans les tunnels si elles étaient transportées seules. </w:t>
      </w:r>
    </w:p>
    <w:p w14:paraId="4B6EBCA1" w14:textId="3645E9FC" w:rsidR="00C5191F" w:rsidRPr="00A91A7C" w:rsidRDefault="002D7220" w:rsidP="00C5191F">
      <w:pPr>
        <w:pStyle w:val="SingleTxtG"/>
        <w:rPr>
          <w:lang w:val="fr-FR"/>
        </w:rPr>
      </w:pPr>
      <w:r w:rsidRPr="00A91A7C">
        <w:rPr>
          <w:lang w:val="fr-FR"/>
        </w:rPr>
        <w:t>61</w:t>
      </w:r>
      <w:r w:rsidR="00C5191F" w:rsidRPr="00A91A7C">
        <w:rPr>
          <w:lang w:val="fr-FR"/>
        </w:rPr>
        <w:t>.</w:t>
      </w:r>
      <w:r w:rsidR="00C5191F" w:rsidRPr="00A91A7C">
        <w:rPr>
          <w:lang w:val="fr-FR"/>
        </w:rPr>
        <w:tab/>
        <w:t xml:space="preserve">La plupart des délégations ne soutenait pas la proposition de la Suisse visant à ne pas prendre en compte les marchandises avec « (-) », </w:t>
      </w:r>
      <w:bookmarkStart w:id="10" w:name="_Hlk25584271"/>
      <w:r w:rsidR="00C5191F" w:rsidRPr="00A91A7C">
        <w:rPr>
          <w:lang w:val="fr-FR"/>
        </w:rPr>
        <w:t xml:space="preserve">lors </w:t>
      </w:r>
      <w:r w:rsidR="003C3FBE">
        <w:rPr>
          <w:lang w:val="fr-FR"/>
        </w:rPr>
        <w:t xml:space="preserve">de la détermination </w:t>
      </w:r>
      <w:bookmarkEnd w:id="10"/>
      <w:r w:rsidR="00C5191F" w:rsidRPr="00A91A7C">
        <w:rPr>
          <w:lang w:val="fr-FR"/>
        </w:rPr>
        <w:t xml:space="preserve">de la valeur calculée selon 1.1.3.6, aux fins des restrictions en tunnels. </w:t>
      </w:r>
    </w:p>
    <w:p w14:paraId="72473949" w14:textId="0131400E" w:rsidR="00C5191F" w:rsidRPr="00A91A7C" w:rsidRDefault="002D7220" w:rsidP="00C5191F">
      <w:pPr>
        <w:pStyle w:val="SingleTxtG"/>
        <w:rPr>
          <w:lang w:val="fr-FR"/>
        </w:rPr>
      </w:pPr>
      <w:r w:rsidRPr="00A91A7C">
        <w:rPr>
          <w:lang w:val="fr-FR"/>
        </w:rPr>
        <w:t>62</w:t>
      </w:r>
      <w:r w:rsidR="00C5191F" w:rsidRPr="00A91A7C">
        <w:rPr>
          <w:lang w:val="fr-FR"/>
        </w:rPr>
        <w:t>.</w:t>
      </w:r>
      <w:r w:rsidR="00C5191F" w:rsidRPr="00A91A7C">
        <w:rPr>
          <w:lang w:val="fr-FR"/>
        </w:rPr>
        <w:tab/>
        <w:t xml:space="preserve">Le Groupe de travail a noté que le cas de figure présenté par la Suisse concernait essentiellement les matières dangereuses pour l’environnement des No ONU 3077 et 3082 et a invité le représentant de la Suisse à solliciter l’avis de la Réunion commune sur la pertinence de la catégorie de transport 3 pour ces matières en fonction du danger qu’elles présentent. </w:t>
      </w:r>
    </w:p>
    <w:p w14:paraId="316DACB1" w14:textId="557B4222" w:rsidR="00C5191F" w:rsidRPr="00A91A7C" w:rsidRDefault="00C5191F" w:rsidP="00AF3928">
      <w:pPr>
        <w:pStyle w:val="H23G"/>
        <w:rPr>
          <w:lang w:val="fr-FR"/>
        </w:rPr>
      </w:pPr>
      <w:r w:rsidRPr="00A91A7C">
        <w:rPr>
          <w:lang w:val="fr-FR"/>
        </w:rPr>
        <w:lastRenderedPageBreak/>
        <w:tab/>
        <w:t>9.</w:t>
      </w:r>
      <w:r w:rsidRPr="00A91A7C">
        <w:rPr>
          <w:lang w:val="fr-FR"/>
        </w:rPr>
        <w:tab/>
        <w:t xml:space="preserve">Proposition de modification de la disposition </w:t>
      </w:r>
      <w:r w:rsidR="003C3FBE">
        <w:rPr>
          <w:lang w:val="fr-FR"/>
        </w:rPr>
        <w:t xml:space="preserve">spéciale </w:t>
      </w:r>
      <w:r w:rsidRPr="00A91A7C">
        <w:rPr>
          <w:lang w:val="fr-FR"/>
        </w:rPr>
        <w:t>363 l) et du 5.4.1.1.1 k)</w:t>
      </w:r>
    </w:p>
    <w:p w14:paraId="5786CFDA" w14:textId="77777777" w:rsidR="00C5191F" w:rsidRPr="00A91A7C" w:rsidRDefault="00C5191F" w:rsidP="00AF3928">
      <w:pPr>
        <w:pStyle w:val="SingleTxtG"/>
        <w:keepNext/>
        <w:keepLines/>
        <w:ind w:left="2268" w:hanging="1134"/>
        <w:jc w:val="left"/>
        <w:rPr>
          <w:lang w:val="fr-FR"/>
        </w:rPr>
      </w:pPr>
      <w:r w:rsidRPr="00A91A7C">
        <w:rPr>
          <w:i/>
          <w:lang w:val="fr-FR"/>
        </w:rPr>
        <w:t>Document </w:t>
      </w:r>
      <w:r w:rsidRPr="00A91A7C">
        <w:rPr>
          <w:lang w:val="fr-FR"/>
        </w:rPr>
        <w:t>:</w:t>
      </w:r>
      <w:r w:rsidRPr="00A91A7C">
        <w:rPr>
          <w:lang w:val="fr-FR"/>
        </w:rPr>
        <w:tab/>
      </w:r>
      <w:r w:rsidRPr="00A91A7C">
        <w:rPr>
          <w:lang w:val="fr-FR"/>
        </w:rPr>
        <w:tab/>
        <w:t>ECE/TRANS/WP.15/2019/20 (Suisse)</w:t>
      </w:r>
    </w:p>
    <w:p w14:paraId="69E0B7F5" w14:textId="2A8286D8" w:rsidR="00C5191F" w:rsidRPr="00A91A7C" w:rsidRDefault="002D7220" w:rsidP="00AF3928">
      <w:pPr>
        <w:pStyle w:val="SingleTxtG"/>
        <w:keepNext/>
        <w:keepLines/>
        <w:rPr>
          <w:lang w:val="fr-FR"/>
        </w:rPr>
      </w:pPr>
      <w:r w:rsidRPr="00A91A7C">
        <w:rPr>
          <w:lang w:val="fr-FR"/>
        </w:rPr>
        <w:t>63</w:t>
      </w:r>
      <w:r w:rsidR="00C5191F" w:rsidRPr="00A91A7C">
        <w:rPr>
          <w:lang w:val="fr-FR"/>
        </w:rPr>
        <w:t>.</w:t>
      </w:r>
      <w:r w:rsidR="00C5191F" w:rsidRPr="00A91A7C">
        <w:rPr>
          <w:lang w:val="fr-FR"/>
        </w:rPr>
        <w:tab/>
        <w:t xml:space="preserve">Le Groupe de travail a adopté les propositions 1 et 2 du représentant de la Suisse visant à clarifier le champ d’application de la disposition spéciale 363 l) et du 5.4.1.1.1 k) avec des modifications (voir annexe </w:t>
      </w:r>
      <w:r w:rsidR="00F86413" w:rsidRPr="00A91A7C">
        <w:rPr>
          <w:lang w:val="fr-FR"/>
        </w:rPr>
        <w:t>I).</w:t>
      </w:r>
    </w:p>
    <w:p w14:paraId="041E0954" w14:textId="77777777" w:rsidR="00557AF5" w:rsidRPr="00A91A7C" w:rsidRDefault="00557AF5" w:rsidP="00557AF5">
      <w:pPr>
        <w:pStyle w:val="HChG"/>
        <w:rPr>
          <w:lang w:val="fr-FR"/>
        </w:rPr>
      </w:pPr>
      <w:r w:rsidRPr="00A91A7C">
        <w:rPr>
          <w:lang w:val="fr-FR"/>
        </w:rPr>
        <w:tab/>
        <w:t>VII.</w:t>
      </w:r>
      <w:r w:rsidRPr="00A91A7C">
        <w:rPr>
          <w:lang w:val="fr-FR"/>
        </w:rPr>
        <w:tab/>
        <w:t>Interprétation de l’ADR (point 6 de l’ordre du jour)</w:t>
      </w:r>
    </w:p>
    <w:p w14:paraId="0F5899DC" w14:textId="77777777" w:rsidR="00557AF5" w:rsidRPr="00A91A7C" w:rsidRDefault="00557AF5" w:rsidP="00557AF5">
      <w:pPr>
        <w:pStyle w:val="H1G"/>
        <w:rPr>
          <w:lang w:val="fr-FR"/>
        </w:rPr>
      </w:pPr>
      <w:r w:rsidRPr="00A91A7C">
        <w:rPr>
          <w:lang w:val="fr-FR"/>
        </w:rPr>
        <w:tab/>
        <w:t>A.</w:t>
      </w:r>
      <w:r w:rsidRPr="00A91A7C">
        <w:rPr>
          <w:lang w:val="fr-FR"/>
        </w:rPr>
        <w:tab/>
        <w:t>Équipements divers et équipement de protection individuelle</w:t>
      </w:r>
    </w:p>
    <w:p w14:paraId="55134531" w14:textId="74A4FD6C" w:rsidR="00557AF5" w:rsidRPr="00A91A7C" w:rsidRDefault="00557AF5" w:rsidP="003C3FBE">
      <w:pPr>
        <w:pStyle w:val="SingleTxtG"/>
        <w:tabs>
          <w:tab w:val="left" w:pos="3000"/>
        </w:tabs>
        <w:ind w:left="2268" w:hanging="1134"/>
        <w:jc w:val="left"/>
        <w:rPr>
          <w:lang w:val="fr-FR"/>
        </w:rPr>
      </w:pPr>
      <w:r w:rsidRPr="00A91A7C">
        <w:rPr>
          <w:i/>
          <w:lang w:val="fr-FR"/>
        </w:rPr>
        <w:t>Document informel </w:t>
      </w:r>
      <w:r w:rsidRPr="00A91A7C">
        <w:rPr>
          <w:lang w:val="fr-FR"/>
        </w:rPr>
        <w:t>:</w:t>
      </w:r>
      <w:r w:rsidRPr="00A91A7C">
        <w:rPr>
          <w:lang w:val="fr-FR"/>
        </w:rPr>
        <w:tab/>
        <w:t>INF.5 (Suède)</w:t>
      </w:r>
    </w:p>
    <w:p w14:paraId="5F525273" w14:textId="6C7BE28F" w:rsidR="00557AF5" w:rsidRPr="00A91A7C" w:rsidRDefault="002D7220" w:rsidP="00557AF5">
      <w:pPr>
        <w:pStyle w:val="SingleTxtG"/>
        <w:rPr>
          <w:lang w:val="fr-FR"/>
        </w:rPr>
      </w:pPr>
      <w:r w:rsidRPr="00A91A7C">
        <w:rPr>
          <w:lang w:val="fr-FR"/>
        </w:rPr>
        <w:t>64</w:t>
      </w:r>
      <w:r w:rsidR="00557AF5" w:rsidRPr="00A91A7C">
        <w:rPr>
          <w:lang w:val="fr-FR"/>
        </w:rPr>
        <w:t>.</w:t>
      </w:r>
      <w:r w:rsidR="00557AF5" w:rsidRPr="00A91A7C">
        <w:rPr>
          <w:lang w:val="fr-FR"/>
        </w:rPr>
        <w:tab/>
        <w:t xml:space="preserve">La plupart des délégations pensaient qu’il serait difficile de préciser plus les dispositions relatives aux équipements devant se trouver à bord des véhicules pour tenir compte des différents cas applicables et que le choix du matériel le plus approprié en fonction du numéro de l’étiquette de danger des marchandises à bord relevait du bon sens et de la responsabilité de l’entreprise de transport. </w:t>
      </w:r>
    </w:p>
    <w:p w14:paraId="7431E3F6" w14:textId="22BBC902" w:rsidR="00557AF5" w:rsidRPr="00A91A7C" w:rsidRDefault="002D7220" w:rsidP="00557AF5">
      <w:pPr>
        <w:pStyle w:val="SingleTxtG"/>
        <w:rPr>
          <w:lang w:val="fr-FR"/>
        </w:rPr>
      </w:pPr>
      <w:r w:rsidRPr="00A91A7C">
        <w:rPr>
          <w:lang w:val="fr-FR"/>
        </w:rPr>
        <w:t>65</w:t>
      </w:r>
      <w:r w:rsidR="00557AF5" w:rsidRPr="00A91A7C">
        <w:rPr>
          <w:lang w:val="fr-FR"/>
        </w:rPr>
        <w:t>.</w:t>
      </w:r>
      <w:r w:rsidR="00557AF5" w:rsidRPr="00A91A7C">
        <w:rPr>
          <w:lang w:val="fr-FR"/>
        </w:rPr>
        <w:tab/>
        <w:t xml:space="preserve">La plupart des délégations considéraient que les dispositions générales relatives à certains équipements pourraient quand même être précisées, comme la contenance minimale requise pour le réservoir collecteur. Il a également été fait remarquer que certains équipements étaient par ailleurs requis à bord par les règlements relatifs à la sécurité routière ou la sécurité au travail et qu’il n’était peut-être pas nécessaire de conserver leur mention dans l’ADR. </w:t>
      </w:r>
    </w:p>
    <w:p w14:paraId="39033A92" w14:textId="3DEB1ED2" w:rsidR="00557AF5" w:rsidRPr="00A91A7C" w:rsidRDefault="002D7220" w:rsidP="00557AF5">
      <w:pPr>
        <w:pStyle w:val="SingleTxtG"/>
        <w:rPr>
          <w:lang w:val="fr-FR"/>
        </w:rPr>
      </w:pPr>
      <w:r w:rsidRPr="00A91A7C">
        <w:rPr>
          <w:lang w:val="fr-FR"/>
        </w:rPr>
        <w:t>66</w:t>
      </w:r>
      <w:r w:rsidR="00557AF5" w:rsidRPr="00A91A7C">
        <w:rPr>
          <w:lang w:val="fr-FR"/>
        </w:rPr>
        <w:t>.</w:t>
      </w:r>
      <w:r w:rsidR="00557AF5" w:rsidRPr="00A91A7C">
        <w:rPr>
          <w:lang w:val="fr-FR"/>
        </w:rPr>
        <w:tab/>
        <w:t>La représentante de la Suède a indiqué qu’elle pourrait présenter une proposition révisée dans le futur.</w:t>
      </w:r>
    </w:p>
    <w:p w14:paraId="4BEAC396" w14:textId="77777777" w:rsidR="00557AF5" w:rsidRPr="00A91A7C" w:rsidRDefault="00557AF5" w:rsidP="00557AF5">
      <w:pPr>
        <w:pStyle w:val="H1G"/>
        <w:rPr>
          <w:lang w:val="fr-FR"/>
        </w:rPr>
      </w:pPr>
      <w:r w:rsidRPr="00A91A7C">
        <w:rPr>
          <w:lang w:val="fr-FR"/>
        </w:rPr>
        <w:tab/>
        <w:t>B.</w:t>
      </w:r>
      <w:r w:rsidRPr="00A91A7C">
        <w:rPr>
          <w:lang w:val="fr-FR"/>
        </w:rPr>
        <w:tab/>
        <w:t>Transport de piles et accumulateurs usagés, transport en vrac selon la disposition AP8</w:t>
      </w:r>
    </w:p>
    <w:p w14:paraId="085E3573" w14:textId="6BF6009C" w:rsidR="00557AF5" w:rsidRPr="00A91A7C" w:rsidRDefault="00557AF5" w:rsidP="003C3FBE">
      <w:pPr>
        <w:pStyle w:val="SingleTxtG"/>
        <w:tabs>
          <w:tab w:val="left" w:pos="3000"/>
        </w:tabs>
        <w:ind w:left="2268" w:hanging="1134"/>
        <w:jc w:val="left"/>
        <w:rPr>
          <w:lang w:val="fr-FR"/>
        </w:rPr>
      </w:pPr>
      <w:r w:rsidRPr="00A91A7C">
        <w:rPr>
          <w:i/>
          <w:lang w:val="fr-FR"/>
        </w:rPr>
        <w:t>Document informel </w:t>
      </w:r>
      <w:r w:rsidRPr="00A91A7C">
        <w:rPr>
          <w:lang w:val="fr-FR"/>
        </w:rPr>
        <w:t>:</w:t>
      </w:r>
      <w:r w:rsidRPr="00A91A7C">
        <w:rPr>
          <w:lang w:val="fr-FR"/>
        </w:rPr>
        <w:tab/>
        <w:t>INF.12 (Finlande)</w:t>
      </w:r>
    </w:p>
    <w:p w14:paraId="21353C18" w14:textId="000A2E3E" w:rsidR="00557AF5" w:rsidRPr="00A91A7C" w:rsidRDefault="002D7220" w:rsidP="00557AF5">
      <w:pPr>
        <w:pStyle w:val="SingleTxtG"/>
        <w:rPr>
          <w:lang w:val="fr-FR"/>
        </w:rPr>
      </w:pPr>
      <w:r w:rsidRPr="00A91A7C">
        <w:rPr>
          <w:lang w:val="fr-FR"/>
        </w:rPr>
        <w:t>67</w:t>
      </w:r>
      <w:r w:rsidR="00557AF5" w:rsidRPr="00A91A7C">
        <w:rPr>
          <w:lang w:val="fr-FR"/>
        </w:rPr>
        <w:t>.</w:t>
      </w:r>
      <w:r w:rsidR="00557AF5" w:rsidRPr="00A91A7C">
        <w:rPr>
          <w:lang w:val="fr-FR"/>
        </w:rPr>
        <w:tab/>
        <w:t>S’agissant d’un problème multimodal, le Groupe de travail a invité la représentante de la Finlande à transmettre cette question d’interprétation à la Réunion commune afin notamment de requérir l’avis du groupe de travail informel de la Réunion commune sur le transport des déchets dangereux et d’étudier la nécessité de modifier la disposition AP8.</w:t>
      </w:r>
    </w:p>
    <w:p w14:paraId="124F2ADB" w14:textId="77777777" w:rsidR="00557AF5" w:rsidRPr="00A91A7C" w:rsidRDefault="00557AF5" w:rsidP="00557AF5">
      <w:pPr>
        <w:pStyle w:val="H1G"/>
        <w:rPr>
          <w:lang w:val="fr-FR"/>
        </w:rPr>
      </w:pPr>
      <w:r w:rsidRPr="00A91A7C">
        <w:rPr>
          <w:lang w:val="fr-FR"/>
        </w:rPr>
        <w:tab/>
        <w:t>C.</w:t>
      </w:r>
      <w:r w:rsidRPr="00A91A7C">
        <w:rPr>
          <w:lang w:val="fr-FR"/>
        </w:rPr>
        <w:tab/>
        <w:t>Transport de véhicules en tant que chargement</w:t>
      </w:r>
    </w:p>
    <w:p w14:paraId="022BC7A3" w14:textId="2F9616E4" w:rsidR="00557AF5" w:rsidRPr="00A91A7C" w:rsidRDefault="00557AF5" w:rsidP="003C3FBE">
      <w:pPr>
        <w:pStyle w:val="SingleTxtG"/>
        <w:tabs>
          <w:tab w:val="left" w:pos="3000"/>
        </w:tabs>
        <w:ind w:left="2268" w:hanging="1134"/>
        <w:jc w:val="left"/>
        <w:rPr>
          <w:lang w:val="fr-FR"/>
        </w:rPr>
      </w:pPr>
      <w:r w:rsidRPr="00A91A7C">
        <w:rPr>
          <w:i/>
          <w:lang w:val="fr-FR"/>
        </w:rPr>
        <w:t>Document informel </w:t>
      </w:r>
      <w:r w:rsidRPr="00A91A7C">
        <w:rPr>
          <w:lang w:val="fr-FR"/>
        </w:rPr>
        <w:t>:</w:t>
      </w:r>
      <w:r w:rsidRPr="00A91A7C">
        <w:rPr>
          <w:lang w:val="fr-FR"/>
        </w:rPr>
        <w:tab/>
        <w:t>INF.9 (Autriche)</w:t>
      </w:r>
    </w:p>
    <w:p w14:paraId="649674E8" w14:textId="578246A6" w:rsidR="00557AF5" w:rsidRPr="00A91A7C" w:rsidRDefault="002D7220" w:rsidP="00557AF5">
      <w:pPr>
        <w:pStyle w:val="SingleTxtG"/>
        <w:rPr>
          <w:lang w:val="fr-FR"/>
        </w:rPr>
      </w:pPr>
      <w:r w:rsidRPr="00A91A7C">
        <w:rPr>
          <w:lang w:val="fr-FR"/>
        </w:rPr>
        <w:t>68</w:t>
      </w:r>
      <w:r w:rsidR="00557AF5" w:rsidRPr="00A91A7C">
        <w:rPr>
          <w:lang w:val="fr-FR"/>
        </w:rPr>
        <w:t>.</w:t>
      </w:r>
      <w:r w:rsidR="00557AF5" w:rsidRPr="00A91A7C">
        <w:rPr>
          <w:lang w:val="fr-FR"/>
        </w:rPr>
        <w:tab/>
        <w:t xml:space="preserve">La représentante de l’Allemagne a confirmé que le cas 4 présenté dans le document informel INF.9 (transport de véhicules à moteur à combustion endommagés dont le robinet d’arrivée entre le moteur et le réservoir de combustible ne peut plus être fermé) n’avait pas été pris en considération lors de l’élaboration des dispositions spéciales 666 et 667. </w:t>
      </w:r>
    </w:p>
    <w:p w14:paraId="7B0FC711" w14:textId="129B6239" w:rsidR="00557AF5" w:rsidRPr="00A91A7C" w:rsidRDefault="002D7220" w:rsidP="00557AF5">
      <w:pPr>
        <w:pStyle w:val="SingleTxtG"/>
        <w:rPr>
          <w:lang w:val="fr-FR"/>
        </w:rPr>
      </w:pPr>
      <w:r w:rsidRPr="00A91A7C">
        <w:rPr>
          <w:lang w:val="fr-FR"/>
        </w:rPr>
        <w:t>69</w:t>
      </w:r>
      <w:r w:rsidR="00557AF5" w:rsidRPr="00A91A7C">
        <w:rPr>
          <w:lang w:val="fr-FR"/>
        </w:rPr>
        <w:t>.</w:t>
      </w:r>
      <w:r w:rsidR="00557AF5" w:rsidRPr="00A91A7C">
        <w:rPr>
          <w:lang w:val="fr-FR"/>
        </w:rPr>
        <w:tab/>
        <w:t>La représentante de l’Allemagne était d’accord avec l’interprétation de l’Autriche pour le cas 1 : un véhicule électrique à batterie (véhicule électrique classique) endommagé avec une batterie endommagée ou défectueuse, lorsque cela a un impact significatif sur la sécurité de la batterie et quand le retrait de la batterie n'est pas possible, n'est soumis à aucune autre disposition de l'ADR.</w:t>
      </w:r>
    </w:p>
    <w:p w14:paraId="2754BF67" w14:textId="3BDD3063" w:rsidR="00557AF5" w:rsidRPr="00A91A7C" w:rsidRDefault="002D7220" w:rsidP="00557AF5">
      <w:pPr>
        <w:pStyle w:val="SingleTxtG"/>
        <w:rPr>
          <w:lang w:val="fr-FR"/>
        </w:rPr>
      </w:pPr>
      <w:r w:rsidRPr="00A91A7C">
        <w:rPr>
          <w:lang w:val="fr-FR"/>
        </w:rPr>
        <w:t>70</w:t>
      </w:r>
      <w:r w:rsidR="00557AF5" w:rsidRPr="00A91A7C">
        <w:rPr>
          <w:lang w:val="fr-FR"/>
        </w:rPr>
        <w:t>.</w:t>
      </w:r>
      <w:r w:rsidR="00557AF5" w:rsidRPr="00A91A7C">
        <w:rPr>
          <w:lang w:val="fr-FR"/>
        </w:rPr>
        <w:tab/>
        <w:t>Concernant le cas 3, la représentante de l’Allemagne était d’accord avec l’interprétation de l’Autriche : pour les véhicules électriques à batterie, non endommagés ou défectueux, transportés en tant que chargement, seule la batterie est soumise aux prescriptions du 2.2.9.1.7.</w:t>
      </w:r>
    </w:p>
    <w:p w14:paraId="793F9F5E" w14:textId="00CCF016" w:rsidR="00557AF5" w:rsidRPr="00A91A7C" w:rsidRDefault="002D7220" w:rsidP="00557AF5">
      <w:pPr>
        <w:pStyle w:val="SingleTxtG"/>
        <w:rPr>
          <w:lang w:val="fr-FR"/>
        </w:rPr>
      </w:pPr>
      <w:r w:rsidRPr="00A91A7C">
        <w:rPr>
          <w:lang w:val="fr-FR"/>
        </w:rPr>
        <w:lastRenderedPageBreak/>
        <w:t>71</w:t>
      </w:r>
      <w:r w:rsidR="00557AF5" w:rsidRPr="00A91A7C">
        <w:rPr>
          <w:lang w:val="fr-FR"/>
        </w:rPr>
        <w:t>.</w:t>
      </w:r>
      <w:r w:rsidR="00557AF5" w:rsidRPr="00A91A7C">
        <w:rPr>
          <w:lang w:val="fr-FR"/>
        </w:rPr>
        <w:tab/>
        <w:t xml:space="preserve">Le Groupe de travail a invité l’Autriche à soumettre son analyse et ses questions d’interprétation à la Réunion commune. La Réunion commune pourra décider, sur cette base, de faire évoluer les dispositions du 1.1.3 afin de préciser les dispositions applicables ou exemptées pour les différents cas évoqués qui ne seraient pas déjà couverts. </w:t>
      </w:r>
    </w:p>
    <w:p w14:paraId="18D1C7E5" w14:textId="77777777" w:rsidR="00557AF5" w:rsidRPr="00A91A7C" w:rsidRDefault="00557AF5" w:rsidP="00557AF5">
      <w:pPr>
        <w:pStyle w:val="H1G"/>
        <w:rPr>
          <w:lang w:val="fr-FR"/>
        </w:rPr>
      </w:pPr>
      <w:r w:rsidRPr="00A91A7C">
        <w:rPr>
          <w:lang w:val="fr-FR"/>
        </w:rPr>
        <w:tab/>
        <w:t>D.</w:t>
      </w:r>
      <w:r w:rsidRPr="00A91A7C">
        <w:rPr>
          <w:lang w:val="fr-FR"/>
        </w:rPr>
        <w:tab/>
        <w:t>Transport de camion sur une remorque à plateau</w:t>
      </w:r>
    </w:p>
    <w:p w14:paraId="42EE61A6" w14:textId="6F2D94D9" w:rsidR="00557AF5" w:rsidRPr="00A91A7C" w:rsidRDefault="00557AF5" w:rsidP="003C3FBE">
      <w:pPr>
        <w:pStyle w:val="SingleTxtG"/>
        <w:tabs>
          <w:tab w:val="left" w:pos="3000"/>
        </w:tabs>
        <w:ind w:left="2268" w:hanging="1134"/>
        <w:jc w:val="left"/>
        <w:rPr>
          <w:lang w:val="fr-FR"/>
        </w:rPr>
      </w:pPr>
      <w:r w:rsidRPr="00A91A7C">
        <w:rPr>
          <w:i/>
          <w:lang w:val="fr-FR"/>
        </w:rPr>
        <w:t>Document informel </w:t>
      </w:r>
      <w:r w:rsidRPr="00A91A7C">
        <w:rPr>
          <w:lang w:val="fr-FR"/>
        </w:rPr>
        <w:t>:</w:t>
      </w:r>
      <w:r w:rsidRPr="00A91A7C">
        <w:rPr>
          <w:lang w:val="fr-FR"/>
        </w:rPr>
        <w:tab/>
        <w:t>INF.13 (Belgique)</w:t>
      </w:r>
    </w:p>
    <w:p w14:paraId="4E2505C1" w14:textId="512323DA" w:rsidR="00557AF5" w:rsidRPr="00A91A7C" w:rsidRDefault="002D7220" w:rsidP="00557AF5">
      <w:pPr>
        <w:pStyle w:val="SingleTxtG"/>
        <w:rPr>
          <w:lang w:val="fr-FR"/>
        </w:rPr>
      </w:pPr>
      <w:r w:rsidRPr="00A91A7C">
        <w:rPr>
          <w:lang w:val="fr-FR"/>
        </w:rPr>
        <w:t>72</w:t>
      </w:r>
      <w:r w:rsidR="00557AF5" w:rsidRPr="00A91A7C">
        <w:rPr>
          <w:lang w:val="fr-FR"/>
        </w:rPr>
        <w:t>.</w:t>
      </w:r>
      <w:r w:rsidR="00557AF5" w:rsidRPr="00A91A7C">
        <w:rPr>
          <w:lang w:val="fr-FR"/>
        </w:rPr>
        <w:tab/>
        <w:t xml:space="preserve">Le représentant de la Belgique souhaitait savoir si un véhicule-citerne, non immatriculé et non conforme à l’ADR, vide et non nettoyé, transporté sur une remorque à plateau entrait dans le champ d’application de l’ADR et pouvait bénéficier d’exemptions. </w:t>
      </w:r>
    </w:p>
    <w:p w14:paraId="7D5A9EE4" w14:textId="02665882" w:rsidR="00557AF5" w:rsidRPr="00A91A7C" w:rsidRDefault="002D7220" w:rsidP="00557AF5">
      <w:pPr>
        <w:pStyle w:val="SingleTxtG"/>
        <w:rPr>
          <w:lang w:val="fr-FR"/>
        </w:rPr>
      </w:pPr>
      <w:r w:rsidRPr="00A91A7C">
        <w:rPr>
          <w:lang w:val="fr-FR"/>
        </w:rPr>
        <w:t>73</w:t>
      </w:r>
      <w:r w:rsidR="00557AF5" w:rsidRPr="00A91A7C">
        <w:rPr>
          <w:lang w:val="fr-FR"/>
        </w:rPr>
        <w:t>.</w:t>
      </w:r>
      <w:r w:rsidR="00557AF5" w:rsidRPr="00A91A7C">
        <w:rPr>
          <w:lang w:val="fr-FR"/>
        </w:rPr>
        <w:tab/>
        <w:t>Il a été rappelé que cette question d’interprétation se rapprochait de la question de l’Autriche à la quatre-vingt-dix-huitième session du Groupe de travail (4-6 mai 2015) (voir ECE/TRANS/WP.15/228) qui concernait le transport de véhicules-citernes sur des véhicules et remorques porte-engins. Le Groupe de travail avait également discuté, à sa quatre-vingtième session (8-12 mai 2006), du cas du transport de véhicules-citernes avitailleurs d’aéronefs, non conformes à l’ADR, qui pouvaient être transportés vides et non nettoyés (voir ECE/TRANS/WP.15/188).</w:t>
      </w:r>
    </w:p>
    <w:p w14:paraId="188E929B" w14:textId="2B5E25BB" w:rsidR="00557AF5" w:rsidRPr="00A91A7C" w:rsidRDefault="002D7220" w:rsidP="00557AF5">
      <w:pPr>
        <w:pStyle w:val="SingleTxtG"/>
        <w:rPr>
          <w:lang w:val="fr-FR"/>
        </w:rPr>
      </w:pPr>
      <w:r w:rsidRPr="00A91A7C">
        <w:rPr>
          <w:lang w:val="fr-FR"/>
        </w:rPr>
        <w:t>74</w:t>
      </w:r>
      <w:r w:rsidR="00557AF5" w:rsidRPr="00A91A7C">
        <w:rPr>
          <w:lang w:val="fr-FR"/>
        </w:rPr>
        <w:t>.</w:t>
      </w:r>
      <w:r w:rsidR="00557AF5" w:rsidRPr="00A91A7C">
        <w:rPr>
          <w:lang w:val="fr-FR"/>
        </w:rPr>
        <w:tab/>
        <w:t>Les avis étaient partagés en ce qui concerne le cas présenté par le représentant de la Belgique. Certaines délégations pensaient que ce type de transport n’entrait pas dans le champ d’application des exemptions actuelles prévues dans l’ADR et que toutes les dispositions de l’ADR devaient s’appliquer. D’autres délégations pensaient que certaines exemptions du 1.1.3.1 ou 1.1.3.2 pourraient s’appliquer ou que ces transports pourraient être couverts par la mesure transitoire du 1.6.1.46 en tant que machine ou équipement.</w:t>
      </w:r>
    </w:p>
    <w:p w14:paraId="309B0EDD" w14:textId="6C2F02C6" w:rsidR="00557AF5" w:rsidRPr="00A91A7C" w:rsidRDefault="002D7220" w:rsidP="00557AF5">
      <w:pPr>
        <w:pStyle w:val="SingleTxtG"/>
        <w:rPr>
          <w:lang w:val="fr-FR"/>
        </w:rPr>
      </w:pPr>
      <w:r w:rsidRPr="00A91A7C">
        <w:rPr>
          <w:lang w:val="fr-FR"/>
        </w:rPr>
        <w:t>75</w:t>
      </w:r>
      <w:r w:rsidR="00557AF5" w:rsidRPr="00A91A7C">
        <w:rPr>
          <w:lang w:val="fr-FR"/>
        </w:rPr>
        <w:t>.</w:t>
      </w:r>
      <w:r w:rsidR="00557AF5" w:rsidRPr="00A91A7C">
        <w:rPr>
          <w:lang w:val="fr-FR"/>
        </w:rPr>
        <w:tab/>
        <w:t>Le représentant de la Belgique a indiqué que ce problème pourrait être résolu temporairement par une dérogation nationale. Le Groupe de travail est convenu qu’il pourrait être nécessaire de modifier l’ADR dans le futur pour en clarifier l’application à de tels cas.</w:t>
      </w:r>
    </w:p>
    <w:p w14:paraId="479603DC" w14:textId="77777777" w:rsidR="00557AF5" w:rsidRPr="00A91A7C" w:rsidRDefault="00557AF5" w:rsidP="00557AF5">
      <w:pPr>
        <w:pStyle w:val="H1G"/>
        <w:rPr>
          <w:lang w:val="fr-FR"/>
        </w:rPr>
      </w:pPr>
      <w:r w:rsidRPr="00A91A7C">
        <w:rPr>
          <w:lang w:val="fr-FR"/>
        </w:rPr>
        <w:tab/>
        <w:t>E.</w:t>
      </w:r>
      <w:r w:rsidRPr="00A91A7C">
        <w:rPr>
          <w:lang w:val="fr-FR"/>
        </w:rPr>
        <w:tab/>
        <w:t>Deuxième phrase du 7.5.2.3</w:t>
      </w:r>
    </w:p>
    <w:p w14:paraId="611EE503" w14:textId="22030CCD" w:rsidR="00557AF5" w:rsidRPr="00A91A7C" w:rsidRDefault="00557AF5" w:rsidP="003C3FBE">
      <w:pPr>
        <w:pStyle w:val="SingleTxtG"/>
        <w:tabs>
          <w:tab w:val="left" w:pos="3000"/>
        </w:tabs>
        <w:ind w:left="2268" w:hanging="1134"/>
        <w:jc w:val="left"/>
        <w:rPr>
          <w:lang w:val="fr-FR"/>
        </w:rPr>
      </w:pPr>
      <w:r w:rsidRPr="00A91A7C">
        <w:rPr>
          <w:i/>
          <w:lang w:val="fr-FR"/>
        </w:rPr>
        <w:t>Document informel </w:t>
      </w:r>
      <w:r w:rsidRPr="00A91A7C">
        <w:rPr>
          <w:lang w:val="fr-FR"/>
        </w:rPr>
        <w:t>:</w:t>
      </w:r>
      <w:r w:rsidRPr="00A91A7C">
        <w:rPr>
          <w:lang w:val="fr-FR"/>
        </w:rPr>
        <w:tab/>
        <w:t>INF.14 (COSTHA)</w:t>
      </w:r>
    </w:p>
    <w:p w14:paraId="794498FA" w14:textId="719CC22F" w:rsidR="00557AF5" w:rsidRPr="00A91A7C" w:rsidRDefault="002D7220" w:rsidP="00557AF5">
      <w:pPr>
        <w:pStyle w:val="SingleTxtG"/>
        <w:rPr>
          <w:lang w:val="fr-FR"/>
        </w:rPr>
      </w:pPr>
      <w:r w:rsidRPr="00A91A7C">
        <w:rPr>
          <w:lang w:val="fr-FR"/>
        </w:rPr>
        <w:t>76</w:t>
      </w:r>
      <w:r w:rsidR="00557AF5" w:rsidRPr="00A91A7C">
        <w:rPr>
          <w:lang w:val="fr-FR"/>
        </w:rPr>
        <w:t>.</w:t>
      </w:r>
      <w:r w:rsidR="00557AF5" w:rsidRPr="00A91A7C">
        <w:rPr>
          <w:lang w:val="fr-FR"/>
        </w:rPr>
        <w:tab/>
        <w:t>Le groupe de travail a noté que la deuxième phrase du 7.5.2.3 introduite durant les travaux de restructuration de l’ADR, pouvait poser des problèmes de mise en œuvre. S’agissant d’un document informel tardif, le Groupe de travail a invité le représentant de COSTHA à présenter un document officiel sur ce point à la prochaine session. Le Groupe de travail a également demandé au secrétariat de rechercher dans la documentation sur les travaux de restructuration de l’ADR toute information qui pourrait se rapporter à l’introduction de cette deuxième phrase dans l’édition 2001 de l’ADR.</w:t>
      </w:r>
    </w:p>
    <w:p w14:paraId="57AD9672" w14:textId="77777777" w:rsidR="00557AF5" w:rsidRPr="00A91A7C" w:rsidRDefault="00557AF5" w:rsidP="00557AF5">
      <w:pPr>
        <w:pStyle w:val="H1G"/>
        <w:rPr>
          <w:lang w:val="fr-FR"/>
        </w:rPr>
      </w:pPr>
      <w:r w:rsidRPr="00A91A7C">
        <w:rPr>
          <w:lang w:val="fr-FR"/>
        </w:rPr>
        <w:tab/>
        <w:t>F.</w:t>
      </w:r>
      <w:r w:rsidRPr="00A91A7C">
        <w:rPr>
          <w:lang w:val="fr-FR"/>
        </w:rPr>
        <w:tab/>
        <w:t>Approbation des systèmes de séparation des matières et objets explosibles par l'autorité compétente</w:t>
      </w:r>
    </w:p>
    <w:p w14:paraId="39717559" w14:textId="5A13DFEA" w:rsidR="00557AF5" w:rsidRPr="00A91A7C" w:rsidRDefault="00557AF5" w:rsidP="003C3FBE">
      <w:pPr>
        <w:pStyle w:val="SingleTxtG"/>
        <w:tabs>
          <w:tab w:val="left" w:pos="3000"/>
        </w:tabs>
        <w:ind w:left="2268" w:hanging="1134"/>
        <w:jc w:val="left"/>
        <w:rPr>
          <w:lang w:val="fr-FR"/>
        </w:rPr>
      </w:pPr>
      <w:r w:rsidRPr="00A91A7C">
        <w:rPr>
          <w:i/>
          <w:iCs/>
          <w:lang w:val="fr-FR"/>
        </w:rPr>
        <w:t>Document informel </w:t>
      </w:r>
      <w:r w:rsidRPr="00A91A7C">
        <w:rPr>
          <w:lang w:val="fr-FR"/>
        </w:rPr>
        <w:t xml:space="preserve">: </w:t>
      </w:r>
      <w:r w:rsidR="003C3FBE">
        <w:rPr>
          <w:lang w:val="fr-FR"/>
        </w:rPr>
        <w:tab/>
      </w:r>
      <w:r w:rsidRPr="00A91A7C">
        <w:rPr>
          <w:lang w:val="fr-FR"/>
        </w:rPr>
        <w:t>INF.2</w:t>
      </w:r>
      <w:r w:rsidR="00DA1F2B">
        <w:rPr>
          <w:lang w:val="fr-FR"/>
        </w:rPr>
        <w:t>3</w:t>
      </w:r>
      <w:r w:rsidRPr="00A91A7C">
        <w:rPr>
          <w:lang w:val="fr-FR"/>
        </w:rPr>
        <w:t xml:space="preserve"> (Turquie)</w:t>
      </w:r>
    </w:p>
    <w:p w14:paraId="50AF9A51" w14:textId="58D07784" w:rsidR="00557AF5" w:rsidRPr="00A91A7C" w:rsidRDefault="002D7220" w:rsidP="00557AF5">
      <w:pPr>
        <w:pStyle w:val="SingleTxtG"/>
        <w:rPr>
          <w:lang w:val="fr-FR"/>
        </w:rPr>
      </w:pPr>
      <w:r w:rsidRPr="00A91A7C">
        <w:rPr>
          <w:lang w:val="fr-FR"/>
        </w:rPr>
        <w:t>77</w:t>
      </w:r>
      <w:r w:rsidR="00557AF5" w:rsidRPr="00A91A7C">
        <w:rPr>
          <w:lang w:val="fr-FR"/>
        </w:rPr>
        <w:t>.</w:t>
      </w:r>
      <w:r w:rsidR="00557AF5" w:rsidRPr="00A91A7C">
        <w:rPr>
          <w:lang w:val="fr-FR"/>
        </w:rPr>
        <w:tab/>
        <w:t>La représentante de la Turquie a pris note des commentaires formulés et présentera un document officiel à la prochaine session.</w:t>
      </w:r>
    </w:p>
    <w:p w14:paraId="4360DE44" w14:textId="77777777" w:rsidR="00222176" w:rsidRPr="00A91A7C" w:rsidRDefault="00222176" w:rsidP="00222176">
      <w:pPr>
        <w:pStyle w:val="H1G"/>
        <w:rPr>
          <w:lang w:val="fr-FR"/>
        </w:rPr>
      </w:pPr>
      <w:r w:rsidRPr="00A91A7C">
        <w:rPr>
          <w:lang w:val="fr-FR"/>
        </w:rPr>
        <w:tab/>
        <w:t>G.</w:t>
      </w:r>
      <w:r w:rsidRPr="00A91A7C">
        <w:rPr>
          <w:lang w:val="fr-FR"/>
        </w:rPr>
        <w:tab/>
      </w:r>
      <w:bookmarkStart w:id="11" w:name="_Hlk24578709"/>
      <w:r w:rsidRPr="00A91A7C">
        <w:rPr>
          <w:lang w:val="fr-FR"/>
        </w:rPr>
        <w:t>Prescriptions concernant l’équipement électrique des véhicules suivant le 9.2.1.1</w:t>
      </w:r>
    </w:p>
    <w:p w14:paraId="763BBC87" w14:textId="51237871" w:rsidR="00222176" w:rsidRPr="00A91A7C" w:rsidRDefault="00222176" w:rsidP="003C3FBE">
      <w:pPr>
        <w:pStyle w:val="SingleTxtG"/>
        <w:tabs>
          <w:tab w:val="left" w:pos="3000"/>
        </w:tabs>
        <w:ind w:left="2268" w:hanging="1134"/>
        <w:jc w:val="left"/>
        <w:rPr>
          <w:lang w:val="fr-FR"/>
        </w:rPr>
      </w:pPr>
      <w:r w:rsidRPr="00A91A7C">
        <w:rPr>
          <w:i/>
          <w:iCs/>
          <w:lang w:val="fr-FR"/>
        </w:rPr>
        <w:t>Document informel </w:t>
      </w:r>
      <w:r w:rsidRPr="00A91A7C">
        <w:rPr>
          <w:lang w:val="fr-FR"/>
        </w:rPr>
        <w:t xml:space="preserve">: </w:t>
      </w:r>
      <w:r w:rsidR="003C3FBE">
        <w:rPr>
          <w:lang w:val="fr-FR"/>
        </w:rPr>
        <w:tab/>
      </w:r>
      <w:r w:rsidRPr="00A91A7C">
        <w:rPr>
          <w:lang w:val="fr-FR"/>
        </w:rPr>
        <w:t>INF.16 (Allemagne)</w:t>
      </w:r>
    </w:p>
    <w:p w14:paraId="16BFF7AB" w14:textId="06B511D6" w:rsidR="00222176" w:rsidRPr="00A91A7C" w:rsidRDefault="002D7220" w:rsidP="00574DE1">
      <w:pPr>
        <w:pStyle w:val="SingleTxtG"/>
        <w:rPr>
          <w:lang w:val="fr-FR"/>
        </w:rPr>
      </w:pPr>
      <w:bookmarkStart w:id="12" w:name="_GoBack"/>
      <w:bookmarkEnd w:id="12"/>
      <w:r w:rsidRPr="00A91A7C">
        <w:rPr>
          <w:lang w:val="fr-FR"/>
        </w:rPr>
        <w:t>78</w:t>
      </w:r>
      <w:r w:rsidR="00222176" w:rsidRPr="00A91A7C">
        <w:rPr>
          <w:lang w:val="fr-FR"/>
        </w:rPr>
        <w:t>.</w:t>
      </w:r>
      <w:r w:rsidR="00222176" w:rsidRPr="00A91A7C">
        <w:rPr>
          <w:lang w:val="fr-FR"/>
        </w:rPr>
        <w:tab/>
        <w:t>En réponse à la question posée par l'Allemagne, plusieurs cas ont été discutés :</w:t>
      </w:r>
    </w:p>
    <w:p w14:paraId="5D8D2693" w14:textId="4DE3DD4A" w:rsidR="00222176" w:rsidRPr="00A91A7C" w:rsidRDefault="003C3FBE" w:rsidP="003C3FBE">
      <w:pPr>
        <w:pStyle w:val="SingleTxtG"/>
        <w:ind w:left="1701"/>
        <w:rPr>
          <w:lang w:val="fr-FR"/>
        </w:rPr>
      </w:pPr>
      <w:r>
        <w:rPr>
          <w:lang w:val="fr-FR"/>
        </w:rPr>
        <w:lastRenderedPageBreak/>
        <w:t>a)</w:t>
      </w:r>
      <w:r>
        <w:rPr>
          <w:lang w:val="fr-FR"/>
        </w:rPr>
        <w:tab/>
      </w:r>
      <w:r w:rsidR="00574DE1" w:rsidRPr="00A91A7C">
        <w:rPr>
          <w:lang w:val="fr-FR"/>
        </w:rPr>
        <w:t>Véhicule</w:t>
      </w:r>
      <w:r w:rsidR="00222176" w:rsidRPr="00A91A7C">
        <w:rPr>
          <w:lang w:val="fr-FR"/>
        </w:rPr>
        <w:t xml:space="preserve"> standard immatriculé à une date antérieure à celle figurant dans la colonne « remarque » du tableau du 9.2.1.1 et converti à la même période aux fins de l'ADR et réputé conforme à l’ADR ;</w:t>
      </w:r>
    </w:p>
    <w:p w14:paraId="0B0DABE0" w14:textId="5FD46D28" w:rsidR="00222176" w:rsidRPr="00A91A7C" w:rsidRDefault="003C3FBE" w:rsidP="003C3FBE">
      <w:pPr>
        <w:pStyle w:val="SingleTxtG"/>
        <w:ind w:left="1701"/>
        <w:rPr>
          <w:lang w:val="fr-FR"/>
        </w:rPr>
      </w:pPr>
      <w:r>
        <w:rPr>
          <w:lang w:val="fr-FR"/>
        </w:rPr>
        <w:t>b)</w:t>
      </w:r>
      <w:r>
        <w:rPr>
          <w:lang w:val="fr-FR"/>
        </w:rPr>
        <w:tab/>
      </w:r>
      <w:r w:rsidR="00574DE1" w:rsidRPr="00A91A7C">
        <w:rPr>
          <w:lang w:val="fr-FR"/>
        </w:rPr>
        <w:t>Véhicule</w:t>
      </w:r>
      <w:r w:rsidR="00222176" w:rsidRPr="00A91A7C">
        <w:rPr>
          <w:lang w:val="fr-FR"/>
        </w:rPr>
        <w:t xml:space="preserve"> standard immatriculé à une date antérieure à celle figurant dans la colonne « remarque » du tableau du 9.2.1.1 mais converti en véhicule ADR après que de nouvelles prescriptions aient été introduites dans l’ADR ;</w:t>
      </w:r>
    </w:p>
    <w:p w14:paraId="26875504" w14:textId="2B7C3BA8" w:rsidR="00222176" w:rsidRPr="00A91A7C" w:rsidRDefault="003C3FBE" w:rsidP="003C3FBE">
      <w:pPr>
        <w:pStyle w:val="SingleTxtG"/>
        <w:ind w:left="1701"/>
        <w:rPr>
          <w:lang w:val="fr-FR"/>
        </w:rPr>
      </w:pPr>
      <w:r>
        <w:rPr>
          <w:lang w:val="fr-FR"/>
        </w:rPr>
        <w:t>c)</w:t>
      </w:r>
      <w:r>
        <w:rPr>
          <w:lang w:val="fr-FR"/>
        </w:rPr>
        <w:tab/>
      </w:r>
      <w:r w:rsidR="00574DE1" w:rsidRPr="00A91A7C">
        <w:rPr>
          <w:lang w:val="fr-FR"/>
        </w:rPr>
        <w:t>Véhicules</w:t>
      </w:r>
      <w:r w:rsidR="00222176" w:rsidRPr="00A91A7C">
        <w:rPr>
          <w:lang w:val="fr-FR"/>
        </w:rPr>
        <w:t xml:space="preserve"> qui ne répondaient pas aux prescriptions pour être agréés en tant que véhicules ADR lors de leur immatriculation.</w:t>
      </w:r>
    </w:p>
    <w:p w14:paraId="47547D2A" w14:textId="36065147" w:rsidR="00222176" w:rsidRPr="00A91A7C" w:rsidRDefault="002D7220" w:rsidP="00222176">
      <w:pPr>
        <w:pStyle w:val="SingleTxtG"/>
        <w:rPr>
          <w:lang w:val="fr-FR"/>
        </w:rPr>
      </w:pPr>
      <w:r w:rsidRPr="00A91A7C">
        <w:rPr>
          <w:lang w:val="fr-FR"/>
        </w:rPr>
        <w:t>79.</w:t>
      </w:r>
      <w:r w:rsidRPr="00A91A7C">
        <w:rPr>
          <w:lang w:val="fr-FR"/>
        </w:rPr>
        <w:tab/>
      </w:r>
      <w:r w:rsidR="00222176" w:rsidRPr="00A91A7C">
        <w:rPr>
          <w:lang w:val="fr-FR"/>
        </w:rPr>
        <w:t>Les opinions divergeaient et ce sujet sera à nouveau discuté à la prochaine session.</w:t>
      </w:r>
      <w:bookmarkEnd w:id="11"/>
    </w:p>
    <w:p w14:paraId="7C9BD9E5" w14:textId="77777777" w:rsidR="00222176" w:rsidRPr="00A91A7C" w:rsidRDefault="00222176" w:rsidP="00222176">
      <w:pPr>
        <w:pStyle w:val="HChG"/>
        <w:rPr>
          <w:i/>
          <w:lang w:val="fr-FR"/>
        </w:rPr>
      </w:pPr>
      <w:bookmarkStart w:id="13" w:name="_Hlk24630375"/>
      <w:r w:rsidRPr="00A91A7C">
        <w:rPr>
          <w:lang w:val="fr-FR"/>
        </w:rPr>
        <w:tab/>
        <w:t>VIII.</w:t>
      </w:r>
      <w:r w:rsidRPr="00A91A7C">
        <w:rPr>
          <w:lang w:val="fr-FR"/>
        </w:rPr>
        <w:tab/>
        <w:t>Programme de travail (point 7 de l’ordre du jour)</w:t>
      </w:r>
    </w:p>
    <w:bookmarkEnd w:id="13"/>
    <w:p w14:paraId="02031504" w14:textId="77777777" w:rsidR="00222176" w:rsidRPr="00A91A7C" w:rsidRDefault="00222176" w:rsidP="00222176">
      <w:pPr>
        <w:pStyle w:val="H1G"/>
        <w:rPr>
          <w:lang w:val="fr-FR"/>
        </w:rPr>
      </w:pPr>
      <w:r w:rsidRPr="00A91A7C">
        <w:rPr>
          <w:lang w:val="fr-FR"/>
        </w:rPr>
        <w:tab/>
        <w:t>A.</w:t>
      </w:r>
      <w:r w:rsidRPr="00A91A7C">
        <w:rPr>
          <w:lang w:val="fr-FR"/>
        </w:rPr>
        <w:tab/>
        <w:t>Amendements de 2021</w:t>
      </w:r>
    </w:p>
    <w:p w14:paraId="4B49E071" w14:textId="2B68DB80" w:rsidR="00222176" w:rsidRPr="00A91A7C" w:rsidRDefault="002D7220" w:rsidP="00222176">
      <w:pPr>
        <w:pStyle w:val="SingleTxtG"/>
        <w:rPr>
          <w:lang w:val="fr-FR"/>
        </w:rPr>
      </w:pPr>
      <w:r w:rsidRPr="00A91A7C">
        <w:rPr>
          <w:lang w:val="fr-FR"/>
        </w:rPr>
        <w:t>80</w:t>
      </w:r>
      <w:r w:rsidR="00222176" w:rsidRPr="00A91A7C">
        <w:rPr>
          <w:lang w:val="fr-FR"/>
        </w:rPr>
        <w:t>.</w:t>
      </w:r>
      <w:r w:rsidR="00222176" w:rsidRPr="00A91A7C">
        <w:rPr>
          <w:lang w:val="fr-FR"/>
        </w:rPr>
        <w:tab/>
        <w:t xml:space="preserve">Le Groupe de travail a prié le secrétariat de préparer une liste récapitulative de tous les amendements qu'il a adoptés pour </w:t>
      </w:r>
      <w:proofErr w:type="spellStart"/>
      <w:r w:rsidR="00222176" w:rsidRPr="00A91A7C">
        <w:rPr>
          <w:lang w:val="fr-FR"/>
        </w:rPr>
        <w:t>entrée</w:t>
      </w:r>
      <w:proofErr w:type="spellEnd"/>
      <w:r w:rsidR="00222176" w:rsidRPr="00A91A7C">
        <w:rPr>
          <w:lang w:val="fr-FR"/>
        </w:rPr>
        <w:t xml:space="preserve"> en vigueur le 1er janvier 2021 afin qu'ils puissent faire l'objet d'une proposition officielle conformément à la procédure de l'article 14 de l'ADR que, selon l'usage, la Présidente se chargera de transmettre au dépositaire par l'entremise de son Gouvernement. La notification devra être diffusée au plus tard le 1er juillet 2020 en mentionnant la date prévue d'entrée en vigueur du 1er janvier 2021. Ce document sera distribué sous la cote ECE/TRANS/WP.15/249.</w:t>
      </w:r>
    </w:p>
    <w:p w14:paraId="6C342C69" w14:textId="70B974A5" w:rsidR="00222176" w:rsidRPr="00A91A7C" w:rsidRDefault="002D7220" w:rsidP="00222176">
      <w:pPr>
        <w:pStyle w:val="SingleTxtG"/>
        <w:rPr>
          <w:lang w:val="fr-FR"/>
        </w:rPr>
      </w:pPr>
      <w:r w:rsidRPr="00A91A7C">
        <w:rPr>
          <w:lang w:val="fr-FR"/>
        </w:rPr>
        <w:t>81</w:t>
      </w:r>
      <w:r w:rsidR="00222176" w:rsidRPr="00A91A7C">
        <w:rPr>
          <w:lang w:val="fr-FR"/>
        </w:rPr>
        <w:t>.</w:t>
      </w:r>
      <w:r w:rsidR="00222176" w:rsidRPr="00A91A7C">
        <w:rPr>
          <w:lang w:val="fr-FR"/>
        </w:rPr>
        <w:tab/>
        <w:t>Le Groupe de travail a également prié le secrétariat de publier le texte récapitulatif de l'ADR tel qu'il sera modifié le 1er janvier 2021 suffisamment à l'avance pour préparer sa mise en œuvre effective avant l'entrée en vigueur desdits amendements.</w:t>
      </w:r>
    </w:p>
    <w:p w14:paraId="2898B56D" w14:textId="77777777" w:rsidR="00222176" w:rsidRPr="00A91A7C" w:rsidRDefault="00222176" w:rsidP="00222176">
      <w:pPr>
        <w:pStyle w:val="H1G"/>
        <w:rPr>
          <w:lang w:val="fr-FR"/>
        </w:rPr>
      </w:pPr>
      <w:r w:rsidRPr="00A91A7C">
        <w:rPr>
          <w:lang w:val="fr-FR"/>
        </w:rPr>
        <w:tab/>
        <w:t>B.</w:t>
      </w:r>
      <w:r w:rsidRPr="00A91A7C">
        <w:rPr>
          <w:lang w:val="fr-FR"/>
        </w:rPr>
        <w:tab/>
        <w:t>108e session</w:t>
      </w:r>
    </w:p>
    <w:p w14:paraId="0574E50D" w14:textId="15BCD228" w:rsidR="00222176" w:rsidRPr="00A91A7C" w:rsidRDefault="002D7220" w:rsidP="00222176">
      <w:pPr>
        <w:pStyle w:val="SingleTxtG"/>
        <w:rPr>
          <w:lang w:val="fr-FR"/>
        </w:rPr>
      </w:pPr>
      <w:r w:rsidRPr="00A91A7C">
        <w:rPr>
          <w:lang w:val="fr-FR"/>
        </w:rPr>
        <w:t>82</w:t>
      </w:r>
      <w:r w:rsidR="00222176" w:rsidRPr="00A91A7C">
        <w:rPr>
          <w:lang w:val="fr-FR"/>
        </w:rPr>
        <w:t>.</w:t>
      </w:r>
      <w:r w:rsidR="00222176" w:rsidRPr="00A91A7C">
        <w:rPr>
          <w:lang w:val="fr-FR"/>
        </w:rPr>
        <w:tab/>
        <w:t xml:space="preserve">Les points à l'ordre du jour de la prochaine session (11 au 15 mai 2020) seront : </w:t>
      </w:r>
    </w:p>
    <w:p w14:paraId="7083DE04" w14:textId="77777777" w:rsidR="00222176" w:rsidRPr="00A91A7C" w:rsidRDefault="00222176" w:rsidP="00222176">
      <w:pPr>
        <w:pStyle w:val="SingleTxtG"/>
        <w:rPr>
          <w:lang w:val="fr-FR"/>
        </w:rPr>
      </w:pPr>
      <w:r w:rsidRPr="00A91A7C">
        <w:rPr>
          <w:lang w:val="fr-FR"/>
        </w:rPr>
        <w:t>-</w:t>
      </w:r>
      <w:r w:rsidRPr="00A91A7C">
        <w:rPr>
          <w:lang w:val="fr-FR"/>
        </w:rPr>
        <w:tab/>
        <w:t>Adoption de l’ordre du jour ;</w:t>
      </w:r>
    </w:p>
    <w:p w14:paraId="0DE9256F" w14:textId="77777777" w:rsidR="00222176" w:rsidRPr="00A91A7C" w:rsidRDefault="00222176" w:rsidP="00222176">
      <w:pPr>
        <w:pStyle w:val="SingleTxtG"/>
        <w:rPr>
          <w:lang w:val="fr-FR"/>
        </w:rPr>
      </w:pPr>
      <w:r w:rsidRPr="00A91A7C">
        <w:rPr>
          <w:lang w:val="fr-FR"/>
        </w:rPr>
        <w:t>-</w:t>
      </w:r>
      <w:r w:rsidRPr="00A91A7C">
        <w:rPr>
          <w:lang w:val="fr-FR"/>
        </w:rPr>
        <w:tab/>
        <w:t>Quatre-vingtième-deuxième session du Comité des transports intérieurs ;</w:t>
      </w:r>
    </w:p>
    <w:p w14:paraId="444DCF0B" w14:textId="77777777" w:rsidR="00222176" w:rsidRPr="00A91A7C" w:rsidRDefault="00222176" w:rsidP="00222176">
      <w:pPr>
        <w:pStyle w:val="SingleTxtG"/>
        <w:rPr>
          <w:lang w:val="fr-FR"/>
        </w:rPr>
      </w:pPr>
      <w:r w:rsidRPr="00A91A7C">
        <w:rPr>
          <w:lang w:val="fr-FR"/>
        </w:rPr>
        <w:t>-</w:t>
      </w:r>
      <w:r w:rsidRPr="00A91A7C">
        <w:rPr>
          <w:lang w:val="fr-FR"/>
        </w:rPr>
        <w:tab/>
        <w:t>État de l’Accord européen relatif au transport international des marchandises dangereuses par route (ADR) et questions connexes ;</w:t>
      </w:r>
    </w:p>
    <w:p w14:paraId="780CA9EA" w14:textId="77777777" w:rsidR="00222176" w:rsidRPr="00A91A7C" w:rsidRDefault="00222176" w:rsidP="00222176">
      <w:pPr>
        <w:pStyle w:val="SingleTxtG"/>
        <w:rPr>
          <w:lang w:val="fr-FR"/>
        </w:rPr>
      </w:pPr>
      <w:r w:rsidRPr="00A91A7C">
        <w:rPr>
          <w:lang w:val="fr-FR"/>
        </w:rPr>
        <w:t>-</w:t>
      </w:r>
      <w:r w:rsidRPr="00A91A7C">
        <w:rPr>
          <w:lang w:val="fr-FR"/>
        </w:rPr>
        <w:tab/>
        <w:t>Travaux de la Réunion commune RID/ADR/ADN ;</w:t>
      </w:r>
    </w:p>
    <w:p w14:paraId="18DF7CCE" w14:textId="77777777" w:rsidR="00222176" w:rsidRPr="00A91A7C" w:rsidRDefault="00222176" w:rsidP="00222176">
      <w:pPr>
        <w:pStyle w:val="SingleTxtG"/>
        <w:keepNext/>
        <w:keepLines/>
        <w:rPr>
          <w:lang w:val="fr-FR"/>
        </w:rPr>
      </w:pPr>
      <w:r w:rsidRPr="00A91A7C">
        <w:rPr>
          <w:lang w:val="fr-FR"/>
        </w:rPr>
        <w:t>-</w:t>
      </w:r>
      <w:r w:rsidRPr="00A91A7C">
        <w:rPr>
          <w:lang w:val="fr-FR"/>
        </w:rPr>
        <w:tab/>
        <w:t>Propositions d'amendement aux annexes A et B de l'ADR ;</w:t>
      </w:r>
    </w:p>
    <w:p w14:paraId="50C3BBFC" w14:textId="77777777" w:rsidR="00222176" w:rsidRPr="00A91A7C" w:rsidRDefault="00222176" w:rsidP="00222176">
      <w:pPr>
        <w:pStyle w:val="SingleTxtG"/>
        <w:rPr>
          <w:lang w:val="fr-FR"/>
        </w:rPr>
      </w:pPr>
      <w:r w:rsidRPr="00A91A7C">
        <w:rPr>
          <w:lang w:val="fr-FR"/>
        </w:rPr>
        <w:t>-</w:t>
      </w:r>
      <w:r w:rsidRPr="00A91A7C">
        <w:rPr>
          <w:lang w:val="fr-FR"/>
        </w:rPr>
        <w:tab/>
        <w:t>Interprétation de l’ADR ;</w:t>
      </w:r>
    </w:p>
    <w:p w14:paraId="000F8187" w14:textId="77777777" w:rsidR="00222176" w:rsidRPr="00A91A7C" w:rsidRDefault="00222176" w:rsidP="00222176">
      <w:pPr>
        <w:pStyle w:val="SingleTxtG"/>
        <w:keepNext/>
        <w:keepLines/>
        <w:rPr>
          <w:lang w:val="fr-FR"/>
        </w:rPr>
      </w:pPr>
      <w:r w:rsidRPr="00A91A7C">
        <w:rPr>
          <w:lang w:val="fr-FR"/>
        </w:rPr>
        <w:t>-</w:t>
      </w:r>
      <w:r w:rsidRPr="00A91A7C">
        <w:rPr>
          <w:lang w:val="fr-FR"/>
        </w:rPr>
        <w:tab/>
        <w:t>Programme de travail ;</w:t>
      </w:r>
    </w:p>
    <w:p w14:paraId="6DE8B663" w14:textId="77777777" w:rsidR="00222176" w:rsidRPr="00A91A7C" w:rsidRDefault="00222176" w:rsidP="00222176">
      <w:pPr>
        <w:pStyle w:val="SingleTxtG"/>
        <w:rPr>
          <w:lang w:val="fr-FR"/>
        </w:rPr>
      </w:pPr>
      <w:r w:rsidRPr="00A91A7C">
        <w:rPr>
          <w:lang w:val="fr-FR"/>
        </w:rPr>
        <w:t>-</w:t>
      </w:r>
      <w:r w:rsidRPr="00A91A7C">
        <w:rPr>
          <w:lang w:val="fr-FR"/>
        </w:rPr>
        <w:tab/>
        <w:t>Questions diverses ;</w:t>
      </w:r>
    </w:p>
    <w:p w14:paraId="183EA148" w14:textId="2BED5FD9" w:rsidR="00222176" w:rsidRPr="00A91A7C" w:rsidRDefault="00222176" w:rsidP="00222176">
      <w:pPr>
        <w:pStyle w:val="SingleTxtG"/>
        <w:rPr>
          <w:lang w:val="fr-FR"/>
        </w:rPr>
      </w:pPr>
      <w:r w:rsidRPr="00A91A7C">
        <w:rPr>
          <w:lang w:val="fr-FR"/>
        </w:rPr>
        <w:t>-</w:t>
      </w:r>
      <w:r w:rsidRPr="00A91A7C">
        <w:rPr>
          <w:lang w:val="fr-FR"/>
        </w:rPr>
        <w:tab/>
        <w:t>Adoption du rapport.</w:t>
      </w:r>
    </w:p>
    <w:p w14:paraId="7BBFFE19" w14:textId="77777777" w:rsidR="00557AF5" w:rsidRPr="00A91A7C" w:rsidRDefault="00557AF5" w:rsidP="00557AF5">
      <w:pPr>
        <w:pStyle w:val="HChG"/>
        <w:rPr>
          <w:lang w:val="fr-FR"/>
        </w:rPr>
      </w:pPr>
      <w:r w:rsidRPr="00A91A7C">
        <w:rPr>
          <w:lang w:val="fr-FR"/>
        </w:rPr>
        <w:tab/>
        <w:t>IX.</w:t>
      </w:r>
      <w:r w:rsidRPr="00A91A7C">
        <w:rPr>
          <w:lang w:val="fr-FR"/>
        </w:rPr>
        <w:tab/>
        <w:t>Questions diverses (point 8 de l’ordre du jour)</w:t>
      </w:r>
    </w:p>
    <w:p w14:paraId="0F83FBC6" w14:textId="77777777" w:rsidR="00557AF5" w:rsidRPr="00A91A7C" w:rsidRDefault="00557AF5" w:rsidP="00557AF5">
      <w:pPr>
        <w:pStyle w:val="H1G"/>
        <w:rPr>
          <w:lang w:val="fr-FR"/>
        </w:rPr>
      </w:pPr>
      <w:r w:rsidRPr="00A91A7C">
        <w:rPr>
          <w:lang w:val="fr-FR"/>
        </w:rPr>
        <w:tab/>
        <w:t>A.</w:t>
      </w:r>
      <w:r w:rsidRPr="00A91A7C">
        <w:rPr>
          <w:lang w:val="fr-FR"/>
        </w:rPr>
        <w:tab/>
        <w:t>Rectificatif à l’ADR 2019</w:t>
      </w:r>
    </w:p>
    <w:p w14:paraId="555E839D" w14:textId="34849728" w:rsidR="00557AF5" w:rsidRPr="003C3FBE" w:rsidRDefault="00557AF5" w:rsidP="003C3FBE">
      <w:pPr>
        <w:pStyle w:val="SingleTxtG"/>
        <w:tabs>
          <w:tab w:val="left" w:pos="3000"/>
        </w:tabs>
        <w:ind w:left="2268" w:hanging="1134"/>
        <w:jc w:val="left"/>
        <w:rPr>
          <w:i/>
          <w:iCs/>
          <w:lang w:val="fr-FR"/>
        </w:rPr>
      </w:pPr>
      <w:r w:rsidRPr="003C3FBE">
        <w:rPr>
          <w:i/>
          <w:iCs/>
          <w:lang w:val="fr-FR"/>
        </w:rPr>
        <w:t>Document informel :</w:t>
      </w:r>
      <w:r w:rsidRPr="003C3FBE">
        <w:rPr>
          <w:i/>
          <w:iCs/>
          <w:lang w:val="fr-FR"/>
        </w:rPr>
        <w:tab/>
      </w:r>
      <w:r w:rsidRPr="003C3FBE">
        <w:rPr>
          <w:lang w:val="fr-FR"/>
        </w:rPr>
        <w:t>INF.19 (Secrétariat)</w:t>
      </w:r>
    </w:p>
    <w:p w14:paraId="25EC1014" w14:textId="07D717E2" w:rsidR="00557AF5" w:rsidRPr="00A91A7C" w:rsidRDefault="002D7220" w:rsidP="00557AF5">
      <w:pPr>
        <w:pStyle w:val="SingleTxtG"/>
        <w:rPr>
          <w:lang w:val="fr-FR"/>
        </w:rPr>
      </w:pPr>
      <w:r w:rsidRPr="00A91A7C">
        <w:rPr>
          <w:lang w:val="fr-FR"/>
        </w:rPr>
        <w:t>83</w:t>
      </w:r>
      <w:r w:rsidR="00557AF5" w:rsidRPr="00A91A7C">
        <w:rPr>
          <w:lang w:val="fr-FR"/>
        </w:rPr>
        <w:t>.</w:t>
      </w:r>
      <w:r w:rsidR="00557AF5" w:rsidRPr="00A91A7C">
        <w:rPr>
          <w:lang w:val="fr-FR"/>
        </w:rPr>
        <w:tab/>
        <w:t>Le Groupe de travail a noté que les corrections regroupées dans le document informel INF.19 seront publiées en tant que rectificatif à la version publiée de l’ADR 2019 (ECE/TRANS/275).</w:t>
      </w:r>
    </w:p>
    <w:p w14:paraId="6C319446" w14:textId="61BBFA4A" w:rsidR="00557AF5" w:rsidRPr="00A91A7C" w:rsidRDefault="00557AF5" w:rsidP="00557AF5">
      <w:pPr>
        <w:pStyle w:val="H1G"/>
        <w:rPr>
          <w:lang w:val="fr-FR"/>
        </w:rPr>
      </w:pPr>
      <w:r w:rsidRPr="00A91A7C">
        <w:rPr>
          <w:lang w:val="fr-FR"/>
        </w:rPr>
        <w:lastRenderedPageBreak/>
        <w:tab/>
        <w:t>B.</w:t>
      </w:r>
      <w:r w:rsidRPr="00A91A7C">
        <w:rPr>
          <w:lang w:val="fr-FR"/>
        </w:rPr>
        <w:tab/>
        <w:t>Références aux autorités compétentes</w:t>
      </w:r>
    </w:p>
    <w:p w14:paraId="4512266F" w14:textId="77777777" w:rsidR="00557AF5" w:rsidRPr="00A91A7C" w:rsidRDefault="00557AF5" w:rsidP="00557AF5">
      <w:pPr>
        <w:pStyle w:val="SingleTxtG"/>
        <w:keepNext/>
        <w:keepLines/>
        <w:ind w:left="2268" w:hanging="1134"/>
        <w:jc w:val="left"/>
        <w:rPr>
          <w:lang w:val="fr-FR"/>
        </w:rPr>
      </w:pPr>
      <w:r w:rsidRPr="00A91A7C">
        <w:rPr>
          <w:i/>
          <w:lang w:val="fr-FR"/>
        </w:rPr>
        <w:t>Document </w:t>
      </w:r>
      <w:r w:rsidRPr="00A91A7C">
        <w:rPr>
          <w:lang w:val="fr-FR"/>
        </w:rPr>
        <w:t>:</w:t>
      </w:r>
      <w:r w:rsidRPr="00A91A7C">
        <w:rPr>
          <w:lang w:val="fr-FR"/>
        </w:rPr>
        <w:tab/>
        <w:t>ECE/TRANS/WP.15/2019/23 (Secrétariat)</w:t>
      </w:r>
    </w:p>
    <w:p w14:paraId="64594478" w14:textId="0ACC4312" w:rsidR="00557AF5" w:rsidRPr="00A91A7C" w:rsidRDefault="002D7220" w:rsidP="00557AF5">
      <w:pPr>
        <w:pStyle w:val="SingleTxtG"/>
        <w:rPr>
          <w:lang w:val="fr-FR"/>
        </w:rPr>
      </w:pPr>
      <w:r w:rsidRPr="00A91A7C">
        <w:rPr>
          <w:lang w:val="fr-FR"/>
        </w:rPr>
        <w:t>84</w:t>
      </w:r>
      <w:r w:rsidR="00557AF5" w:rsidRPr="00A91A7C">
        <w:rPr>
          <w:lang w:val="fr-FR"/>
        </w:rPr>
        <w:t>.</w:t>
      </w:r>
      <w:r w:rsidR="00557AF5" w:rsidRPr="00A91A7C">
        <w:rPr>
          <w:lang w:val="fr-FR"/>
        </w:rPr>
        <w:tab/>
        <w:t>Le Groupe de travail a étudié les références aux autorités compétentes dans les parties 8 et 9 de l’ADR. Le Groupe de travail a demandé au secrétariat de présenter un nouveau document, à la session de novembre 2020 au plus tard, en tenant compte des commentaires formulés. Le secrétariat informera la Réunion commune de l’avancée des discussions sur ce point.</w:t>
      </w:r>
    </w:p>
    <w:p w14:paraId="4FA488C2" w14:textId="77777777" w:rsidR="00146B5F" w:rsidRPr="00A91A7C" w:rsidRDefault="00146B5F" w:rsidP="00146B5F">
      <w:pPr>
        <w:pStyle w:val="H1G"/>
        <w:rPr>
          <w:lang w:val="fr-FR"/>
        </w:rPr>
      </w:pPr>
      <w:r w:rsidRPr="00A91A7C">
        <w:rPr>
          <w:lang w:val="fr-FR"/>
        </w:rPr>
        <w:tab/>
        <w:t>C.</w:t>
      </w:r>
      <w:r w:rsidRPr="00A91A7C">
        <w:rPr>
          <w:lang w:val="fr-FR"/>
        </w:rPr>
        <w:tab/>
        <w:t>Transport de batteries endommagées et de véhicules ou équipements dont la batterie est endommagée</w:t>
      </w:r>
    </w:p>
    <w:p w14:paraId="761F5A28" w14:textId="77777777" w:rsidR="00146B5F" w:rsidRPr="00A91A7C" w:rsidRDefault="00146B5F" w:rsidP="00146B5F">
      <w:pPr>
        <w:pStyle w:val="SingleTxtG"/>
        <w:ind w:left="2268" w:hanging="1134"/>
        <w:jc w:val="left"/>
        <w:rPr>
          <w:lang w:val="fr-FR"/>
        </w:rPr>
      </w:pPr>
      <w:r w:rsidRPr="00A91A7C">
        <w:rPr>
          <w:i/>
          <w:iCs/>
          <w:lang w:val="fr-FR"/>
        </w:rPr>
        <w:t>Document </w:t>
      </w:r>
      <w:r w:rsidRPr="00A91A7C">
        <w:rPr>
          <w:lang w:val="fr-FR"/>
        </w:rPr>
        <w:t xml:space="preserve">: </w:t>
      </w:r>
      <w:r w:rsidRPr="00A91A7C">
        <w:rPr>
          <w:lang w:val="fr-FR"/>
        </w:rPr>
        <w:tab/>
        <w:t>ECE/TRANS/WP.15/2019/21 (Suisse)</w:t>
      </w:r>
    </w:p>
    <w:p w14:paraId="2BD2AF03" w14:textId="5935CF99" w:rsidR="00146B5F" w:rsidRPr="00A91A7C" w:rsidRDefault="00146B5F" w:rsidP="00146B5F">
      <w:pPr>
        <w:pStyle w:val="SingleTxtG"/>
        <w:ind w:left="2268" w:hanging="1134"/>
        <w:jc w:val="left"/>
        <w:rPr>
          <w:lang w:val="fr-FR"/>
        </w:rPr>
      </w:pPr>
      <w:r w:rsidRPr="00A91A7C">
        <w:rPr>
          <w:i/>
          <w:iCs/>
          <w:lang w:val="fr-FR"/>
        </w:rPr>
        <w:t>Document informel </w:t>
      </w:r>
      <w:r w:rsidRPr="00A91A7C">
        <w:rPr>
          <w:lang w:val="fr-FR"/>
        </w:rPr>
        <w:t>: INF.11 (Suisse), INF.30 (Suisse)</w:t>
      </w:r>
    </w:p>
    <w:p w14:paraId="4C90D0F1" w14:textId="5DA7AD4D" w:rsidR="00146B5F" w:rsidRPr="00A91A7C" w:rsidRDefault="002D7220" w:rsidP="00146B5F">
      <w:pPr>
        <w:pStyle w:val="SingleTxtG"/>
        <w:rPr>
          <w:lang w:val="fr-FR"/>
        </w:rPr>
      </w:pPr>
      <w:r w:rsidRPr="00A91A7C">
        <w:rPr>
          <w:lang w:val="fr-FR"/>
        </w:rPr>
        <w:t>85</w:t>
      </w:r>
      <w:r w:rsidR="00146B5F" w:rsidRPr="00A91A7C">
        <w:rPr>
          <w:lang w:val="fr-FR"/>
        </w:rPr>
        <w:t>.</w:t>
      </w:r>
      <w:r w:rsidR="00146B5F" w:rsidRPr="00A91A7C">
        <w:rPr>
          <w:lang w:val="fr-FR"/>
        </w:rPr>
        <w:tab/>
        <w:t>Le Groupe de travail a noté avec intérêt la présentation de la Suisse sur les conteneurs qui pourraient être utilisés pour le transport de batteries endommagées et de véhicules ou équipement</w:t>
      </w:r>
      <w:r w:rsidR="003C3FBE">
        <w:rPr>
          <w:lang w:val="fr-FR"/>
        </w:rPr>
        <w:t>s</w:t>
      </w:r>
      <w:r w:rsidR="00146B5F" w:rsidRPr="00A91A7C">
        <w:rPr>
          <w:lang w:val="fr-FR"/>
        </w:rPr>
        <w:t xml:space="preserve"> dont la batterie est endommagée et ne peut être retirée. </w:t>
      </w:r>
    </w:p>
    <w:p w14:paraId="6AAC98FF" w14:textId="5FA34EF3" w:rsidR="00146B5F" w:rsidRPr="00A91A7C" w:rsidRDefault="002D7220" w:rsidP="00146B5F">
      <w:pPr>
        <w:pStyle w:val="SingleTxtG"/>
        <w:rPr>
          <w:lang w:val="fr-FR"/>
        </w:rPr>
      </w:pPr>
      <w:r w:rsidRPr="00A91A7C">
        <w:rPr>
          <w:lang w:val="fr-FR"/>
        </w:rPr>
        <w:t>86</w:t>
      </w:r>
      <w:r w:rsidR="00146B5F" w:rsidRPr="00A91A7C">
        <w:rPr>
          <w:lang w:val="fr-FR"/>
        </w:rPr>
        <w:t>.</w:t>
      </w:r>
      <w:r w:rsidR="00146B5F" w:rsidRPr="00A91A7C">
        <w:rPr>
          <w:lang w:val="fr-FR"/>
        </w:rPr>
        <w:tab/>
        <w:t xml:space="preserve">Le Groupe de travail a jugé prématuré de discuter les propositions d’amendements visant à règlementer ce type d’équipement dans l’ADR. Il a été rappelé que les prescriptions et les exemptions pour le transport des batteries au lithium défectueuses ou endommagées installées sur des véhicules mus par des moteurs électriques seraient discutées à la Réunion commune </w:t>
      </w:r>
      <w:r w:rsidR="00146B5F" w:rsidRPr="002019A4">
        <w:rPr>
          <w:lang w:val="fr-FR"/>
        </w:rPr>
        <w:t xml:space="preserve">(voir paragraphe </w:t>
      </w:r>
      <w:r w:rsidR="002019A4" w:rsidRPr="002019A4">
        <w:rPr>
          <w:lang w:val="fr-FR"/>
        </w:rPr>
        <w:t>71</w:t>
      </w:r>
      <w:r w:rsidR="00146B5F" w:rsidRPr="002019A4">
        <w:rPr>
          <w:lang w:val="fr-FR"/>
        </w:rPr>
        <w:t>).</w:t>
      </w:r>
    </w:p>
    <w:p w14:paraId="51B8B8F4" w14:textId="77777777" w:rsidR="00C5191F" w:rsidRPr="00A91A7C" w:rsidRDefault="00C5191F" w:rsidP="00C5191F">
      <w:pPr>
        <w:pStyle w:val="HChG"/>
        <w:rPr>
          <w:i/>
          <w:lang w:val="fr-FR"/>
        </w:rPr>
      </w:pPr>
      <w:r w:rsidRPr="00A91A7C">
        <w:rPr>
          <w:lang w:val="fr-FR"/>
        </w:rPr>
        <w:tab/>
        <w:t>X.</w:t>
      </w:r>
      <w:r w:rsidRPr="00A91A7C">
        <w:rPr>
          <w:lang w:val="fr-FR"/>
        </w:rPr>
        <w:tab/>
        <w:t>Élection du Bureau pour 2020 (point 9 de l’ordre du jour)</w:t>
      </w:r>
    </w:p>
    <w:p w14:paraId="369C4088" w14:textId="4492EB89" w:rsidR="00C5191F" w:rsidRPr="00A91A7C" w:rsidRDefault="002D7220" w:rsidP="00C5191F">
      <w:pPr>
        <w:pStyle w:val="SingleTxtG"/>
        <w:rPr>
          <w:lang w:val="fr-FR"/>
        </w:rPr>
      </w:pPr>
      <w:r w:rsidRPr="00A91A7C">
        <w:rPr>
          <w:lang w:val="fr-FR"/>
        </w:rPr>
        <w:t>87</w:t>
      </w:r>
      <w:r w:rsidR="00C5191F" w:rsidRPr="00A91A7C">
        <w:rPr>
          <w:lang w:val="fr-FR"/>
        </w:rPr>
        <w:t>.</w:t>
      </w:r>
      <w:r w:rsidR="00C5191F" w:rsidRPr="00A91A7C">
        <w:rPr>
          <w:lang w:val="fr-FR"/>
        </w:rPr>
        <w:tab/>
        <w:t>Sur proposition du représentant du Luxembourg, le Groupe de travail a élu M</w:t>
      </w:r>
      <w:r w:rsidR="00C5191F" w:rsidRPr="00A91A7C">
        <w:rPr>
          <w:vertAlign w:val="superscript"/>
          <w:lang w:val="fr-FR"/>
        </w:rPr>
        <w:t>me</w:t>
      </w:r>
      <w:r w:rsidR="00C5191F" w:rsidRPr="00A91A7C">
        <w:rPr>
          <w:lang w:val="fr-FR"/>
        </w:rPr>
        <w:t> Ariane </w:t>
      </w:r>
      <w:proofErr w:type="spellStart"/>
      <w:r w:rsidR="00C5191F" w:rsidRPr="00A91A7C">
        <w:rPr>
          <w:lang w:val="fr-FR"/>
        </w:rPr>
        <w:t>Roumier</w:t>
      </w:r>
      <w:proofErr w:type="spellEnd"/>
      <w:r w:rsidR="00C5191F" w:rsidRPr="00A91A7C">
        <w:rPr>
          <w:lang w:val="fr-FR"/>
        </w:rPr>
        <w:t xml:space="preserve"> (France) Présidente et M. Alfonso Simoni (Italie) Vice-Président pour l’année 2020.</w:t>
      </w:r>
    </w:p>
    <w:p w14:paraId="23647DB8" w14:textId="77777777" w:rsidR="00C5191F" w:rsidRPr="00A91A7C" w:rsidRDefault="00C5191F" w:rsidP="00C5191F">
      <w:pPr>
        <w:pStyle w:val="HChG"/>
        <w:rPr>
          <w:i/>
          <w:lang w:val="fr-FR"/>
        </w:rPr>
      </w:pPr>
      <w:r w:rsidRPr="00A91A7C">
        <w:rPr>
          <w:lang w:val="fr-FR"/>
        </w:rPr>
        <w:tab/>
        <w:t>XI.</w:t>
      </w:r>
      <w:r w:rsidRPr="00A91A7C">
        <w:rPr>
          <w:lang w:val="fr-FR"/>
        </w:rPr>
        <w:tab/>
        <w:t>Adoption du rapport (point 10 de l’ordre du jour)</w:t>
      </w:r>
    </w:p>
    <w:p w14:paraId="6137CD4A" w14:textId="5362AFAD" w:rsidR="00C5191F" w:rsidRPr="00A91A7C" w:rsidRDefault="002D7220" w:rsidP="00C5191F">
      <w:pPr>
        <w:pStyle w:val="SingleTxtG"/>
        <w:rPr>
          <w:lang w:val="fr-FR"/>
        </w:rPr>
      </w:pPr>
      <w:r w:rsidRPr="00A91A7C">
        <w:rPr>
          <w:lang w:val="fr-FR"/>
        </w:rPr>
        <w:t>88</w:t>
      </w:r>
      <w:r w:rsidR="00C5191F" w:rsidRPr="00A91A7C">
        <w:rPr>
          <w:lang w:val="fr-FR"/>
        </w:rPr>
        <w:t>.</w:t>
      </w:r>
      <w:r w:rsidR="00C5191F" w:rsidRPr="00A91A7C">
        <w:rPr>
          <w:lang w:val="fr-FR"/>
        </w:rPr>
        <w:tab/>
        <w:t>Le Groupe de travail a adopté le rapport de sa 107</w:t>
      </w:r>
      <w:r w:rsidR="00C5191F" w:rsidRPr="00A91A7C">
        <w:rPr>
          <w:vertAlign w:val="superscript"/>
          <w:lang w:val="fr-FR"/>
        </w:rPr>
        <w:t>e</w:t>
      </w:r>
      <w:r w:rsidR="00C5191F" w:rsidRPr="00A91A7C">
        <w:rPr>
          <w:lang w:val="fr-FR"/>
        </w:rPr>
        <w:t xml:space="preserve"> session et ses annexes sur la base d’un projet établi par le secrétariat.</w:t>
      </w:r>
    </w:p>
    <w:p w14:paraId="21E65C2A" w14:textId="1CD7FAB4" w:rsidR="00682729" w:rsidRPr="00A91A7C" w:rsidRDefault="00682729">
      <w:pPr>
        <w:suppressAutoHyphens w:val="0"/>
        <w:kinsoku/>
        <w:overflowPunct/>
        <w:autoSpaceDE/>
        <w:autoSpaceDN/>
        <w:adjustRightInd/>
        <w:snapToGrid/>
        <w:spacing w:after="200" w:line="276" w:lineRule="auto"/>
        <w:rPr>
          <w:lang w:val="fr-FR"/>
        </w:rPr>
      </w:pPr>
      <w:r w:rsidRPr="00A91A7C">
        <w:rPr>
          <w:lang w:val="fr-FR"/>
        </w:rPr>
        <w:br w:type="page"/>
      </w:r>
    </w:p>
    <w:p w14:paraId="63D41D22" w14:textId="740439D8" w:rsidR="00E71CFA" w:rsidRPr="00994816" w:rsidRDefault="00E71CFA" w:rsidP="002019A4">
      <w:pPr>
        <w:pStyle w:val="HChG"/>
        <w:spacing w:before="0"/>
        <w:rPr>
          <w:lang w:val="fr-FR"/>
        </w:rPr>
      </w:pPr>
      <w:r w:rsidRPr="00A91A7C">
        <w:rPr>
          <w:lang w:val="fr-FR"/>
        </w:rPr>
        <w:lastRenderedPageBreak/>
        <w:tab/>
        <w:t>Annexe I</w:t>
      </w:r>
    </w:p>
    <w:p w14:paraId="79E4D371" w14:textId="77777777" w:rsidR="003C3FBE" w:rsidRPr="00A91A7C" w:rsidRDefault="003C3FBE" w:rsidP="003C3FBE">
      <w:pPr>
        <w:pStyle w:val="SingleTxtG"/>
        <w:jc w:val="right"/>
        <w:rPr>
          <w:lang w:val="fr-FR"/>
        </w:rPr>
      </w:pPr>
      <w:r w:rsidRPr="00A91A7C">
        <w:rPr>
          <w:lang w:val="fr-FR"/>
        </w:rPr>
        <w:t>[</w:t>
      </w:r>
      <w:r w:rsidRPr="00A70E01">
        <w:rPr>
          <w:iCs/>
          <w:lang w:val="fr-FR"/>
        </w:rPr>
        <w:t>Original : anglais et français</w:t>
      </w:r>
      <w:r w:rsidRPr="00A91A7C">
        <w:rPr>
          <w:lang w:val="fr-FR"/>
        </w:rPr>
        <w:t>]</w:t>
      </w:r>
    </w:p>
    <w:p w14:paraId="2A625DF8" w14:textId="0BFA4F93" w:rsidR="00994816" w:rsidRDefault="00994816" w:rsidP="00994816">
      <w:pPr>
        <w:pStyle w:val="HChG"/>
        <w:rPr>
          <w:lang w:val="fr-FR"/>
        </w:rPr>
      </w:pPr>
      <w:r w:rsidRPr="00D1751A">
        <w:rPr>
          <w:lang w:val="fr-FR"/>
        </w:rPr>
        <w:tab/>
      </w:r>
      <w:r w:rsidRPr="00D1751A">
        <w:rPr>
          <w:lang w:val="fr-FR"/>
        </w:rPr>
        <w:tab/>
        <w:t xml:space="preserve">Projet d’amendements </w:t>
      </w:r>
      <w:r>
        <w:rPr>
          <w:lang w:val="fr-FR"/>
        </w:rPr>
        <w:t xml:space="preserve">aux </w:t>
      </w:r>
      <w:r w:rsidRPr="00D1751A">
        <w:rPr>
          <w:lang w:val="fr-FR"/>
        </w:rPr>
        <w:t>annexe</w:t>
      </w:r>
      <w:r>
        <w:rPr>
          <w:lang w:val="fr-FR"/>
        </w:rPr>
        <w:t>s</w:t>
      </w:r>
      <w:r w:rsidRPr="00D1751A">
        <w:rPr>
          <w:lang w:val="fr-FR"/>
        </w:rPr>
        <w:t xml:space="preserve"> A et B de l’ADR pour </w:t>
      </w:r>
      <w:proofErr w:type="spellStart"/>
      <w:r w:rsidRPr="00D1751A">
        <w:rPr>
          <w:lang w:val="fr-FR"/>
        </w:rPr>
        <w:t>entrée</w:t>
      </w:r>
      <w:proofErr w:type="spellEnd"/>
      <w:r w:rsidRPr="00D1751A">
        <w:rPr>
          <w:lang w:val="fr-FR"/>
        </w:rPr>
        <w:t xml:space="preserve"> en vigueur le 1er janvier 20</w:t>
      </w:r>
      <w:r>
        <w:rPr>
          <w:lang w:val="fr-FR"/>
        </w:rPr>
        <w:t>21</w:t>
      </w:r>
    </w:p>
    <w:p w14:paraId="1ABBC6A4" w14:textId="77777777" w:rsidR="00994816" w:rsidRPr="00825DB6" w:rsidRDefault="00994816" w:rsidP="00994816">
      <w:pPr>
        <w:pStyle w:val="H1G"/>
      </w:pPr>
      <w:r>
        <w:tab/>
      </w:r>
      <w:r>
        <w:tab/>
        <w:t>Chapitre</w:t>
      </w:r>
      <w:r w:rsidRPr="00F02CD1">
        <w:t xml:space="preserve"> </w:t>
      </w:r>
      <w:r>
        <w:t>1.1</w:t>
      </w:r>
    </w:p>
    <w:p w14:paraId="30C0495C" w14:textId="77777777" w:rsidR="00994816" w:rsidRPr="00825DB6" w:rsidRDefault="00994816" w:rsidP="00994816">
      <w:pPr>
        <w:pStyle w:val="SingleTxtG"/>
      </w:pPr>
      <w:r>
        <w:t>1.1.3.6.5</w:t>
      </w:r>
      <w:r>
        <w:tab/>
        <w:t>Remplacer « 1.1.3.1 a), b) et d) » par « 1.1.3.1 a) et d) ».</w:t>
      </w:r>
    </w:p>
    <w:p w14:paraId="5BCB28B6" w14:textId="77777777" w:rsidR="00994816" w:rsidRPr="00825DB6" w:rsidRDefault="00994816" w:rsidP="00994816">
      <w:pPr>
        <w:pStyle w:val="SingleTxtG"/>
        <w:rPr>
          <w:i/>
        </w:rPr>
      </w:pPr>
      <w:r w:rsidRPr="00825DB6">
        <w:rPr>
          <w:i/>
        </w:rPr>
        <w:t>(</w:t>
      </w:r>
      <w:r w:rsidRPr="00D1751A">
        <w:rPr>
          <w:i/>
          <w:iCs/>
          <w:lang w:val="fr-FR" w:eastAsia="en-GB"/>
        </w:rPr>
        <w:t>Document de référence</w:t>
      </w:r>
      <w:r>
        <w:rPr>
          <w:i/>
          <w:iCs/>
          <w:lang w:val="fr-FR" w:eastAsia="en-GB"/>
        </w:rPr>
        <w:t xml:space="preserve"> </w:t>
      </w:r>
      <w:r w:rsidRPr="00825DB6">
        <w:rPr>
          <w:i/>
        </w:rPr>
        <w:t xml:space="preserve">: document </w:t>
      </w:r>
      <w:r>
        <w:rPr>
          <w:i/>
        </w:rPr>
        <w:t xml:space="preserve">informel </w:t>
      </w:r>
      <w:r w:rsidRPr="00825DB6">
        <w:rPr>
          <w:i/>
        </w:rPr>
        <w:t>INF.</w:t>
      </w:r>
      <w:r>
        <w:rPr>
          <w:i/>
        </w:rPr>
        <w:t>20/Rev.1, proposition 3)</w:t>
      </w:r>
    </w:p>
    <w:p w14:paraId="1BE5A33D" w14:textId="77777777" w:rsidR="00994816" w:rsidRPr="00825DB6" w:rsidRDefault="00994816" w:rsidP="00994816">
      <w:pPr>
        <w:pStyle w:val="H1G"/>
      </w:pPr>
      <w:r>
        <w:tab/>
      </w:r>
      <w:r>
        <w:tab/>
        <w:t>Chapitre</w:t>
      </w:r>
      <w:r w:rsidRPr="00F02CD1">
        <w:t xml:space="preserve"> </w:t>
      </w:r>
      <w:r>
        <w:t>1</w:t>
      </w:r>
      <w:r w:rsidRPr="00F02CD1">
        <w:t>.</w:t>
      </w:r>
      <w:r>
        <w:t>6</w:t>
      </w:r>
    </w:p>
    <w:p w14:paraId="53B41BD3" w14:textId="77777777" w:rsidR="00994816" w:rsidRPr="00825DB6" w:rsidRDefault="00994816" w:rsidP="00994816">
      <w:pPr>
        <w:pStyle w:val="SingleTxtG"/>
      </w:pPr>
      <w:r>
        <w:t>1.6.1.1</w:t>
      </w:r>
      <w:r>
        <w:tab/>
      </w:r>
      <w:r w:rsidRPr="00825DB6">
        <w:tab/>
      </w:r>
      <w:r>
        <w:t>Remplacer « 2019 » par « 2021 » et « 2018 » par « 2020 ».</w:t>
      </w:r>
    </w:p>
    <w:p w14:paraId="3F9C3E20" w14:textId="77777777" w:rsidR="00994816" w:rsidRPr="00825DB6" w:rsidRDefault="00994816" w:rsidP="00994816">
      <w:pPr>
        <w:pStyle w:val="SingleTxtG"/>
        <w:rPr>
          <w:i/>
        </w:rPr>
      </w:pPr>
      <w:r w:rsidRPr="00825DB6">
        <w:rPr>
          <w:i/>
        </w:rPr>
        <w:t>(</w:t>
      </w:r>
      <w:r w:rsidRPr="00D1751A">
        <w:rPr>
          <w:i/>
          <w:iCs/>
          <w:lang w:val="fr-FR" w:eastAsia="en-GB"/>
        </w:rPr>
        <w:t>Document de référence</w:t>
      </w:r>
      <w:r>
        <w:rPr>
          <w:i/>
          <w:iCs/>
          <w:lang w:val="fr-FR" w:eastAsia="en-GB"/>
        </w:rPr>
        <w:t xml:space="preserve"> </w:t>
      </w:r>
      <w:r w:rsidRPr="00825DB6">
        <w:rPr>
          <w:i/>
        </w:rPr>
        <w:t xml:space="preserve">: document </w:t>
      </w:r>
      <w:r>
        <w:rPr>
          <w:i/>
        </w:rPr>
        <w:t xml:space="preserve">informel </w:t>
      </w:r>
      <w:r w:rsidRPr="00825DB6">
        <w:rPr>
          <w:i/>
        </w:rPr>
        <w:t>INF.</w:t>
      </w:r>
      <w:r>
        <w:rPr>
          <w:i/>
        </w:rPr>
        <w:t>21)</w:t>
      </w:r>
    </w:p>
    <w:p w14:paraId="68082E9C" w14:textId="77777777" w:rsidR="00994816" w:rsidRPr="00825DB6" w:rsidRDefault="00994816" w:rsidP="00994816">
      <w:pPr>
        <w:pStyle w:val="SingleTxtG"/>
      </w:pPr>
      <w:r>
        <w:t>1.6.1.30</w:t>
      </w:r>
      <w:r w:rsidRPr="00825DB6">
        <w:tab/>
      </w:r>
      <w:r>
        <w:t>Supprimer et ajouter « (Supprimé) ».</w:t>
      </w:r>
    </w:p>
    <w:p w14:paraId="1CF10079" w14:textId="77777777" w:rsidR="00994816" w:rsidRPr="00825DB6" w:rsidRDefault="00994816" w:rsidP="00994816">
      <w:pPr>
        <w:pStyle w:val="SingleTxtG"/>
        <w:rPr>
          <w:i/>
        </w:rPr>
      </w:pPr>
      <w:r w:rsidRPr="00825DB6">
        <w:rPr>
          <w:i/>
        </w:rPr>
        <w:t>(</w:t>
      </w:r>
      <w:r w:rsidRPr="00D1751A">
        <w:rPr>
          <w:i/>
          <w:iCs/>
          <w:lang w:val="fr-FR" w:eastAsia="en-GB"/>
        </w:rPr>
        <w:t>Document de référence</w:t>
      </w:r>
      <w:r>
        <w:rPr>
          <w:i/>
          <w:iCs/>
          <w:lang w:val="fr-FR" w:eastAsia="en-GB"/>
        </w:rPr>
        <w:t xml:space="preserve"> </w:t>
      </w:r>
      <w:r w:rsidRPr="00825DB6">
        <w:rPr>
          <w:i/>
        </w:rPr>
        <w:t xml:space="preserve">: document </w:t>
      </w:r>
      <w:r>
        <w:rPr>
          <w:i/>
        </w:rPr>
        <w:t xml:space="preserve">informel </w:t>
      </w:r>
      <w:r w:rsidRPr="00825DB6">
        <w:rPr>
          <w:i/>
        </w:rPr>
        <w:t>INF.</w:t>
      </w:r>
      <w:r>
        <w:rPr>
          <w:i/>
        </w:rPr>
        <w:t>21)</w:t>
      </w:r>
    </w:p>
    <w:p w14:paraId="64ABE7B7" w14:textId="77777777" w:rsidR="00994816" w:rsidRPr="00825DB6" w:rsidRDefault="00994816" w:rsidP="00994816">
      <w:pPr>
        <w:pStyle w:val="SingleTxtG"/>
      </w:pPr>
      <w:r>
        <w:t>1.6.1.36</w:t>
      </w:r>
      <w:r w:rsidRPr="00825DB6">
        <w:tab/>
      </w:r>
      <w:r>
        <w:t>Supprimer et ajouter « (Supprimé) ».</w:t>
      </w:r>
    </w:p>
    <w:p w14:paraId="31E53571" w14:textId="77777777" w:rsidR="00994816" w:rsidRPr="00825DB6" w:rsidRDefault="00994816" w:rsidP="00994816">
      <w:pPr>
        <w:pStyle w:val="SingleTxtG"/>
        <w:rPr>
          <w:i/>
        </w:rPr>
      </w:pPr>
      <w:r w:rsidRPr="00825DB6">
        <w:rPr>
          <w:i/>
        </w:rPr>
        <w:t>(</w:t>
      </w:r>
      <w:r w:rsidRPr="00D1751A">
        <w:rPr>
          <w:i/>
          <w:iCs/>
          <w:lang w:val="fr-FR" w:eastAsia="en-GB"/>
        </w:rPr>
        <w:t>Document de référence</w:t>
      </w:r>
      <w:r>
        <w:rPr>
          <w:i/>
          <w:iCs/>
          <w:lang w:val="fr-FR" w:eastAsia="en-GB"/>
        </w:rPr>
        <w:t xml:space="preserve"> </w:t>
      </w:r>
      <w:r w:rsidRPr="00825DB6">
        <w:rPr>
          <w:i/>
        </w:rPr>
        <w:t xml:space="preserve">: document </w:t>
      </w:r>
      <w:r>
        <w:rPr>
          <w:i/>
        </w:rPr>
        <w:t xml:space="preserve">informel </w:t>
      </w:r>
      <w:r w:rsidRPr="00825DB6">
        <w:rPr>
          <w:i/>
        </w:rPr>
        <w:t>INF.</w:t>
      </w:r>
      <w:r>
        <w:rPr>
          <w:i/>
        </w:rPr>
        <w:t>21)</w:t>
      </w:r>
    </w:p>
    <w:p w14:paraId="41400159" w14:textId="77777777" w:rsidR="00994816" w:rsidRPr="00825DB6" w:rsidRDefault="00994816" w:rsidP="00994816">
      <w:pPr>
        <w:pStyle w:val="SingleTxtG"/>
      </w:pPr>
      <w:r>
        <w:t>1.6.1.47</w:t>
      </w:r>
      <w:r w:rsidRPr="00825DB6">
        <w:tab/>
      </w:r>
      <w:r>
        <w:t>Supprimer et ajouter « (Supprimé) ».</w:t>
      </w:r>
    </w:p>
    <w:p w14:paraId="4F80903E" w14:textId="77777777" w:rsidR="00994816" w:rsidRPr="00825DB6" w:rsidRDefault="00994816" w:rsidP="00994816">
      <w:pPr>
        <w:pStyle w:val="SingleTxtG"/>
        <w:rPr>
          <w:i/>
        </w:rPr>
      </w:pPr>
      <w:r w:rsidRPr="00825DB6">
        <w:rPr>
          <w:i/>
        </w:rPr>
        <w:t>(</w:t>
      </w:r>
      <w:r w:rsidRPr="00D1751A">
        <w:rPr>
          <w:i/>
          <w:iCs/>
          <w:lang w:val="fr-FR" w:eastAsia="en-GB"/>
        </w:rPr>
        <w:t>Document de référence</w:t>
      </w:r>
      <w:r>
        <w:rPr>
          <w:i/>
          <w:iCs/>
          <w:lang w:val="fr-FR" w:eastAsia="en-GB"/>
        </w:rPr>
        <w:t xml:space="preserve"> </w:t>
      </w:r>
      <w:r w:rsidRPr="00825DB6">
        <w:rPr>
          <w:i/>
        </w:rPr>
        <w:t xml:space="preserve">: document </w:t>
      </w:r>
      <w:r>
        <w:rPr>
          <w:i/>
        </w:rPr>
        <w:t xml:space="preserve">informel </w:t>
      </w:r>
      <w:r w:rsidRPr="00825DB6">
        <w:rPr>
          <w:i/>
        </w:rPr>
        <w:t>INF.</w:t>
      </w:r>
      <w:r>
        <w:rPr>
          <w:i/>
        </w:rPr>
        <w:t>21)</w:t>
      </w:r>
    </w:p>
    <w:p w14:paraId="122A7D5B" w14:textId="77777777" w:rsidR="00994816" w:rsidRPr="0005647E" w:rsidRDefault="00994816" w:rsidP="00994816">
      <w:pPr>
        <w:pStyle w:val="SingleTxtG"/>
      </w:pPr>
      <w:r w:rsidRPr="0005647E">
        <w:t>1.6.5.21</w:t>
      </w:r>
      <w:r w:rsidRPr="0005647E">
        <w:tab/>
        <w:t>Supprimer et ajouter « (Supprimé) ».</w:t>
      </w:r>
    </w:p>
    <w:p w14:paraId="0317D5F1" w14:textId="77777777" w:rsidR="00994816" w:rsidRPr="00336540" w:rsidRDefault="00994816" w:rsidP="00994816">
      <w:pPr>
        <w:pStyle w:val="SingleTxtG"/>
        <w:rPr>
          <w:i/>
          <w:lang w:val="en-US"/>
        </w:rPr>
      </w:pPr>
      <w:r w:rsidRPr="0005647E">
        <w:rPr>
          <w:i/>
          <w:lang w:val="fr-FR"/>
        </w:rPr>
        <w:t>(</w:t>
      </w:r>
      <w:r w:rsidRPr="0005647E">
        <w:rPr>
          <w:i/>
          <w:iCs/>
          <w:lang w:val="fr-FR" w:eastAsia="en-GB"/>
        </w:rPr>
        <w:t xml:space="preserve">Document de référence </w:t>
      </w:r>
      <w:r w:rsidRPr="0005647E">
        <w:rPr>
          <w:i/>
          <w:lang w:val="fr-FR"/>
        </w:rPr>
        <w:t xml:space="preserve">: document informel </w:t>
      </w:r>
      <w:r w:rsidRPr="0005647E">
        <w:rPr>
          <w:i/>
        </w:rPr>
        <w:t>INF.22)</w:t>
      </w:r>
    </w:p>
    <w:p w14:paraId="447735C6" w14:textId="77777777" w:rsidR="00994816" w:rsidRPr="00420B25" w:rsidRDefault="00994816" w:rsidP="00994816">
      <w:pPr>
        <w:pStyle w:val="H1G"/>
        <w:rPr>
          <w:lang w:val="fr-FR"/>
        </w:rPr>
      </w:pPr>
      <w:r w:rsidRPr="00420B25">
        <w:rPr>
          <w:lang w:val="fr-FR"/>
        </w:rPr>
        <w:tab/>
      </w:r>
      <w:r w:rsidRPr="00420B25">
        <w:rPr>
          <w:lang w:val="fr-FR"/>
        </w:rPr>
        <w:tab/>
        <w:t>Chapitre 1.10</w:t>
      </w:r>
    </w:p>
    <w:p w14:paraId="2C56C1C1" w14:textId="77777777" w:rsidR="00994816" w:rsidRPr="00420B25" w:rsidRDefault="00994816" w:rsidP="00994816">
      <w:pPr>
        <w:pStyle w:val="SingleTxtG"/>
        <w:rPr>
          <w:lang w:val="fr-FR"/>
        </w:rPr>
      </w:pPr>
      <w:r w:rsidRPr="00420B25">
        <w:rPr>
          <w:lang w:val="fr-FR"/>
        </w:rPr>
        <w:t>1.10.4</w:t>
      </w:r>
      <w:r w:rsidRPr="00420B25">
        <w:rPr>
          <w:lang w:val="fr-FR"/>
        </w:rPr>
        <w:tab/>
      </w:r>
      <w:r w:rsidRPr="00420B25">
        <w:rPr>
          <w:lang w:val="fr-FR"/>
        </w:rPr>
        <w:tab/>
        <w:t>Remplacer « 0456 et 0500 » par « 0456, 0500, 0512 et 0513 ».</w:t>
      </w:r>
    </w:p>
    <w:p w14:paraId="1753C4E9" w14:textId="77777777" w:rsidR="00994816" w:rsidRPr="00420B25" w:rsidRDefault="00994816" w:rsidP="00994816">
      <w:pPr>
        <w:pStyle w:val="SingleTxtG"/>
        <w:rPr>
          <w:i/>
          <w:lang w:val="fr-FR"/>
        </w:rPr>
      </w:pPr>
      <w:r w:rsidRPr="00420B25">
        <w:rPr>
          <w:i/>
          <w:lang w:val="fr-FR"/>
        </w:rPr>
        <w:t>(</w:t>
      </w:r>
      <w:r w:rsidRPr="00420B25">
        <w:rPr>
          <w:i/>
          <w:iCs/>
          <w:lang w:val="fr-FR" w:eastAsia="en-GB"/>
        </w:rPr>
        <w:t xml:space="preserve">Document de référence </w:t>
      </w:r>
      <w:r w:rsidRPr="00420B25">
        <w:rPr>
          <w:i/>
          <w:lang w:val="fr-FR"/>
        </w:rPr>
        <w:t>: document informel INF.24, amendement de conséquence)</w:t>
      </w:r>
    </w:p>
    <w:p w14:paraId="03B5D02D" w14:textId="77777777" w:rsidR="00994816" w:rsidRPr="00825DB6" w:rsidRDefault="00994816" w:rsidP="00994816">
      <w:pPr>
        <w:pStyle w:val="H1G"/>
      </w:pPr>
      <w:r>
        <w:tab/>
      </w:r>
      <w:r>
        <w:tab/>
        <w:t>Chapitre</w:t>
      </w:r>
      <w:r w:rsidRPr="00F02CD1">
        <w:t xml:space="preserve"> </w:t>
      </w:r>
      <w:r>
        <w:t>2.2</w:t>
      </w:r>
    </w:p>
    <w:p w14:paraId="7100044B" w14:textId="77777777" w:rsidR="00994816" w:rsidRPr="00825DB6" w:rsidRDefault="00994816" w:rsidP="00994816">
      <w:pPr>
        <w:pStyle w:val="SingleTxtG"/>
      </w:pPr>
      <w:r>
        <w:rPr>
          <w:lang w:val="fr-FR"/>
        </w:rPr>
        <w:t>2.2.8</w:t>
      </w:r>
      <w:r w:rsidRPr="00F206A6">
        <w:rPr>
          <w:lang w:val="fr-FR"/>
        </w:rPr>
        <w:t>, Nota</w:t>
      </w:r>
      <w:r>
        <w:rPr>
          <w:lang w:val="fr-FR"/>
        </w:rPr>
        <w:tab/>
        <w:t>R</w:t>
      </w:r>
      <w:r w:rsidRPr="00F206A6">
        <w:rPr>
          <w:lang w:val="fr-FR"/>
        </w:rPr>
        <w:t>emplacer « du présent Règlement » par « de l’ADR ».</w:t>
      </w:r>
    </w:p>
    <w:p w14:paraId="28B1A90F" w14:textId="77777777" w:rsidR="00994816" w:rsidRPr="00825DB6" w:rsidRDefault="00994816" w:rsidP="00994816">
      <w:pPr>
        <w:pStyle w:val="SingleTxtG"/>
        <w:rPr>
          <w:i/>
        </w:rPr>
      </w:pPr>
      <w:r w:rsidRPr="00825DB6">
        <w:rPr>
          <w:i/>
        </w:rPr>
        <w:t>(</w:t>
      </w:r>
      <w:r w:rsidRPr="00D1751A">
        <w:rPr>
          <w:i/>
          <w:iCs/>
          <w:lang w:val="fr-FR" w:eastAsia="en-GB"/>
        </w:rPr>
        <w:t>Document de référence</w:t>
      </w:r>
      <w:r>
        <w:rPr>
          <w:i/>
          <w:iCs/>
          <w:lang w:val="fr-FR" w:eastAsia="en-GB"/>
        </w:rPr>
        <w:t xml:space="preserve"> </w:t>
      </w:r>
      <w:r w:rsidRPr="00825DB6">
        <w:rPr>
          <w:i/>
        </w:rPr>
        <w:t xml:space="preserve">: document </w:t>
      </w:r>
      <w:r>
        <w:rPr>
          <w:i/>
        </w:rPr>
        <w:t xml:space="preserve">informel </w:t>
      </w:r>
      <w:r w:rsidRPr="00825DB6">
        <w:rPr>
          <w:i/>
        </w:rPr>
        <w:t>INF.</w:t>
      </w:r>
      <w:r>
        <w:rPr>
          <w:i/>
        </w:rPr>
        <w:t>20/Rev.1, proposition 2)</w:t>
      </w:r>
    </w:p>
    <w:p w14:paraId="42AF6902" w14:textId="77777777" w:rsidR="00994816" w:rsidRPr="00825DB6" w:rsidRDefault="00994816" w:rsidP="00994816">
      <w:pPr>
        <w:pStyle w:val="H1G"/>
      </w:pPr>
      <w:r>
        <w:tab/>
      </w:r>
      <w:r>
        <w:tab/>
        <w:t>Chapitre</w:t>
      </w:r>
      <w:r w:rsidRPr="00F02CD1">
        <w:t xml:space="preserve"> </w:t>
      </w:r>
      <w:r>
        <w:t>4.1</w:t>
      </w:r>
    </w:p>
    <w:p w14:paraId="5E5C5348" w14:textId="77777777" w:rsidR="00994816" w:rsidRPr="00825DB6" w:rsidRDefault="00994816" w:rsidP="00994816">
      <w:pPr>
        <w:pStyle w:val="SingleTxtG"/>
      </w:pPr>
      <w:r w:rsidRPr="00F206A6">
        <w:rPr>
          <w:lang w:val="fr-FR"/>
        </w:rPr>
        <w:t>4.1, Nota sous le titre</w:t>
      </w:r>
      <w:r>
        <w:rPr>
          <w:lang w:val="fr-FR"/>
        </w:rPr>
        <w:tab/>
        <w:t>R</w:t>
      </w:r>
      <w:r w:rsidRPr="00F206A6">
        <w:rPr>
          <w:lang w:val="fr-FR"/>
        </w:rPr>
        <w:t>emplacer « 6.3.1 » par « 6.2.2.9, 6.2.2.10, 6.3.4</w:t>
      </w:r>
      <w:r>
        <w:rPr>
          <w:lang w:val="fr-FR"/>
        </w:rPr>
        <w:t> ».</w:t>
      </w:r>
    </w:p>
    <w:p w14:paraId="16F3DE08" w14:textId="77777777" w:rsidR="00994816" w:rsidRPr="00825DB6" w:rsidRDefault="00994816" w:rsidP="00994816">
      <w:pPr>
        <w:pStyle w:val="SingleTxtG"/>
        <w:rPr>
          <w:i/>
        </w:rPr>
      </w:pPr>
      <w:r w:rsidRPr="00825DB6">
        <w:rPr>
          <w:i/>
        </w:rPr>
        <w:t>(</w:t>
      </w:r>
      <w:r w:rsidRPr="00D1751A">
        <w:rPr>
          <w:i/>
          <w:iCs/>
          <w:lang w:val="fr-FR" w:eastAsia="en-GB"/>
        </w:rPr>
        <w:t>Document de référence</w:t>
      </w:r>
      <w:r>
        <w:rPr>
          <w:i/>
          <w:iCs/>
          <w:lang w:val="fr-FR" w:eastAsia="en-GB"/>
        </w:rPr>
        <w:t xml:space="preserve"> </w:t>
      </w:r>
      <w:r w:rsidRPr="00825DB6">
        <w:rPr>
          <w:i/>
        </w:rPr>
        <w:t xml:space="preserve">: document </w:t>
      </w:r>
      <w:r>
        <w:rPr>
          <w:i/>
        </w:rPr>
        <w:t xml:space="preserve">informel </w:t>
      </w:r>
      <w:r w:rsidRPr="00825DB6">
        <w:rPr>
          <w:i/>
        </w:rPr>
        <w:t>INF.</w:t>
      </w:r>
      <w:r>
        <w:rPr>
          <w:i/>
        </w:rPr>
        <w:t>20/Rev.1, proposition 1)</w:t>
      </w:r>
    </w:p>
    <w:p w14:paraId="24998976" w14:textId="1CCB7812" w:rsidR="00994816" w:rsidRPr="00825DB6" w:rsidRDefault="00994816" w:rsidP="00994816">
      <w:pPr>
        <w:pStyle w:val="SingleTxtG"/>
      </w:pPr>
      <w:r>
        <w:rPr>
          <w:lang w:val="fr-FR"/>
        </w:rPr>
        <w:t>4.1.1.10</w:t>
      </w:r>
      <w:r w:rsidRPr="001969BF">
        <w:rPr>
          <w:lang w:val="fr-FR"/>
        </w:rPr>
        <w:t xml:space="preserve"> </w:t>
      </w:r>
      <w:r>
        <w:rPr>
          <w:lang w:val="fr-FR"/>
        </w:rPr>
        <w:tab/>
        <w:t xml:space="preserve">À la fin du paragraphe d’introduction avant les alinéas, supprimer </w:t>
      </w:r>
      <w:proofErr w:type="gramStart"/>
      <w:r>
        <w:rPr>
          <w:lang w:val="fr-FR"/>
        </w:rPr>
        <w:t>« ou »</w:t>
      </w:r>
      <w:proofErr w:type="gramEnd"/>
      <w:r>
        <w:rPr>
          <w:lang w:val="fr-FR"/>
        </w:rPr>
        <w:t xml:space="preserve">. Au début de l’alinéa b) et de l’alinéa c), supprimer </w:t>
      </w:r>
      <w:proofErr w:type="gramStart"/>
      <w:r>
        <w:rPr>
          <w:lang w:val="fr-FR"/>
        </w:rPr>
        <w:t>« ou »</w:t>
      </w:r>
      <w:proofErr w:type="gramEnd"/>
      <w:r>
        <w:rPr>
          <w:lang w:val="fr-FR"/>
        </w:rPr>
        <w:t xml:space="preserve">. À la fin de l’alinéa b), ajouter </w:t>
      </w:r>
      <w:proofErr w:type="gramStart"/>
      <w:r>
        <w:rPr>
          <w:lang w:val="fr-FR"/>
        </w:rPr>
        <w:t>« ou »</w:t>
      </w:r>
      <w:proofErr w:type="gramEnd"/>
      <w:r>
        <w:rPr>
          <w:lang w:val="fr-FR"/>
        </w:rPr>
        <w:t>.</w:t>
      </w:r>
    </w:p>
    <w:p w14:paraId="313B4251" w14:textId="77777777" w:rsidR="00994816" w:rsidRPr="00825DB6" w:rsidRDefault="00994816" w:rsidP="00994816">
      <w:pPr>
        <w:pStyle w:val="SingleTxtG"/>
        <w:rPr>
          <w:i/>
        </w:rPr>
      </w:pPr>
      <w:r w:rsidRPr="00825DB6">
        <w:rPr>
          <w:i/>
        </w:rPr>
        <w:t>(</w:t>
      </w:r>
      <w:r w:rsidRPr="00D1751A">
        <w:rPr>
          <w:i/>
          <w:iCs/>
          <w:lang w:val="fr-FR" w:eastAsia="en-GB"/>
        </w:rPr>
        <w:t>Document de référence</w:t>
      </w:r>
      <w:r>
        <w:rPr>
          <w:i/>
          <w:iCs/>
          <w:lang w:val="fr-FR" w:eastAsia="en-GB"/>
        </w:rPr>
        <w:t xml:space="preserve"> </w:t>
      </w:r>
      <w:r w:rsidRPr="00825DB6">
        <w:rPr>
          <w:i/>
        </w:rPr>
        <w:t xml:space="preserve">: document </w:t>
      </w:r>
      <w:r>
        <w:rPr>
          <w:i/>
        </w:rPr>
        <w:t xml:space="preserve">informel </w:t>
      </w:r>
      <w:r w:rsidRPr="00825DB6">
        <w:rPr>
          <w:i/>
        </w:rPr>
        <w:t>INF.</w:t>
      </w:r>
      <w:r>
        <w:rPr>
          <w:i/>
        </w:rPr>
        <w:t>20/Rev.1, proposition 8)</w:t>
      </w:r>
    </w:p>
    <w:p w14:paraId="496BFE15" w14:textId="77777777" w:rsidR="00994816" w:rsidRPr="00825DB6" w:rsidRDefault="00994816" w:rsidP="00994816">
      <w:pPr>
        <w:pStyle w:val="H1G"/>
      </w:pPr>
      <w:r>
        <w:tab/>
      </w:r>
      <w:r>
        <w:tab/>
        <w:t>Chapitre</w:t>
      </w:r>
      <w:r w:rsidRPr="00F02CD1">
        <w:t xml:space="preserve"> </w:t>
      </w:r>
      <w:r>
        <w:t>4.3</w:t>
      </w:r>
    </w:p>
    <w:p w14:paraId="4EFF519B" w14:textId="77777777" w:rsidR="00994816" w:rsidRPr="00825DB6" w:rsidRDefault="00994816" w:rsidP="00994816">
      <w:pPr>
        <w:pStyle w:val="SingleTxtG"/>
      </w:pPr>
      <w:r>
        <w:rPr>
          <w:lang w:val="fr-FR"/>
        </w:rPr>
        <w:t>4.3.4.2.2</w:t>
      </w:r>
      <w:r w:rsidRPr="00EA10E5">
        <w:rPr>
          <w:lang w:val="fr-FR"/>
        </w:rPr>
        <w:tab/>
        <w:t xml:space="preserve">Remplacer </w:t>
      </w:r>
      <w:r>
        <w:rPr>
          <w:lang w:val="fr-FR"/>
        </w:rPr>
        <w:t>« vidés » par « vides ».</w:t>
      </w:r>
    </w:p>
    <w:p w14:paraId="33EA8951" w14:textId="77777777" w:rsidR="00994816" w:rsidRPr="00825DB6" w:rsidRDefault="00994816" w:rsidP="00994816">
      <w:pPr>
        <w:pStyle w:val="SingleTxtG"/>
        <w:rPr>
          <w:i/>
        </w:rPr>
      </w:pPr>
      <w:r w:rsidRPr="00825DB6">
        <w:rPr>
          <w:i/>
        </w:rPr>
        <w:lastRenderedPageBreak/>
        <w:t>(</w:t>
      </w:r>
      <w:r w:rsidRPr="00D1751A">
        <w:rPr>
          <w:i/>
          <w:iCs/>
          <w:lang w:val="fr-FR" w:eastAsia="en-GB"/>
        </w:rPr>
        <w:t>Document de référence</w:t>
      </w:r>
      <w:r>
        <w:rPr>
          <w:i/>
          <w:iCs/>
          <w:lang w:val="fr-FR" w:eastAsia="en-GB"/>
        </w:rPr>
        <w:t xml:space="preserve"> </w:t>
      </w:r>
      <w:r w:rsidRPr="00825DB6">
        <w:rPr>
          <w:i/>
        </w:rPr>
        <w:t xml:space="preserve">: document </w:t>
      </w:r>
      <w:r>
        <w:rPr>
          <w:i/>
        </w:rPr>
        <w:t xml:space="preserve">informel </w:t>
      </w:r>
      <w:r w:rsidRPr="00825DB6">
        <w:rPr>
          <w:i/>
        </w:rPr>
        <w:t>INF.</w:t>
      </w:r>
      <w:r>
        <w:rPr>
          <w:i/>
        </w:rPr>
        <w:t>20/Rev.1, proposition 5)</w:t>
      </w:r>
    </w:p>
    <w:p w14:paraId="47A2B261" w14:textId="77777777" w:rsidR="00994816" w:rsidRPr="00825DB6" w:rsidRDefault="00994816" w:rsidP="00994816">
      <w:pPr>
        <w:pStyle w:val="H1G"/>
      </w:pPr>
      <w:r>
        <w:tab/>
      </w:r>
      <w:r>
        <w:tab/>
        <w:t>Chapitre</w:t>
      </w:r>
      <w:r w:rsidRPr="00F02CD1">
        <w:t xml:space="preserve"> </w:t>
      </w:r>
      <w:r>
        <w:t>5.2</w:t>
      </w:r>
    </w:p>
    <w:p w14:paraId="47A217CB" w14:textId="77777777" w:rsidR="00994816" w:rsidRPr="00825DB6" w:rsidRDefault="00994816" w:rsidP="00994816">
      <w:pPr>
        <w:pStyle w:val="SingleTxtG"/>
      </w:pPr>
      <w:r w:rsidRPr="00660927">
        <w:rPr>
          <w:lang w:val="fr-FR"/>
        </w:rPr>
        <w:t>5.2.2.1.12.1</w:t>
      </w:r>
      <w:r w:rsidRPr="00EA10E5">
        <w:rPr>
          <w:lang w:val="fr-FR"/>
        </w:rPr>
        <w:tab/>
        <w:t xml:space="preserve">Remplacer </w:t>
      </w:r>
      <w:r>
        <w:rPr>
          <w:lang w:val="fr-FR"/>
        </w:rPr>
        <w:t>« risques » par « dangers ».</w:t>
      </w:r>
    </w:p>
    <w:p w14:paraId="30779772" w14:textId="77777777" w:rsidR="00994816" w:rsidRPr="00825DB6" w:rsidRDefault="00994816" w:rsidP="00994816">
      <w:pPr>
        <w:pStyle w:val="SingleTxtG"/>
        <w:rPr>
          <w:i/>
        </w:rPr>
      </w:pPr>
      <w:r w:rsidRPr="00825DB6">
        <w:rPr>
          <w:i/>
        </w:rPr>
        <w:t>(</w:t>
      </w:r>
      <w:r w:rsidRPr="00D1751A">
        <w:rPr>
          <w:i/>
          <w:iCs/>
          <w:lang w:val="fr-FR" w:eastAsia="en-GB"/>
        </w:rPr>
        <w:t>Document de référence</w:t>
      </w:r>
      <w:r>
        <w:rPr>
          <w:i/>
          <w:iCs/>
          <w:lang w:val="fr-FR" w:eastAsia="en-GB"/>
        </w:rPr>
        <w:t xml:space="preserve"> </w:t>
      </w:r>
      <w:r w:rsidRPr="00825DB6">
        <w:rPr>
          <w:i/>
        </w:rPr>
        <w:t xml:space="preserve">: document </w:t>
      </w:r>
      <w:r>
        <w:rPr>
          <w:i/>
        </w:rPr>
        <w:t xml:space="preserve">informel </w:t>
      </w:r>
      <w:r w:rsidRPr="00825DB6">
        <w:rPr>
          <w:i/>
        </w:rPr>
        <w:t>INF.</w:t>
      </w:r>
      <w:r>
        <w:rPr>
          <w:i/>
        </w:rPr>
        <w:t>20/Rev.1, proposition 6)</w:t>
      </w:r>
    </w:p>
    <w:p w14:paraId="76F9BBF0" w14:textId="77777777" w:rsidR="00994816" w:rsidRPr="00825DB6" w:rsidRDefault="00994816" w:rsidP="00994816">
      <w:pPr>
        <w:pStyle w:val="H1G"/>
      </w:pPr>
      <w:r>
        <w:tab/>
      </w:r>
      <w:r>
        <w:tab/>
        <w:t>Chapitre</w:t>
      </w:r>
      <w:r w:rsidRPr="00F02CD1">
        <w:t xml:space="preserve"> </w:t>
      </w:r>
      <w:r>
        <w:t>7.1</w:t>
      </w:r>
    </w:p>
    <w:p w14:paraId="65ABE9FC" w14:textId="77777777" w:rsidR="00994816" w:rsidRPr="00825DB6" w:rsidRDefault="00994816" w:rsidP="00994816">
      <w:pPr>
        <w:pStyle w:val="SingleTxtG"/>
      </w:pPr>
      <w:r w:rsidRPr="001969BF">
        <w:rPr>
          <w:lang w:val="fr-FR"/>
        </w:rPr>
        <w:t xml:space="preserve">7.1.7.3.6 </w:t>
      </w:r>
      <w:r>
        <w:rPr>
          <w:lang w:val="fr-FR"/>
        </w:rPr>
        <w:tab/>
        <w:t>R</w:t>
      </w:r>
      <w:r w:rsidRPr="001969BF">
        <w:rPr>
          <w:lang w:val="fr-FR"/>
        </w:rPr>
        <w:t>emplacer « sous 7.1.5.3.5 » par « sous 7.1.7.3.5 »</w:t>
      </w:r>
      <w:r>
        <w:rPr>
          <w:lang w:val="fr-FR"/>
        </w:rPr>
        <w:t>.</w:t>
      </w:r>
    </w:p>
    <w:p w14:paraId="0F3C55DF" w14:textId="77777777" w:rsidR="00994816" w:rsidRPr="00825DB6" w:rsidRDefault="00994816" w:rsidP="00994816">
      <w:pPr>
        <w:pStyle w:val="SingleTxtG"/>
        <w:rPr>
          <w:i/>
        </w:rPr>
      </w:pPr>
      <w:r w:rsidRPr="00825DB6">
        <w:rPr>
          <w:i/>
        </w:rPr>
        <w:t>(</w:t>
      </w:r>
      <w:r w:rsidRPr="00D1751A">
        <w:rPr>
          <w:i/>
          <w:iCs/>
          <w:lang w:val="fr-FR" w:eastAsia="en-GB"/>
        </w:rPr>
        <w:t>Document de référence</w:t>
      </w:r>
      <w:r>
        <w:rPr>
          <w:i/>
          <w:iCs/>
          <w:lang w:val="fr-FR" w:eastAsia="en-GB"/>
        </w:rPr>
        <w:t xml:space="preserve"> </w:t>
      </w:r>
      <w:r w:rsidRPr="00825DB6">
        <w:rPr>
          <w:i/>
        </w:rPr>
        <w:t xml:space="preserve">: document </w:t>
      </w:r>
      <w:r>
        <w:rPr>
          <w:i/>
        </w:rPr>
        <w:t xml:space="preserve">informel </w:t>
      </w:r>
      <w:r w:rsidRPr="00825DB6">
        <w:rPr>
          <w:i/>
        </w:rPr>
        <w:t>INF.</w:t>
      </w:r>
      <w:r>
        <w:rPr>
          <w:i/>
        </w:rPr>
        <w:t>20/Rev.1, proposition 7)</w:t>
      </w:r>
    </w:p>
    <w:p w14:paraId="18B70004" w14:textId="77777777" w:rsidR="00994816" w:rsidRPr="00825DB6" w:rsidRDefault="00994816" w:rsidP="00994816">
      <w:pPr>
        <w:pStyle w:val="H1G"/>
      </w:pPr>
      <w:r>
        <w:tab/>
      </w:r>
      <w:r>
        <w:tab/>
        <w:t>Chapitre</w:t>
      </w:r>
      <w:r w:rsidRPr="00F02CD1">
        <w:t xml:space="preserve"> </w:t>
      </w:r>
      <w:r>
        <w:t>7.5</w:t>
      </w:r>
    </w:p>
    <w:p w14:paraId="3F884F2D" w14:textId="77777777" w:rsidR="00994816" w:rsidRPr="00825DB6" w:rsidRDefault="00994816" w:rsidP="00994816">
      <w:pPr>
        <w:pStyle w:val="SingleTxtG"/>
      </w:pPr>
      <w:r>
        <w:rPr>
          <w:lang w:val="fr-FR"/>
        </w:rPr>
        <w:t>7.5.11, CV4</w:t>
      </w:r>
      <w:r w:rsidRPr="00EA10E5">
        <w:rPr>
          <w:lang w:val="fr-FR"/>
        </w:rPr>
        <w:tab/>
        <w:t xml:space="preserve">Remplacer </w:t>
      </w:r>
      <w:r>
        <w:rPr>
          <w:lang w:val="fr-FR"/>
        </w:rPr>
        <w:t>« ne peuvent pas être transportées » par « ne peuvent être transportées ».</w:t>
      </w:r>
    </w:p>
    <w:p w14:paraId="6B525440" w14:textId="77777777" w:rsidR="00994816" w:rsidRPr="00825DB6" w:rsidRDefault="00994816" w:rsidP="00994816">
      <w:pPr>
        <w:pStyle w:val="SingleTxtG"/>
        <w:rPr>
          <w:i/>
        </w:rPr>
      </w:pPr>
      <w:r w:rsidRPr="00825DB6">
        <w:rPr>
          <w:i/>
        </w:rPr>
        <w:t>(</w:t>
      </w:r>
      <w:r w:rsidRPr="00D1751A">
        <w:rPr>
          <w:i/>
          <w:iCs/>
          <w:lang w:val="fr-FR" w:eastAsia="en-GB"/>
        </w:rPr>
        <w:t>Document de référence</w:t>
      </w:r>
      <w:r>
        <w:rPr>
          <w:i/>
          <w:iCs/>
          <w:lang w:val="fr-FR" w:eastAsia="en-GB"/>
        </w:rPr>
        <w:t xml:space="preserve"> </w:t>
      </w:r>
      <w:r w:rsidRPr="00825DB6">
        <w:rPr>
          <w:i/>
        </w:rPr>
        <w:t xml:space="preserve">: document </w:t>
      </w:r>
      <w:r>
        <w:rPr>
          <w:i/>
        </w:rPr>
        <w:t xml:space="preserve">informel </w:t>
      </w:r>
      <w:r w:rsidRPr="00825DB6">
        <w:rPr>
          <w:i/>
        </w:rPr>
        <w:t>INF.</w:t>
      </w:r>
      <w:r>
        <w:rPr>
          <w:i/>
        </w:rPr>
        <w:t>20/Rev.1, proposition 4)</w:t>
      </w:r>
    </w:p>
    <w:p w14:paraId="50771276" w14:textId="77777777" w:rsidR="00994816" w:rsidRPr="00D16089" w:rsidRDefault="00994816" w:rsidP="00994816">
      <w:pPr>
        <w:pStyle w:val="H1G"/>
        <w:rPr>
          <w:lang w:val="fr-FR"/>
        </w:rPr>
      </w:pPr>
      <w:r w:rsidRPr="00420B25">
        <w:rPr>
          <w:lang w:val="fr-FR"/>
        </w:rPr>
        <w:tab/>
      </w:r>
      <w:r w:rsidRPr="00420B25">
        <w:rPr>
          <w:lang w:val="fr-FR"/>
        </w:rPr>
        <w:tab/>
      </w:r>
      <w:r w:rsidRPr="00D16089">
        <w:rPr>
          <w:lang w:val="fr-FR"/>
        </w:rPr>
        <w:t>Chapitre 8.2</w:t>
      </w:r>
    </w:p>
    <w:p w14:paraId="030C1269" w14:textId="77777777" w:rsidR="00994816" w:rsidRPr="00D16089" w:rsidRDefault="00994816" w:rsidP="00994816">
      <w:pPr>
        <w:pStyle w:val="SingleTxtG"/>
        <w:rPr>
          <w:lang w:val="fr-FR"/>
        </w:rPr>
      </w:pPr>
      <w:r w:rsidRPr="00D16089">
        <w:rPr>
          <w:lang w:val="fr-FR"/>
        </w:rPr>
        <w:t>8.2.2.8.6</w:t>
      </w:r>
      <w:r w:rsidRPr="00D16089">
        <w:rPr>
          <w:lang w:val="fr-FR"/>
        </w:rPr>
        <w:tab/>
        <w:t>Remplacer pour lire comme suit :</w:t>
      </w:r>
    </w:p>
    <w:p w14:paraId="012AFBF2" w14:textId="16F430AB" w:rsidR="00994816" w:rsidRPr="00D16089" w:rsidRDefault="00994816" w:rsidP="00994816">
      <w:pPr>
        <w:pStyle w:val="SingleTxtG"/>
        <w:rPr>
          <w:lang w:val="fr-FR"/>
        </w:rPr>
      </w:pPr>
      <w:r w:rsidRPr="00D16089">
        <w:rPr>
          <w:lang w:val="fr-FR"/>
        </w:rPr>
        <w:t xml:space="preserve">« Les Parties contractantes doivent fournir au secrétariat de la CEE un exemple type de chaque certificat qu’elles entendent délivrer au niveau national, en application de la présente section. Les Parties contractantes doivent en outre fournir des notes explicatives pour permettre de vérifier la conformité des certificats aux exemples types fournis. Le secrétariat rendra </w:t>
      </w:r>
      <w:r>
        <w:rPr>
          <w:lang w:val="fr-FR"/>
        </w:rPr>
        <w:t>ces</w:t>
      </w:r>
      <w:r w:rsidRPr="00D16089">
        <w:rPr>
          <w:lang w:val="fr-FR"/>
        </w:rPr>
        <w:t xml:space="preserve"> information</w:t>
      </w:r>
      <w:r>
        <w:rPr>
          <w:lang w:val="fr-FR"/>
        </w:rPr>
        <w:t>s</w:t>
      </w:r>
      <w:r w:rsidRPr="00D16089">
        <w:rPr>
          <w:lang w:val="fr-FR"/>
        </w:rPr>
        <w:t xml:space="preserve"> accessible</w:t>
      </w:r>
      <w:r>
        <w:rPr>
          <w:lang w:val="fr-FR"/>
        </w:rPr>
        <w:t>s</w:t>
      </w:r>
      <w:r w:rsidRPr="00D16089">
        <w:rPr>
          <w:lang w:val="fr-FR"/>
        </w:rPr>
        <w:t xml:space="preserve"> sur son site internet. »</w:t>
      </w:r>
    </w:p>
    <w:p w14:paraId="6910366D" w14:textId="77777777" w:rsidR="00994816" w:rsidRPr="00420B25" w:rsidRDefault="00994816" w:rsidP="00994816">
      <w:pPr>
        <w:pStyle w:val="SingleTxtG"/>
        <w:rPr>
          <w:i/>
          <w:lang w:val="fr-FR"/>
        </w:rPr>
      </w:pPr>
      <w:r w:rsidRPr="00D16089">
        <w:rPr>
          <w:i/>
          <w:lang w:val="fr-FR"/>
        </w:rPr>
        <w:t>(</w:t>
      </w:r>
      <w:r w:rsidRPr="00D16089">
        <w:rPr>
          <w:i/>
          <w:iCs/>
          <w:lang w:val="fr-FR" w:eastAsia="en-GB"/>
        </w:rPr>
        <w:t xml:space="preserve">Document de référence </w:t>
      </w:r>
      <w:r w:rsidRPr="00D16089">
        <w:rPr>
          <w:i/>
          <w:lang w:val="fr-FR"/>
        </w:rPr>
        <w:t>: document informel INF.28/Rev.1, tel que modifié)</w:t>
      </w:r>
    </w:p>
    <w:p w14:paraId="2E04D753" w14:textId="77777777" w:rsidR="00994816" w:rsidRPr="00825DB6" w:rsidRDefault="00994816" w:rsidP="00994816">
      <w:pPr>
        <w:pStyle w:val="H1G"/>
      </w:pPr>
      <w:r>
        <w:tab/>
      </w:r>
      <w:r>
        <w:tab/>
        <w:t>Chapitre</w:t>
      </w:r>
      <w:r w:rsidRPr="00F02CD1">
        <w:t xml:space="preserve"> </w:t>
      </w:r>
      <w:r>
        <w:t>8.5</w:t>
      </w:r>
    </w:p>
    <w:p w14:paraId="0AC548D2" w14:textId="77777777" w:rsidR="00994816" w:rsidRDefault="00994816" w:rsidP="00994816">
      <w:pPr>
        <w:pStyle w:val="SingleTxtG"/>
      </w:pPr>
      <w:r>
        <w:t>8.5, S1 (6)</w:t>
      </w:r>
      <w:r w:rsidRPr="00825DB6">
        <w:tab/>
      </w:r>
      <w:bookmarkStart w:id="14" w:name="_Hlk24441003"/>
      <w:r>
        <w:t xml:space="preserve">Dans le deuxième paragraphe après la liste, </w:t>
      </w:r>
      <w:bookmarkEnd w:id="14"/>
      <w:r>
        <w:t>remplacer « </w:t>
      </w:r>
      <w:r w:rsidRPr="00EB3C84">
        <w:t>ces matières et objets, doivent faire 1’objet d’une surveillance constante,</w:t>
      </w:r>
      <w:r>
        <w:t> » par « </w:t>
      </w:r>
      <w:r w:rsidRPr="00EB3C84">
        <w:t>ces matières et objets, lorsqu’ils sont soumis aux dispositions du 1.10.3, doivent faire 1’objet d’une surveillance constante, conformément au plan de sûreté visé au 1.10.3.2,</w:t>
      </w:r>
      <w:r>
        <w:t> ».</w:t>
      </w:r>
    </w:p>
    <w:p w14:paraId="4D876692" w14:textId="30FBC492" w:rsidR="00994816" w:rsidRPr="00825DB6" w:rsidRDefault="00994816" w:rsidP="00994816">
      <w:pPr>
        <w:pStyle w:val="SingleTxtG"/>
      </w:pPr>
      <w:r w:rsidRPr="00825DB6">
        <w:rPr>
          <w:i/>
        </w:rPr>
        <w:t>(</w:t>
      </w:r>
      <w:r w:rsidRPr="00D1751A">
        <w:rPr>
          <w:i/>
          <w:iCs/>
          <w:lang w:val="fr-FR" w:eastAsia="en-GB"/>
        </w:rPr>
        <w:t>Document de référence</w:t>
      </w:r>
      <w:r>
        <w:rPr>
          <w:i/>
          <w:iCs/>
          <w:lang w:val="fr-FR" w:eastAsia="en-GB"/>
        </w:rPr>
        <w:t xml:space="preserve"> </w:t>
      </w:r>
      <w:r w:rsidRPr="00825DB6">
        <w:rPr>
          <w:i/>
        </w:rPr>
        <w:t xml:space="preserve">: </w:t>
      </w:r>
      <w:r>
        <w:rPr>
          <w:i/>
        </w:rPr>
        <w:t>ECE/TRANS/WP.15/2019/16</w:t>
      </w:r>
      <w:r w:rsidRPr="00825DB6">
        <w:rPr>
          <w:i/>
        </w:rPr>
        <w:t>)</w:t>
      </w:r>
    </w:p>
    <w:p w14:paraId="5E76D76A" w14:textId="77777777" w:rsidR="00994816" w:rsidRPr="00825DB6" w:rsidRDefault="00994816" w:rsidP="00994816">
      <w:pPr>
        <w:pStyle w:val="SingleTxtG"/>
      </w:pPr>
      <w:r>
        <w:t>8.5, S16</w:t>
      </w:r>
      <w:r w:rsidRPr="00825DB6">
        <w:tab/>
      </w:r>
      <w:r>
        <w:t>Remplacer le deuxième paragraphe par « </w:t>
      </w:r>
      <w:r w:rsidRPr="00CE62FE">
        <w:t xml:space="preserve">En outre, les véhicules transportant plus de 500 kg de </w:t>
      </w:r>
      <w:r w:rsidRPr="0085650A">
        <w:t>cette marchandise, lorsqu’ils sont soumis aux dispositions du 1.10.3, doivent faire 1’objet d’une surveillance constante, conformément au plan de sûreté visé au 1.10.3.2,</w:t>
      </w:r>
      <w:r>
        <w:t xml:space="preserve"> propre </w:t>
      </w:r>
      <w:r w:rsidRPr="00CE62FE">
        <w:t>à empêcher toute action de malveillance et à alerter le conducteur et les autorités compétentes en cas de perte ou d’incendie.</w:t>
      </w:r>
      <w:r>
        <w:t xml:space="preserve"> ».</w:t>
      </w:r>
    </w:p>
    <w:p w14:paraId="1032D853" w14:textId="45B0F493" w:rsidR="00994816" w:rsidRPr="00825DB6" w:rsidRDefault="00994816" w:rsidP="00994816">
      <w:pPr>
        <w:pStyle w:val="SingleTxtG"/>
      </w:pPr>
      <w:r w:rsidRPr="00825DB6">
        <w:rPr>
          <w:i/>
        </w:rPr>
        <w:t>(</w:t>
      </w:r>
      <w:r w:rsidRPr="00D1751A">
        <w:rPr>
          <w:i/>
          <w:iCs/>
          <w:lang w:val="fr-FR" w:eastAsia="en-GB"/>
        </w:rPr>
        <w:t>Document de référence</w:t>
      </w:r>
      <w:r>
        <w:rPr>
          <w:i/>
          <w:iCs/>
          <w:lang w:val="fr-FR" w:eastAsia="en-GB"/>
        </w:rPr>
        <w:t xml:space="preserve"> </w:t>
      </w:r>
      <w:r w:rsidRPr="00825DB6">
        <w:rPr>
          <w:i/>
        </w:rPr>
        <w:t xml:space="preserve">: </w:t>
      </w:r>
      <w:r>
        <w:rPr>
          <w:i/>
        </w:rPr>
        <w:t>ECE/TRANS/WP.15/2019/16</w:t>
      </w:r>
      <w:r w:rsidRPr="00825DB6">
        <w:rPr>
          <w:i/>
        </w:rPr>
        <w:t>)</w:t>
      </w:r>
    </w:p>
    <w:p w14:paraId="09A1A154" w14:textId="77777777" w:rsidR="00994816" w:rsidRPr="00825DB6" w:rsidRDefault="00994816" w:rsidP="00994816">
      <w:pPr>
        <w:pStyle w:val="SingleTxtG"/>
      </w:pPr>
      <w:r>
        <w:t>8.5, S21</w:t>
      </w:r>
      <w:r w:rsidRPr="00825DB6">
        <w:tab/>
      </w:r>
      <w:r>
        <w:t>Supprimer la deuxième phrase. Après les alinéas, ajouter un nouveau paragraphe pour lire : « </w:t>
      </w:r>
      <w:r w:rsidRPr="00536648">
        <w:t>En outre, ces marchandises, lorsqu’elles sont soumises aux dispositions du 1.10.3, doivent faire 1’objet d’une surveillance constante, conformément au plan de sûreté visé au 1.10.3.2, propre à empêcher toute action de malveillance et à alerter le conducteur et les autorités compétentes en cas de perte ou d’incendie.</w:t>
      </w:r>
      <w:r>
        <w:t> »</w:t>
      </w:r>
    </w:p>
    <w:p w14:paraId="18B6B756" w14:textId="30A37595" w:rsidR="00994816" w:rsidRPr="00825DB6" w:rsidRDefault="00994816" w:rsidP="00994816">
      <w:pPr>
        <w:pStyle w:val="SingleTxtG"/>
      </w:pPr>
      <w:r w:rsidRPr="00825DB6">
        <w:rPr>
          <w:i/>
        </w:rPr>
        <w:t>(</w:t>
      </w:r>
      <w:r w:rsidRPr="00D1751A">
        <w:rPr>
          <w:i/>
          <w:iCs/>
          <w:lang w:val="fr-FR" w:eastAsia="en-GB"/>
        </w:rPr>
        <w:t>Document de référence</w:t>
      </w:r>
      <w:r>
        <w:rPr>
          <w:i/>
          <w:iCs/>
          <w:lang w:val="fr-FR" w:eastAsia="en-GB"/>
        </w:rPr>
        <w:t xml:space="preserve"> </w:t>
      </w:r>
      <w:r w:rsidRPr="00825DB6">
        <w:rPr>
          <w:i/>
        </w:rPr>
        <w:t xml:space="preserve">: </w:t>
      </w:r>
      <w:r>
        <w:rPr>
          <w:i/>
        </w:rPr>
        <w:t>ECE/TRANS/WP.15/2019/16</w:t>
      </w:r>
      <w:r w:rsidRPr="00825DB6">
        <w:rPr>
          <w:i/>
        </w:rPr>
        <w:t>)</w:t>
      </w:r>
    </w:p>
    <w:p w14:paraId="34A40AFA" w14:textId="77777777" w:rsidR="00994816" w:rsidRPr="00420B25" w:rsidRDefault="00994816" w:rsidP="00994816">
      <w:pPr>
        <w:pStyle w:val="H1G"/>
        <w:rPr>
          <w:lang w:val="fr-FR"/>
        </w:rPr>
      </w:pPr>
      <w:r w:rsidRPr="00420B25">
        <w:rPr>
          <w:lang w:val="fr-FR"/>
        </w:rPr>
        <w:lastRenderedPageBreak/>
        <w:tab/>
      </w:r>
      <w:r w:rsidRPr="00420B25">
        <w:rPr>
          <w:lang w:val="fr-FR"/>
        </w:rPr>
        <w:tab/>
        <w:t>Amendements selon ECE/TRANS/WP.15/244, ECE/TRANS/WP.15/246, ECE/TRANS/WP.15/AC.1/156, annexe II et ECE/TRANS/WP.15/AC.1/2019/22/Add.1, tels que repris dans le document informel INF.7</w:t>
      </w:r>
      <w:r>
        <w:rPr>
          <w:lang w:val="fr-FR"/>
        </w:rPr>
        <w:t>,</w:t>
      </w:r>
      <w:r w:rsidRPr="00420B25">
        <w:rPr>
          <w:lang w:val="fr-FR"/>
        </w:rPr>
        <w:t xml:space="preserve"> adoptés avec les modifications suivantes :</w:t>
      </w:r>
    </w:p>
    <w:p w14:paraId="1445DD28" w14:textId="77777777" w:rsidR="00994816" w:rsidRPr="00420B25" w:rsidRDefault="00994816" w:rsidP="00994816">
      <w:pPr>
        <w:pStyle w:val="H23G"/>
        <w:rPr>
          <w:lang w:val="fr-FR"/>
        </w:rPr>
      </w:pPr>
      <w:r w:rsidRPr="00420B25">
        <w:rPr>
          <w:lang w:val="fr-FR"/>
        </w:rPr>
        <w:tab/>
      </w:r>
      <w:r w:rsidRPr="00420B25">
        <w:rPr>
          <w:lang w:val="fr-FR"/>
        </w:rPr>
        <w:tab/>
        <w:t>Chapitre 1.6</w:t>
      </w:r>
    </w:p>
    <w:p w14:paraId="5742142F" w14:textId="77777777" w:rsidR="00994816" w:rsidRPr="00420B25" w:rsidRDefault="00994816" w:rsidP="00994816">
      <w:pPr>
        <w:pStyle w:val="SingleTxtG"/>
        <w:rPr>
          <w:lang w:val="fr-FR"/>
        </w:rPr>
      </w:pPr>
      <w:r w:rsidRPr="00420B25">
        <w:rPr>
          <w:lang w:val="fr-FR"/>
        </w:rPr>
        <w:t xml:space="preserve">1.6.6.1 </w:t>
      </w:r>
      <w:r w:rsidRPr="00420B25">
        <w:rPr>
          <w:lang w:val="fr-FR"/>
        </w:rPr>
        <w:tab/>
        <w:t>Dans le titre, remplacer « de 2005 et de 2009 » par « de 2005, de 2009 et de 2012 ».</w:t>
      </w:r>
    </w:p>
    <w:p w14:paraId="1D0D21F3" w14:textId="77777777" w:rsidR="00994816" w:rsidRPr="00420B25" w:rsidRDefault="00994816" w:rsidP="00994816">
      <w:pPr>
        <w:pStyle w:val="H23G"/>
        <w:rPr>
          <w:lang w:val="fr-FR"/>
        </w:rPr>
      </w:pPr>
      <w:r w:rsidRPr="00420B25">
        <w:rPr>
          <w:lang w:val="fr-FR"/>
        </w:rPr>
        <w:tab/>
      </w:r>
      <w:r w:rsidRPr="00420B25">
        <w:rPr>
          <w:lang w:val="fr-FR"/>
        </w:rPr>
        <w:tab/>
        <w:t>Chapitre 2.2</w:t>
      </w:r>
    </w:p>
    <w:p w14:paraId="1BDC16B6" w14:textId="77777777" w:rsidR="00994816" w:rsidRPr="00420B25" w:rsidRDefault="00994816" w:rsidP="00994816">
      <w:pPr>
        <w:pStyle w:val="SingleTxtG"/>
        <w:rPr>
          <w:lang w:val="fr-FR"/>
        </w:rPr>
      </w:pPr>
      <w:r w:rsidRPr="00420B25">
        <w:rPr>
          <w:lang w:val="fr-FR"/>
        </w:rPr>
        <w:t xml:space="preserve">2.2.7.2.3.1.3 </w:t>
      </w:r>
      <w:r w:rsidRPr="00420B25">
        <w:rPr>
          <w:lang w:val="fr-FR"/>
        </w:rPr>
        <w:tab/>
        <w:t>Remplacer « 2.2.8.2.3.1.3 » par « 2.2.7.2.3.1.3 ».</w:t>
      </w:r>
    </w:p>
    <w:p w14:paraId="655FF6C4" w14:textId="77777777" w:rsidR="00994816" w:rsidRPr="00420B25" w:rsidRDefault="00994816" w:rsidP="00994816">
      <w:pPr>
        <w:pStyle w:val="H23G"/>
        <w:rPr>
          <w:lang w:val="fr-FR"/>
        </w:rPr>
      </w:pPr>
      <w:r w:rsidRPr="00420B25">
        <w:rPr>
          <w:lang w:val="fr-FR"/>
        </w:rPr>
        <w:tab/>
      </w:r>
      <w:r w:rsidRPr="00420B25">
        <w:rPr>
          <w:lang w:val="fr-FR"/>
        </w:rPr>
        <w:tab/>
        <w:t>Chapitre 3.3</w:t>
      </w:r>
    </w:p>
    <w:p w14:paraId="2D8AB551" w14:textId="09E2A83A" w:rsidR="00994816" w:rsidRPr="00420B25" w:rsidRDefault="00994816" w:rsidP="00994816">
      <w:pPr>
        <w:pStyle w:val="SingleTxtG"/>
        <w:rPr>
          <w:lang w:val="fr-FR"/>
        </w:rPr>
      </w:pPr>
      <w:r>
        <w:rPr>
          <w:lang w:val="fr-FR"/>
        </w:rPr>
        <w:t>DS</w:t>
      </w:r>
      <w:r w:rsidRPr="00420B25">
        <w:rPr>
          <w:lang w:val="fr-FR"/>
        </w:rPr>
        <w:t xml:space="preserve"> 301</w:t>
      </w:r>
      <w:r w:rsidRPr="00420B25">
        <w:rPr>
          <w:lang w:val="fr-FR"/>
        </w:rPr>
        <w:tab/>
        <w:t>Dans la deuxième phrase, supprimer « et dans la dernière phrase ».</w:t>
      </w:r>
    </w:p>
    <w:p w14:paraId="3D5A9E6C" w14:textId="575C7D67" w:rsidR="00994816" w:rsidRPr="00420B25" w:rsidRDefault="00994816" w:rsidP="00994816">
      <w:pPr>
        <w:pStyle w:val="SingleTxtG"/>
        <w:rPr>
          <w:lang w:val="fr-FR"/>
        </w:rPr>
      </w:pPr>
      <w:r>
        <w:rPr>
          <w:lang w:val="fr-FR"/>
        </w:rPr>
        <w:t>DS</w:t>
      </w:r>
      <w:r w:rsidRPr="00420B25">
        <w:rPr>
          <w:lang w:val="fr-FR"/>
        </w:rPr>
        <w:t xml:space="preserve"> 327</w:t>
      </w:r>
      <w:r w:rsidRPr="00420B25">
        <w:rPr>
          <w:lang w:val="fr-FR"/>
        </w:rPr>
        <w:tab/>
        <w:t>Dans le quatrième paragraphe, remplacer « Dans la dernière phrase » par « Dans le Nota ».</w:t>
      </w:r>
    </w:p>
    <w:p w14:paraId="587C5F56" w14:textId="77777777" w:rsidR="00994816" w:rsidRPr="00632877" w:rsidRDefault="00994816" w:rsidP="00994816">
      <w:pPr>
        <w:pStyle w:val="SingleTxtG"/>
        <w:rPr>
          <w:lang w:val="fr-FR"/>
        </w:rPr>
      </w:pPr>
      <w:r>
        <w:rPr>
          <w:lang w:val="fr-FR"/>
        </w:rPr>
        <w:t>DS</w:t>
      </w:r>
      <w:r w:rsidRPr="00632877">
        <w:rPr>
          <w:lang w:val="fr-FR"/>
        </w:rPr>
        <w:t xml:space="preserve"> 363 (l)</w:t>
      </w:r>
      <w:r w:rsidRPr="00632877">
        <w:rPr>
          <w:lang w:val="fr-FR"/>
        </w:rPr>
        <w:tab/>
        <w:t xml:space="preserve">Remplacer </w:t>
      </w:r>
      <w:r>
        <w:rPr>
          <w:lang w:val="fr-FR"/>
        </w:rPr>
        <w:t>« </w:t>
      </w:r>
      <w:r w:rsidRPr="00632877">
        <w:rPr>
          <w:lang w:val="fr-FR"/>
        </w:rPr>
        <w:t>L’unité de transport</w:t>
      </w:r>
      <w:r>
        <w:rPr>
          <w:lang w:val="fr-FR"/>
        </w:rPr>
        <w:t> » par « </w:t>
      </w:r>
      <w:r w:rsidRPr="00632877">
        <w:rPr>
          <w:lang w:val="fr-FR"/>
        </w:rPr>
        <w:t>Pour le</w:t>
      </w:r>
      <w:r>
        <w:rPr>
          <w:lang w:val="fr-FR"/>
        </w:rPr>
        <w:t xml:space="preserve"> transport comportant un</w:t>
      </w:r>
      <w:r w:rsidRPr="00632877">
        <w:rPr>
          <w:lang w:val="fr-FR"/>
        </w:rPr>
        <w:t xml:space="preserve"> passage d</w:t>
      </w:r>
      <w:r w:rsidRPr="00EF60AA">
        <w:rPr>
          <w:lang w:val="fr-FR"/>
        </w:rPr>
        <w:t>ans des tunnel</w:t>
      </w:r>
      <w:r>
        <w:rPr>
          <w:lang w:val="fr-FR"/>
        </w:rPr>
        <w:t>s</w:t>
      </w:r>
      <w:r w:rsidRPr="00EF60AA">
        <w:rPr>
          <w:lang w:val="fr-FR"/>
        </w:rPr>
        <w:t xml:space="preserve"> soumi</w:t>
      </w:r>
      <w:r w:rsidRPr="00632877">
        <w:rPr>
          <w:lang w:val="fr-FR"/>
        </w:rPr>
        <w:t>s à restriction</w:t>
      </w:r>
      <w:r>
        <w:rPr>
          <w:lang w:val="fr-FR"/>
        </w:rPr>
        <w:t>s,</w:t>
      </w:r>
      <w:r w:rsidRPr="00632877">
        <w:rPr>
          <w:lang w:val="fr-FR"/>
        </w:rPr>
        <w:t xml:space="preserve"> l’unité de transport</w:t>
      </w:r>
      <w:r>
        <w:rPr>
          <w:lang w:val="fr-FR"/>
        </w:rPr>
        <w:t> »</w:t>
      </w:r>
      <w:r w:rsidRPr="00632877">
        <w:rPr>
          <w:lang w:val="fr-FR"/>
        </w:rPr>
        <w:t xml:space="preserve">. </w:t>
      </w:r>
      <w:r>
        <w:rPr>
          <w:lang w:val="fr-FR"/>
        </w:rPr>
        <w:t>Supprimer la dernière</w:t>
      </w:r>
      <w:r>
        <w:rPr>
          <w:lang w:val="en-US"/>
        </w:rPr>
        <w:t xml:space="preserve"> phrase</w:t>
      </w:r>
      <w:r w:rsidRPr="00632877">
        <w:rPr>
          <w:lang w:val="fr-FR"/>
        </w:rPr>
        <w:t>.</w:t>
      </w:r>
    </w:p>
    <w:p w14:paraId="366258BC" w14:textId="77777777" w:rsidR="00994816" w:rsidRPr="00825DB6" w:rsidRDefault="00994816" w:rsidP="00994816">
      <w:pPr>
        <w:pStyle w:val="SingleTxtG"/>
      </w:pPr>
      <w:r w:rsidRPr="00825DB6">
        <w:rPr>
          <w:i/>
        </w:rPr>
        <w:t>(</w:t>
      </w:r>
      <w:r w:rsidRPr="00D1751A">
        <w:rPr>
          <w:i/>
          <w:iCs/>
          <w:lang w:val="fr-FR" w:eastAsia="en-GB"/>
        </w:rPr>
        <w:t>Document de référence</w:t>
      </w:r>
      <w:r>
        <w:rPr>
          <w:i/>
          <w:iCs/>
          <w:lang w:val="fr-FR" w:eastAsia="en-GB"/>
        </w:rPr>
        <w:t xml:space="preserve"> </w:t>
      </w:r>
      <w:r w:rsidRPr="00825DB6">
        <w:rPr>
          <w:i/>
        </w:rPr>
        <w:t xml:space="preserve">: </w:t>
      </w:r>
      <w:r>
        <w:rPr>
          <w:i/>
        </w:rPr>
        <w:t>ECE/TRANS/WP.15/2019/20</w:t>
      </w:r>
      <w:r w:rsidRPr="00D16089">
        <w:rPr>
          <w:i/>
          <w:lang w:val="fr-FR"/>
        </w:rPr>
        <w:t>, tel que modifié</w:t>
      </w:r>
      <w:r w:rsidRPr="00825DB6">
        <w:rPr>
          <w:i/>
        </w:rPr>
        <w:t>)</w:t>
      </w:r>
    </w:p>
    <w:p w14:paraId="75F2ECC0" w14:textId="77777777" w:rsidR="00994816" w:rsidRPr="00420B25" w:rsidRDefault="00994816" w:rsidP="00994816">
      <w:pPr>
        <w:pStyle w:val="H23G"/>
        <w:rPr>
          <w:lang w:val="fr-FR"/>
        </w:rPr>
      </w:pPr>
      <w:r w:rsidRPr="00420B25">
        <w:rPr>
          <w:lang w:val="fr-FR"/>
        </w:rPr>
        <w:tab/>
      </w:r>
      <w:r w:rsidRPr="00420B25">
        <w:rPr>
          <w:lang w:val="fr-FR"/>
        </w:rPr>
        <w:tab/>
        <w:t>Chapitre 4.1</w:t>
      </w:r>
    </w:p>
    <w:p w14:paraId="03717465" w14:textId="77777777" w:rsidR="00994816" w:rsidRPr="00420B25" w:rsidRDefault="00994816" w:rsidP="00994816">
      <w:pPr>
        <w:pStyle w:val="SingleTxtG"/>
        <w:rPr>
          <w:lang w:val="fr-FR"/>
        </w:rPr>
      </w:pPr>
      <w:r w:rsidRPr="00420B25">
        <w:rPr>
          <w:lang w:val="fr-FR"/>
        </w:rPr>
        <w:t>4.1.4.1, P003</w:t>
      </w:r>
      <w:r w:rsidRPr="00420B25">
        <w:rPr>
          <w:lang w:val="fr-FR"/>
        </w:rPr>
        <w:tab/>
        <w:t>Dans le premier amendement, remplacer « P801 (2) » par « P801 ».</w:t>
      </w:r>
    </w:p>
    <w:p w14:paraId="328AF6DF" w14:textId="77777777" w:rsidR="00994816" w:rsidRPr="00420B25" w:rsidRDefault="00994816" w:rsidP="00994816">
      <w:pPr>
        <w:pStyle w:val="SingleTxtG"/>
        <w:rPr>
          <w:i/>
          <w:lang w:val="fr-FR"/>
        </w:rPr>
      </w:pPr>
      <w:r w:rsidRPr="00420B25">
        <w:rPr>
          <w:i/>
          <w:lang w:val="fr-FR"/>
        </w:rPr>
        <w:t>(</w:t>
      </w:r>
      <w:r w:rsidRPr="00420B25">
        <w:rPr>
          <w:i/>
          <w:iCs/>
          <w:lang w:val="fr-FR" w:eastAsia="en-GB"/>
        </w:rPr>
        <w:t xml:space="preserve">Document de référence </w:t>
      </w:r>
      <w:r w:rsidRPr="00420B25">
        <w:rPr>
          <w:i/>
          <w:lang w:val="fr-FR"/>
        </w:rPr>
        <w:t>: document informel INF.27)</w:t>
      </w:r>
    </w:p>
    <w:p w14:paraId="289F8473" w14:textId="4DE03432" w:rsidR="00994816" w:rsidRPr="00632877" w:rsidRDefault="00994816" w:rsidP="00994816">
      <w:pPr>
        <w:pStyle w:val="SingleTxtG"/>
        <w:rPr>
          <w:lang w:val="fr-FR"/>
        </w:rPr>
      </w:pPr>
      <w:r>
        <w:rPr>
          <w:lang w:val="fr-FR"/>
        </w:rPr>
        <w:t>4.1.8.6</w:t>
      </w:r>
      <w:r w:rsidRPr="00632877">
        <w:rPr>
          <w:lang w:val="fr-FR"/>
        </w:rPr>
        <w:tab/>
        <w:t>Supprimer</w:t>
      </w:r>
      <w:r>
        <w:rPr>
          <w:lang w:val="fr-FR"/>
        </w:rPr>
        <w:t xml:space="preserve"> l’amendement</w:t>
      </w:r>
      <w:r w:rsidRPr="00632877">
        <w:rPr>
          <w:lang w:val="fr-FR"/>
        </w:rPr>
        <w:t>.</w:t>
      </w:r>
    </w:p>
    <w:p w14:paraId="0AA8ED86" w14:textId="77777777" w:rsidR="00994816" w:rsidRPr="00632877" w:rsidRDefault="00994816" w:rsidP="00994816">
      <w:pPr>
        <w:pStyle w:val="H23G"/>
        <w:rPr>
          <w:lang w:val="fr-FR"/>
        </w:rPr>
      </w:pPr>
      <w:r w:rsidRPr="00632877">
        <w:rPr>
          <w:lang w:val="fr-FR"/>
        </w:rPr>
        <w:tab/>
      </w:r>
      <w:r w:rsidRPr="00632877">
        <w:rPr>
          <w:lang w:val="fr-FR"/>
        </w:rPr>
        <w:tab/>
        <w:t>Chapitre 5.4</w:t>
      </w:r>
    </w:p>
    <w:p w14:paraId="0DACD492" w14:textId="77777777" w:rsidR="00994816" w:rsidRPr="00632877" w:rsidRDefault="00994816" w:rsidP="00994816">
      <w:pPr>
        <w:pStyle w:val="SingleTxtG"/>
        <w:rPr>
          <w:lang w:val="fr-FR"/>
        </w:rPr>
      </w:pPr>
      <w:r w:rsidRPr="00632877">
        <w:rPr>
          <w:lang w:val="fr-FR"/>
        </w:rPr>
        <w:t>5.4.1.1.1 (k)</w:t>
      </w:r>
      <w:r w:rsidRPr="00632877">
        <w:rPr>
          <w:lang w:val="fr-FR"/>
        </w:rPr>
        <w:tab/>
        <w:t>Re</w:t>
      </w:r>
      <w:r>
        <w:rPr>
          <w:lang w:val="fr-FR"/>
        </w:rPr>
        <w:t>m</w:t>
      </w:r>
      <w:r w:rsidRPr="00632877">
        <w:rPr>
          <w:lang w:val="fr-FR"/>
        </w:rPr>
        <w:t>place</w:t>
      </w:r>
      <w:r>
        <w:rPr>
          <w:lang w:val="fr-FR"/>
        </w:rPr>
        <w:t>r</w:t>
      </w:r>
      <w:r w:rsidRPr="00632877">
        <w:rPr>
          <w:lang w:val="fr-FR"/>
        </w:rPr>
        <w:t xml:space="preserve"> </w:t>
      </w:r>
      <w:r>
        <w:rPr>
          <w:lang w:val="fr-FR"/>
        </w:rPr>
        <w:t>l’</w:t>
      </w:r>
      <w:r w:rsidRPr="00632877">
        <w:rPr>
          <w:lang w:val="fr-FR"/>
        </w:rPr>
        <w:t>amend</w:t>
      </w:r>
      <w:r>
        <w:rPr>
          <w:lang w:val="fr-FR"/>
        </w:rPr>
        <w:t>e</w:t>
      </w:r>
      <w:r w:rsidRPr="00632877">
        <w:rPr>
          <w:lang w:val="fr-FR"/>
        </w:rPr>
        <w:t xml:space="preserve">ment </w:t>
      </w:r>
      <w:r>
        <w:rPr>
          <w:lang w:val="fr-FR"/>
        </w:rPr>
        <w:t>pour lire comme suit</w:t>
      </w:r>
      <w:r w:rsidRPr="00632877">
        <w:rPr>
          <w:lang w:val="fr-FR"/>
        </w:rPr>
        <w:t xml:space="preserve"> :</w:t>
      </w:r>
    </w:p>
    <w:p w14:paraId="3A63A2EE" w14:textId="77777777" w:rsidR="00994816" w:rsidRPr="00632877" w:rsidRDefault="00994816" w:rsidP="00994816">
      <w:pPr>
        <w:pStyle w:val="SingleTxtG"/>
        <w:rPr>
          <w:lang w:val="fr-FR"/>
        </w:rPr>
      </w:pPr>
      <w:r>
        <w:rPr>
          <w:lang w:val="fr-FR"/>
        </w:rPr>
        <w:t>« </w:t>
      </w:r>
      <w:r w:rsidRPr="00632877">
        <w:rPr>
          <w:lang w:val="fr-FR"/>
        </w:rPr>
        <w:t>5.4.1.1.1 (k)</w:t>
      </w:r>
      <w:r w:rsidRPr="00632877">
        <w:rPr>
          <w:lang w:val="fr-FR"/>
        </w:rPr>
        <w:tab/>
      </w:r>
      <w:r>
        <w:rPr>
          <w:lang w:val="fr-FR"/>
        </w:rPr>
        <w:tab/>
      </w:r>
      <w:r w:rsidRPr="00632877">
        <w:rPr>
          <w:lang w:val="fr-FR"/>
        </w:rPr>
        <w:t>Re</w:t>
      </w:r>
      <w:r>
        <w:rPr>
          <w:lang w:val="fr-FR"/>
        </w:rPr>
        <w:t>m</w:t>
      </w:r>
      <w:r w:rsidRPr="00632877">
        <w:rPr>
          <w:lang w:val="fr-FR"/>
        </w:rPr>
        <w:t>place</w:t>
      </w:r>
      <w:r>
        <w:rPr>
          <w:lang w:val="fr-FR"/>
        </w:rPr>
        <w:t>r</w:t>
      </w:r>
      <w:r w:rsidRPr="00632877">
        <w:rPr>
          <w:lang w:val="fr-FR"/>
        </w:rPr>
        <w:t xml:space="preserve"> </w:t>
      </w:r>
      <w:r>
        <w:rPr>
          <w:lang w:val="fr-FR"/>
        </w:rPr>
        <w:t>le paragraphe existant par « </w:t>
      </w:r>
      <w:r w:rsidRPr="00125CA5">
        <w:rPr>
          <w:lang w:val="fr-FR"/>
        </w:rPr>
        <w:t xml:space="preserve">pour le </w:t>
      </w:r>
      <w:r>
        <w:rPr>
          <w:lang w:val="fr-FR"/>
        </w:rPr>
        <w:t xml:space="preserve">transport comportant un </w:t>
      </w:r>
      <w:r w:rsidRPr="00125CA5">
        <w:rPr>
          <w:lang w:val="fr-FR"/>
        </w:rPr>
        <w:t xml:space="preserve">passage </w:t>
      </w:r>
      <w:r w:rsidRPr="00EF60AA">
        <w:rPr>
          <w:lang w:val="fr-FR"/>
        </w:rPr>
        <w:t>dans des tunnels auxquels</w:t>
      </w:r>
      <w:r w:rsidRPr="00125CA5">
        <w:rPr>
          <w:lang w:val="fr-FR"/>
        </w:rPr>
        <w:t xml:space="preserve"> s’appliquent des restrictions au passage de véhicules transportant des marchandises dangereuses, le code de restriction en tunnels en majuscules et entre parenthèses ou la mention « (-) » qui figure dans la colonne (15) du tableau A du chapitre 3.2.</w:t>
      </w:r>
      <w:r>
        <w:rPr>
          <w:lang w:val="fr-FR"/>
        </w:rPr>
        <w:t> ». »</w:t>
      </w:r>
    </w:p>
    <w:p w14:paraId="1B6E5FA7" w14:textId="77777777" w:rsidR="00994816" w:rsidRPr="00825DB6" w:rsidRDefault="00994816" w:rsidP="00994816">
      <w:pPr>
        <w:pStyle w:val="SingleTxtG"/>
      </w:pPr>
      <w:r w:rsidRPr="00825DB6">
        <w:rPr>
          <w:i/>
        </w:rPr>
        <w:t>(</w:t>
      </w:r>
      <w:r w:rsidRPr="00D1751A">
        <w:rPr>
          <w:i/>
          <w:iCs/>
          <w:lang w:val="fr-FR" w:eastAsia="en-GB"/>
        </w:rPr>
        <w:t>Document de référence</w:t>
      </w:r>
      <w:r>
        <w:rPr>
          <w:i/>
          <w:iCs/>
          <w:lang w:val="fr-FR" w:eastAsia="en-GB"/>
        </w:rPr>
        <w:t xml:space="preserve"> </w:t>
      </w:r>
      <w:r w:rsidRPr="00825DB6">
        <w:rPr>
          <w:i/>
        </w:rPr>
        <w:t xml:space="preserve">: </w:t>
      </w:r>
      <w:r>
        <w:rPr>
          <w:i/>
        </w:rPr>
        <w:t>ECE/TRANS/WP.15/2019/20</w:t>
      </w:r>
      <w:r w:rsidRPr="00D16089">
        <w:rPr>
          <w:i/>
          <w:lang w:val="fr-FR"/>
        </w:rPr>
        <w:t>, tel que modifié</w:t>
      </w:r>
      <w:r w:rsidRPr="00825DB6">
        <w:rPr>
          <w:i/>
        </w:rPr>
        <w:t>)</w:t>
      </w:r>
    </w:p>
    <w:p w14:paraId="74583F50" w14:textId="77777777" w:rsidR="00994816" w:rsidRPr="00420B25" w:rsidRDefault="00994816" w:rsidP="00994816">
      <w:pPr>
        <w:pStyle w:val="H23G"/>
        <w:rPr>
          <w:lang w:val="fr-FR"/>
        </w:rPr>
      </w:pPr>
      <w:r w:rsidRPr="00420B25">
        <w:rPr>
          <w:lang w:val="fr-FR"/>
        </w:rPr>
        <w:tab/>
      </w:r>
      <w:r w:rsidRPr="00420B25">
        <w:rPr>
          <w:lang w:val="fr-FR"/>
        </w:rPr>
        <w:tab/>
        <w:t>Chapitre 5.5</w:t>
      </w:r>
    </w:p>
    <w:p w14:paraId="7881E25C" w14:textId="77777777" w:rsidR="00994816" w:rsidRPr="00420B25" w:rsidRDefault="00994816" w:rsidP="00994816">
      <w:pPr>
        <w:pStyle w:val="SingleTxtG"/>
        <w:rPr>
          <w:lang w:val="fr-FR"/>
        </w:rPr>
      </w:pPr>
      <w:r w:rsidRPr="00420B25">
        <w:rPr>
          <w:lang w:val="fr-FR"/>
        </w:rPr>
        <w:t xml:space="preserve">5.5.3.6.1 (a) </w:t>
      </w:r>
      <w:r w:rsidRPr="00420B25">
        <w:rPr>
          <w:lang w:val="fr-FR"/>
        </w:rPr>
        <w:tab/>
        <w:t xml:space="preserve">Remplacer « de neige carbonique, » par « de la neige carbonique (No ONU </w:t>
      </w:r>
      <w:r w:rsidRPr="00C020DA">
        <w:rPr>
          <w:lang w:val="fr-FR"/>
        </w:rPr>
        <w:t xml:space="preserve">1845) </w:t>
      </w:r>
      <w:proofErr w:type="gramStart"/>
      <w:r w:rsidRPr="00C020DA">
        <w:rPr>
          <w:lang w:val="fr-FR"/>
        </w:rPr>
        <w:t>ou »</w:t>
      </w:r>
      <w:proofErr w:type="gramEnd"/>
      <w:r w:rsidRPr="00C020DA">
        <w:rPr>
          <w:lang w:val="fr-FR"/>
        </w:rPr>
        <w:t>.</w:t>
      </w:r>
    </w:p>
    <w:p w14:paraId="29D5DED5" w14:textId="77777777" w:rsidR="00994816" w:rsidRPr="00420B25" w:rsidRDefault="00994816" w:rsidP="00994816">
      <w:pPr>
        <w:pStyle w:val="SingleTxtG"/>
        <w:rPr>
          <w:lang w:val="fr-FR"/>
        </w:rPr>
      </w:pPr>
      <w:r w:rsidRPr="00EE3145">
        <w:rPr>
          <w:lang w:val="fr-FR"/>
        </w:rPr>
        <w:t xml:space="preserve">5.5.3.6.1 (b) </w:t>
      </w:r>
      <w:r w:rsidRPr="00EE3145">
        <w:rPr>
          <w:lang w:val="fr-FR"/>
        </w:rPr>
        <w:tab/>
        <w:t>Remplacer l’amendement pour lire comme sui</w:t>
      </w:r>
      <w:r w:rsidRPr="00420B25">
        <w:rPr>
          <w:lang w:val="fr-FR"/>
        </w:rPr>
        <w:t>t :</w:t>
      </w:r>
    </w:p>
    <w:p w14:paraId="0CD24B27" w14:textId="77777777" w:rsidR="00994816" w:rsidRPr="00420B25" w:rsidRDefault="00994816" w:rsidP="00994816">
      <w:pPr>
        <w:pStyle w:val="SingleTxtG"/>
        <w:rPr>
          <w:lang w:val="fr-FR"/>
        </w:rPr>
      </w:pPr>
      <w:r w:rsidRPr="00420B25">
        <w:rPr>
          <w:lang w:val="fr-FR"/>
        </w:rPr>
        <w:t>« 5.5.3.6.1 (b)</w:t>
      </w:r>
      <w:r w:rsidRPr="00420B25">
        <w:rPr>
          <w:lang w:val="fr-FR"/>
        </w:rPr>
        <w:tab/>
      </w:r>
      <w:r w:rsidRPr="00420B25">
        <w:rPr>
          <w:lang w:val="fr-FR"/>
        </w:rPr>
        <w:tab/>
        <w:t>Remplacer « Les marchandises » par « La neige carbonique (No ONU 1845) ou les marchandises ». »</w:t>
      </w:r>
    </w:p>
    <w:p w14:paraId="7A99CC5D" w14:textId="77777777" w:rsidR="00994816" w:rsidRPr="00420B25" w:rsidRDefault="00994816" w:rsidP="00994816">
      <w:pPr>
        <w:pStyle w:val="H23G"/>
        <w:rPr>
          <w:lang w:val="fr-FR"/>
        </w:rPr>
      </w:pPr>
      <w:r w:rsidRPr="00420B25">
        <w:rPr>
          <w:lang w:val="fr-FR"/>
        </w:rPr>
        <w:tab/>
      </w:r>
      <w:r w:rsidRPr="00420B25">
        <w:rPr>
          <w:lang w:val="fr-FR"/>
        </w:rPr>
        <w:tab/>
        <w:t>Chapitre 6.2</w:t>
      </w:r>
    </w:p>
    <w:p w14:paraId="79420AA3" w14:textId="77777777" w:rsidR="00994816" w:rsidRPr="00420B25" w:rsidRDefault="00994816" w:rsidP="00994816">
      <w:pPr>
        <w:pStyle w:val="SingleTxtG"/>
        <w:rPr>
          <w:lang w:val="fr-FR"/>
        </w:rPr>
      </w:pPr>
      <w:r w:rsidRPr="00420B25">
        <w:rPr>
          <w:lang w:val="fr-FR"/>
        </w:rPr>
        <w:t>Supprimer les crochets (trois fois).</w:t>
      </w:r>
    </w:p>
    <w:p w14:paraId="759EFCFB" w14:textId="77777777" w:rsidR="00994816" w:rsidRPr="00420B25" w:rsidRDefault="00994816" w:rsidP="00994816">
      <w:pPr>
        <w:pStyle w:val="H23G"/>
        <w:rPr>
          <w:lang w:val="fr-FR"/>
        </w:rPr>
      </w:pPr>
      <w:r w:rsidRPr="00420B25">
        <w:rPr>
          <w:lang w:val="fr-FR"/>
        </w:rPr>
        <w:tab/>
      </w:r>
      <w:r w:rsidRPr="00420B25">
        <w:rPr>
          <w:lang w:val="fr-FR"/>
        </w:rPr>
        <w:tab/>
        <w:t>Chapitre 6.7</w:t>
      </w:r>
    </w:p>
    <w:p w14:paraId="6F5C2D6E" w14:textId="77777777" w:rsidR="00994816" w:rsidRPr="00420B25" w:rsidRDefault="00994816" w:rsidP="00994816">
      <w:pPr>
        <w:pStyle w:val="SingleTxtG"/>
        <w:rPr>
          <w:lang w:val="fr-FR"/>
        </w:rPr>
      </w:pPr>
      <w:r w:rsidRPr="00420B25">
        <w:rPr>
          <w:lang w:val="fr-FR"/>
        </w:rPr>
        <w:t>6.7.2.19.6</w:t>
      </w:r>
      <w:r w:rsidRPr="00420B25">
        <w:rPr>
          <w:lang w:val="fr-FR"/>
        </w:rPr>
        <w:tab/>
        <w:t xml:space="preserve">Remplacer </w:t>
      </w:r>
      <w:r>
        <w:rPr>
          <w:lang w:val="fr-FR"/>
        </w:rPr>
        <w:t>« Contrôle, épreuve et remplissage des citernes mobiles » par « Contrôles et épreuves des citernes mobiles et remplissage ».</w:t>
      </w:r>
    </w:p>
    <w:p w14:paraId="3E47C5BA" w14:textId="77777777" w:rsidR="00994816" w:rsidRPr="00420B25" w:rsidRDefault="00994816" w:rsidP="00994816">
      <w:pPr>
        <w:pStyle w:val="SingleTxtG"/>
        <w:rPr>
          <w:lang w:val="fr-FR"/>
        </w:rPr>
      </w:pPr>
      <w:r w:rsidRPr="00420B25">
        <w:rPr>
          <w:lang w:val="fr-FR"/>
        </w:rPr>
        <w:t>6.7.3.15.6</w:t>
      </w:r>
      <w:r w:rsidRPr="00420B25">
        <w:rPr>
          <w:lang w:val="fr-FR"/>
        </w:rPr>
        <w:tab/>
        <w:t xml:space="preserve">Remplacer </w:t>
      </w:r>
      <w:r>
        <w:rPr>
          <w:lang w:val="fr-FR"/>
        </w:rPr>
        <w:t>« Contrôle, épreuve et remplissage des citernes mobiles » par « Contrôles et épreuves des citernes mobiles et remplissage ».</w:t>
      </w:r>
    </w:p>
    <w:p w14:paraId="627958A5" w14:textId="77777777" w:rsidR="00994816" w:rsidRPr="00420B25" w:rsidRDefault="00994816" w:rsidP="00994816">
      <w:pPr>
        <w:pStyle w:val="SingleTxtG"/>
        <w:rPr>
          <w:lang w:val="fr-FR"/>
        </w:rPr>
      </w:pPr>
      <w:r w:rsidRPr="00420B25">
        <w:rPr>
          <w:lang w:val="fr-FR"/>
        </w:rPr>
        <w:lastRenderedPageBreak/>
        <w:t>6.7.4.14.6</w:t>
      </w:r>
      <w:r w:rsidRPr="00420B25">
        <w:rPr>
          <w:lang w:val="fr-FR"/>
        </w:rPr>
        <w:tab/>
        <w:t xml:space="preserve">Remplacer </w:t>
      </w:r>
      <w:r>
        <w:rPr>
          <w:lang w:val="fr-FR"/>
        </w:rPr>
        <w:t>« Contrôle, épreuve et remplissage des citernes mobiles » par « Contrôles et épreuves des citernes mobiles et remplissage ».</w:t>
      </w:r>
    </w:p>
    <w:p w14:paraId="644A973E" w14:textId="77777777" w:rsidR="00994816" w:rsidRPr="00632877" w:rsidRDefault="00994816" w:rsidP="00994816">
      <w:pPr>
        <w:pStyle w:val="H23G"/>
        <w:rPr>
          <w:lang w:val="fr-FR"/>
        </w:rPr>
      </w:pPr>
      <w:r w:rsidRPr="00632877">
        <w:rPr>
          <w:lang w:val="fr-FR"/>
        </w:rPr>
        <w:tab/>
      </w:r>
      <w:r w:rsidRPr="00632877">
        <w:rPr>
          <w:lang w:val="fr-FR"/>
        </w:rPr>
        <w:tab/>
        <w:t>Chapitre 6.8</w:t>
      </w:r>
    </w:p>
    <w:p w14:paraId="1C99158B" w14:textId="77777777" w:rsidR="00994816" w:rsidRPr="00632877" w:rsidRDefault="00994816" w:rsidP="00994816">
      <w:pPr>
        <w:pStyle w:val="SingleTxtG"/>
        <w:rPr>
          <w:lang w:val="fr-FR"/>
        </w:rPr>
      </w:pPr>
      <w:r w:rsidRPr="00632877">
        <w:rPr>
          <w:lang w:val="fr-FR"/>
        </w:rPr>
        <w:t>6.8.2.1.18</w:t>
      </w:r>
      <w:r w:rsidRPr="00632877">
        <w:rPr>
          <w:lang w:val="fr-FR"/>
        </w:rPr>
        <w:tab/>
      </w:r>
      <w:r w:rsidRPr="00632877">
        <w:rPr>
          <w:lang w:val="fr-FR"/>
        </w:rPr>
        <w:tab/>
        <w:t>Supprimer les crochets. Ajouter la phrase suivante à la fin du nouveau texte : « Voir les « Lignes directrices pour l’application de la note de bas de page 3 du 6.8.2.1.18 de l’ADR » sur le site internet du secrétariat de la CEE (http://www.unece.org/trans/danger/danger.html). ».</w:t>
      </w:r>
    </w:p>
    <w:p w14:paraId="37DC3E2D" w14:textId="77777777" w:rsidR="00994816" w:rsidRPr="00632877" w:rsidRDefault="00994816" w:rsidP="00994816">
      <w:pPr>
        <w:pStyle w:val="SingleTxtG"/>
        <w:rPr>
          <w:i/>
          <w:lang w:val="fr-FR"/>
        </w:rPr>
      </w:pPr>
      <w:r w:rsidRPr="00632877">
        <w:rPr>
          <w:i/>
          <w:lang w:val="fr-FR"/>
        </w:rPr>
        <w:t>(</w:t>
      </w:r>
      <w:r w:rsidRPr="00632877">
        <w:rPr>
          <w:i/>
          <w:iCs/>
          <w:lang w:val="fr-FR" w:eastAsia="en-GB"/>
        </w:rPr>
        <w:t xml:space="preserve">Document de référence </w:t>
      </w:r>
      <w:r w:rsidRPr="00632877">
        <w:rPr>
          <w:i/>
          <w:lang w:val="fr-FR"/>
        </w:rPr>
        <w:t>: document informel INF.8, amendement de conséquence)</w:t>
      </w:r>
    </w:p>
    <w:p w14:paraId="1FBC98F9" w14:textId="77777777" w:rsidR="00E71CFA" w:rsidRPr="00A91A7C" w:rsidRDefault="00E71CFA">
      <w:pPr>
        <w:suppressAutoHyphens w:val="0"/>
        <w:kinsoku/>
        <w:overflowPunct/>
        <w:autoSpaceDE/>
        <w:autoSpaceDN/>
        <w:adjustRightInd/>
        <w:snapToGrid/>
        <w:spacing w:after="200" w:line="276" w:lineRule="auto"/>
        <w:rPr>
          <w:lang w:val="fr-FR"/>
        </w:rPr>
      </w:pPr>
    </w:p>
    <w:p w14:paraId="24B97FB1" w14:textId="57883741" w:rsidR="00E71CFA" w:rsidRPr="00A91A7C" w:rsidRDefault="00E71CFA">
      <w:pPr>
        <w:suppressAutoHyphens w:val="0"/>
        <w:kinsoku/>
        <w:overflowPunct/>
        <w:autoSpaceDE/>
        <w:autoSpaceDN/>
        <w:adjustRightInd/>
        <w:snapToGrid/>
        <w:spacing w:after="200" w:line="276" w:lineRule="auto"/>
        <w:rPr>
          <w:lang w:val="fr-FR"/>
        </w:rPr>
      </w:pPr>
      <w:r w:rsidRPr="00A91A7C">
        <w:rPr>
          <w:lang w:val="fr-FR"/>
        </w:rPr>
        <w:br w:type="page"/>
      </w:r>
    </w:p>
    <w:p w14:paraId="33E58BCB" w14:textId="77777777" w:rsidR="00E71CFA" w:rsidRPr="00A91A7C" w:rsidRDefault="00E71CFA" w:rsidP="00E71CFA">
      <w:pPr>
        <w:pStyle w:val="HChG"/>
        <w:spacing w:before="0"/>
        <w:rPr>
          <w:lang w:val="fr-FR"/>
        </w:rPr>
      </w:pPr>
      <w:r w:rsidRPr="00A91A7C">
        <w:rPr>
          <w:lang w:val="fr-FR"/>
        </w:rPr>
        <w:lastRenderedPageBreak/>
        <w:tab/>
        <w:t>Annexe II</w:t>
      </w:r>
    </w:p>
    <w:p w14:paraId="0830C2CA" w14:textId="04B03FAA" w:rsidR="00E71CFA" w:rsidRPr="00A91A7C" w:rsidRDefault="00E71CFA" w:rsidP="00E71CFA">
      <w:pPr>
        <w:pStyle w:val="SingleTxtG"/>
        <w:jc w:val="right"/>
        <w:rPr>
          <w:lang w:val="fr-FR"/>
        </w:rPr>
      </w:pPr>
      <w:r w:rsidRPr="00A91A7C">
        <w:rPr>
          <w:lang w:val="fr-FR"/>
        </w:rPr>
        <w:t>[</w:t>
      </w:r>
      <w:r w:rsidRPr="00A70E01">
        <w:rPr>
          <w:iCs/>
          <w:lang w:val="fr-FR"/>
        </w:rPr>
        <w:t>Original</w:t>
      </w:r>
      <w:r w:rsidR="003C3FBE" w:rsidRPr="00A70E01">
        <w:rPr>
          <w:iCs/>
          <w:lang w:val="fr-FR"/>
        </w:rPr>
        <w:t> </w:t>
      </w:r>
      <w:r w:rsidRPr="00A70E01">
        <w:rPr>
          <w:iCs/>
          <w:lang w:val="fr-FR"/>
        </w:rPr>
        <w:t>: anglais et français</w:t>
      </w:r>
      <w:r w:rsidRPr="00A91A7C">
        <w:rPr>
          <w:lang w:val="fr-FR"/>
        </w:rPr>
        <w:t>]</w:t>
      </w:r>
    </w:p>
    <w:p w14:paraId="4EEB4895" w14:textId="77777777" w:rsidR="00994816" w:rsidRPr="00A91A7C" w:rsidRDefault="00994816" w:rsidP="00994816">
      <w:pPr>
        <w:pStyle w:val="HChG"/>
        <w:rPr>
          <w:lang w:val="fr-FR"/>
        </w:rPr>
      </w:pPr>
      <w:r w:rsidRPr="00A91A7C">
        <w:rPr>
          <w:lang w:val="fr-FR"/>
        </w:rPr>
        <w:tab/>
      </w:r>
      <w:r w:rsidRPr="00A91A7C">
        <w:rPr>
          <w:lang w:val="fr-FR"/>
        </w:rPr>
        <w:tab/>
        <w:t>Ligne directrice pour l’application de la note de bas de page 3 du 6.8.2.1.18 de l’ADR</w:t>
      </w:r>
    </w:p>
    <w:p w14:paraId="334C6DA5" w14:textId="77777777" w:rsidR="00994816" w:rsidRPr="00A91A7C" w:rsidRDefault="00994816" w:rsidP="00994816">
      <w:pPr>
        <w:pStyle w:val="SingleTxtG"/>
        <w:rPr>
          <w:lang w:val="fr-FR"/>
        </w:rPr>
      </w:pPr>
      <w:r w:rsidRPr="00A91A7C">
        <w:rPr>
          <w:lang w:val="fr-FR"/>
        </w:rPr>
        <w:t xml:space="preserve">Afin de garantir la sécurité de la construction des citernes et leur utilisation en toute sécurité conformément à la note de bas de page 3 du 6.8.2.1.18 de l’ADR relative aux formes des sections transversales des réservoirs selon le 6.8.2.1.14 a) de l’ADR, les prescriptions de l’article 6.1 de la future norme EN </w:t>
      </w:r>
      <w:proofErr w:type="gramStart"/>
      <w:r w:rsidRPr="00A91A7C">
        <w:rPr>
          <w:lang w:val="fr-FR"/>
        </w:rPr>
        <w:t>13094:</w:t>
      </w:r>
      <w:proofErr w:type="gramEnd"/>
      <w:r w:rsidRPr="00A91A7C">
        <w:rPr>
          <w:lang w:val="fr-FR"/>
        </w:rPr>
        <w:t>2020 à citer au 6.8.2.6.1 de l’ADR sont reproduites ci-après pour les besoins de la conception et de la construction des citernes selon le 6.8.2.1.14 a) de l’ADR:</w:t>
      </w:r>
    </w:p>
    <w:p w14:paraId="161733E7" w14:textId="77777777" w:rsidR="00994816" w:rsidRPr="00A91A7C" w:rsidRDefault="00994816" w:rsidP="00994816">
      <w:pPr>
        <w:pStyle w:val="H1G"/>
        <w:rPr>
          <w:lang w:val="fr-FR"/>
        </w:rPr>
      </w:pPr>
      <w:r w:rsidRPr="00A91A7C">
        <w:rPr>
          <w:lang w:val="fr-FR"/>
        </w:rPr>
        <w:tab/>
        <w:t>1.</w:t>
      </w:r>
      <w:r w:rsidRPr="00A91A7C">
        <w:rPr>
          <w:lang w:val="fr-FR"/>
        </w:rPr>
        <w:tab/>
        <w:t>Section transversale du réservoir</w:t>
      </w:r>
    </w:p>
    <w:p w14:paraId="132EDA0C" w14:textId="77777777" w:rsidR="00994816" w:rsidRPr="00A91A7C" w:rsidRDefault="00994816" w:rsidP="00994816">
      <w:pPr>
        <w:pStyle w:val="H23G"/>
        <w:rPr>
          <w:lang w:val="fr-FR"/>
        </w:rPr>
      </w:pPr>
      <w:r w:rsidRPr="00A91A7C">
        <w:rPr>
          <w:lang w:val="fr-FR"/>
        </w:rPr>
        <w:tab/>
        <w:t>1.1</w:t>
      </w:r>
      <w:r w:rsidRPr="00A91A7C">
        <w:rPr>
          <w:lang w:val="fr-FR"/>
        </w:rPr>
        <w:tab/>
        <w:t>Généralités</w:t>
      </w:r>
    </w:p>
    <w:p w14:paraId="076FA986" w14:textId="77777777" w:rsidR="00994816" w:rsidRPr="00A91A7C" w:rsidRDefault="00994816" w:rsidP="00994816">
      <w:pPr>
        <w:pStyle w:val="SingleTxtG"/>
        <w:rPr>
          <w:lang w:val="fr-FR"/>
        </w:rPr>
      </w:pPr>
      <w:r w:rsidRPr="00A91A7C">
        <w:rPr>
          <w:lang w:val="fr-FR"/>
        </w:rPr>
        <w:t>Un réservoir peut présenter une section transversale circulaire, elliptique ou autre (y compris quadrangulaire) ou toute combinaison de celles-ci.</w:t>
      </w:r>
    </w:p>
    <w:p w14:paraId="61C71EC4" w14:textId="77777777" w:rsidR="00994816" w:rsidRPr="00A91A7C" w:rsidRDefault="00994816" w:rsidP="00994816">
      <w:pPr>
        <w:pStyle w:val="SingleTxtG"/>
        <w:rPr>
          <w:lang w:val="fr-FR"/>
        </w:rPr>
      </w:pPr>
      <w:r w:rsidRPr="00A91A7C">
        <w:rPr>
          <w:lang w:val="fr-FR"/>
        </w:rPr>
        <w:t>Lorsque la section transversale est une combinaison de différentes formes, l’épaisseur minimale requise de la totalité de la section transversale conformément à l’annexe 1 doit être la plus grande valeur de l’épaisseur minimale requise des formes employées.</w:t>
      </w:r>
    </w:p>
    <w:p w14:paraId="2EF44209" w14:textId="77777777" w:rsidR="00994816" w:rsidRPr="00A91A7C" w:rsidRDefault="00994816" w:rsidP="00994816">
      <w:pPr>
        <w:pStyle w:val="H23G"/>
        <w:rPr>
          <w:lang w:val="fr-FR"/>
        </w:rPr>
      </w:pPr>
      <w:r w:rsidRPr="00A91A7C">
        <w:rPr>
          <w:lang w:val="fr-FR"/>
        </w:rPr>
        <w:tab/>
        <w:t>1.2</w:t>
      </w:r>
      <w:r w:rsidRPr="00A91A7C">
        <w:rPr>
          <w:lang w:val="fr-FR"/>
        </w:rPr>
        <w:tab/>
        <w:t>Exigences pour les réservoirs de section transversale non circulaire</w:t>
      </w:r>
    </w:p>
    <w:p w14:paraId="6B961E45" w14:textId="77777777" w:rsidR="00994816" w:rsidRPr="00A91A7C" w:rsidRDefault="00994816" w:rsidP="00994816">
      <w:pPr>
        <w:pStyle w:val="SingleTxtG"/>
        <w:rPr>
          <w:lang w:val="fr-FR"/>
        </w:rPr>
      </w:pPr>
      <w:r w:rsidRPr="00A91A7C">
        <w:rPr>
          <w:lang w:val="fr-FR"/>
        </w:rPr>
        <w:t>a)</w:t>
      </w:r>
      <w:r w:rsidRPr="00A91A7C">
        <w:rPr>
          <w:lang w:val="fr-FR"/>
        </w:rPr>
        <w:tab/>
        <w:t>le rayon de courbure de la virole ne doit pas être supérieur à 2 m au niveau des côtés et à 3 m au niveau de la partie supérieure et de la partie inférieure ;</w:t>
      </w:r>
    </w:p>
    <w:p w14:paraId="79143672" w14:textId="77777777" w:rsidR="00994816" w:rsidRPr="00A91A7C" w:rsidRDefault="00994816" w:rsidP="00994816">
      <w:pPr>
        <w:pStyle w:val="SingleTxtG"/>
        <w:rPr>
          <w:lang w:val="fr-FR"/>
        </w:rPr>
      </w:pPr>
      <w:r w:rsidRPr="00A91A7C">
        <w:rPr>
          <w:lang w:val="fr-FR"/>
        </w:rPr>
        <w:t>b)</w:t>
      </w:r>
      <w:r w:rsidRPr="00A91A7C">
        <w:rPr>
          <w:lang w:val="fr-FR"/>
        </w:rPr>
        <w:tab/>
        <w:t>un rayon minimal de 200 mm doit relier les courbures supérieure/inférieure et latérale.</w:t>
      </w:r>
    </w:p>
    <w:p w14:paraId="1779BD82" w14:textId="77777777" w:rsidR="00994816" w:rsidRPr="00A91A7C" w:rsidRDefault="00994816" w:rsidP="00994816">
      <w:pPr>
        <w:pStyle w:val="SingleTxtG"/>
        <w:rPr>
          <w:highlight w:val="yellow"/>
          <w:lang w:val="fr-FR" w:eastAsia="de-DE"/>
        </w:rPr>
      </w:pPr>
      <w:r w:rsidRPr="00A91A7C">
        <w:rPr>
          <w:lang w:val="fr-FR" w:eastAsia="de-DE"/>
        </w:rPr>
        <w:tab/>
      </w:r>
      <w:r w:rsidRPr="00A91A7C">
        <w:rPr>
          <w:b/>
          <w:bCs/>
          <w:i/>
          <w:iCs/>
          <w:lang w:val="fr-FR"/>
        </w:rPr>
        <w:t>NOTA :</w:t>
      </w:r>
      <w:r w:rsidRPr="00A91A7C">
        <w:rPr>
          <w:i/>
          <w:iCs/>
          <w:lang w:val="fr-FR"/>
        </w:rPr>
        <w:t xml:space="preserve"> </w:t>
      </w:r>
      <w:r w:rsidRPr="00A91A7C">
        <w:rPr>
          <w:i/>
          <w:iCs/>
          <w:lang w:val="fr-FR" w:eastAsia="de-DE"/>
        </w:rPr>
        <w:t>Le diamètre équivalent pour une section non circulaire doit être calculé à l'aide de la formule</w:t>
      </w:r>
      <w:r w:rsidRPr="00A91A7C">
        <w:rPr>
          <w:lang w:val="fr-FR" w:eastAsia="de-DE"/>
        </w:rPr>
        <w:t xml:space="preserve"> </w:t>
      </w:r>
      <m:oMath>
        <m:r>
          <w:rPr>
            <w:rFonts w:ascii="Cambria Math" w:hAnsi="Cambria Math"/>
            <w:lang w:val="fr-FR" w:eastAsia="de-DE"/>
          </w:rPr>
          <m:t>D=2</m:t>
        </m:r>
        <m:rad>
          <m:radPr>
            <m:degHide m:val="1"/>
            <m:ctrlPr>
              <w:rPr>
                <w:rFonts w:ascii="Cambria Math" w:hAnsi="Cambria Math"/>
                <w:i/>
                <w:lang w:val="fr-FR" w:eastAsia="de-DE"/>
              </w:rPr>
            </m:ctrlPr>
          </m:radPr>
          <m:deg/>
          <m:e>
            <m:f>
              <m:fPr>
                <m:ctrlPr>
                  <w:rPr>
                    <w:rFonts w:ascii="Cambria Math" w:hAnsi="Cambria Math"/>
                    <w:i/>
                    <w:lang w:val="fr-FR" w:eastAsia="de-DE"/>
                  </w:rPr>
                </m:ctrlPr>
              </m:fPr>
              <m:num>
                <m:r>
                  <m:rPr>
                    <m:sty m:val="p"/>
                  </m:rPr>
                  <w:rPr>
                    <w:rFonts w:ascii="Cambria Math" w:hAnsi="Cambria Math"/>
                    <w:lang w:val="fr-FR" w:eastAsia="de-DE"/>
                  </w:rPr>
                  <m:t>S</m:t>
                </m:r>
                <m:r>
                  <m:rPr>
                    <m:sty m:val="p"/>
                  </m:rPr>
                  <w:rPr>
                    <w:rFonts w:ascii="Cambria Math" w:hAnsi="Cambria Math"/>
                    <w:vertAlign w:val="subscript"/>
                    <w:lang w:val="fr-FR" w:eastAsia="de-DE"/>
                  </w:rPr>
                  <m:t>t</m:t>
                </m:r>
              </m:num>
              <m:den>
                <m:r>
                  <w:rPr>
                    <w:rFonts w:ascii="Cambria Math" w:hAnsi="Cambria Math"/>
                    <w:i/>
                    <w:lang w:val="fr-FR" w:eastAsia="de-DE"/>
                  </w:rPr>
                  <w:sym w:font="Symbol" w:char="F070"/>
                </m:r>
              </m:den>
            </m:f>
          </m:e>
        </m:rad>
      </m:oMath>
      <w:r w:rsidRPr="00A91A7C">
        <w:rPr>
          <w:lang w:val="fr-FR" w:eastAsia="de-DE"/>
        </w:rPr>
        <w:t xml:space="preserve"> </w:t>
      </w:r>
      <w:r w:rsidRPr="00A91A7C">
        <w:rPr>
          <w:i/>
          <w:iCs/>
          <w:lang w:val="fr-FR" w:eastAsia="de-DE"/>
        </w:rPr>
        <w:t>où S</w:t>
      </w:r>
      <w:r w:rsidRPr="00A91A7C">
        <w:rPr>
          <w:i/>
          <w:iCs/>
          <w:vertAlign w:val="subscript"/>
          <w:lang w:val="fr-FR" w:eastAsia="de-DE"/>
        </w:rPr>
        <w:t>t</w:t>
      </w:r>
      <w:r w:rsidRPr="00A91A7C">
        <w:rPr>
          <w:vertAlign w:val="subscript"/>
          <w:lang w:val="fr-FR" w:eastAsia="de-DE"/>
        </w:rPr>
        <w:t xml:space="preserve"> </w:t>
      </w:r>
      <w:r w:rsidRPr="00A91A7C">
        <w:rPr>
          <w:lang w:val="fr-FR" w:eastAsia="de-DE"/>
        </w:rPr>
        <w:t xml:space="preserve">= </w:t>
      </w:r>
      <w:r w:rsidRPr="00A91A7C">
        <w:rPr>
          <w:i/>
          <w:iCs/>
          <w:lang w:val="fr-FR" w:eastAsia="de-DE"/>
        </w:rPr>
        <w:t>aire de la section transversale intérieure du réservoir.</w:t>
      </w:r>
    </w:p>
    <w:p w14:paraId="3467F513" w14:textId="77777777" w:rsidR="00994816" w:rsidRPr="00A91A7C" w:rsidRDefault="00994816" w:rsidP="00994816">
      <w:pPr>
        <w:pStyle w:val="H23G"/>
        <w:rPr>
          <w:lang w:val="fr-FR"/>
        </w:rPr>
      </w:pPr>
      <w:r w:rsidRPr="00A91A7C">
        <w:rPr>
          <w:lang w:val="fr-FR"/>
        </w:rPr>
        <w:tab/>
        <w:t>1.3</w:t>
      </w:r>
      <w:r w:rsidRPr="00A91A7C">
        <w:rPr>
          <w:lang w:val="fr-FR"/>
        </w:rPr>
        <w:tab/>
        <w:t>Puisards et autres saillies à l’extérieur du réservoir</w:t>
      </w:r>
    </w:p>
    <w:p w14:paraId="1331B35F" w14:textId="77777777" w:rsidR="00994816" w:rsidRPr="00A91A7C" w:rsidRDefault="00994816" w:rsidP="00994816">
      <w:pPr>
        <w:pStyle w:val="SingleTxtG"/>
        <w:rPr>
          <w:lang w:val="fr-FR"/>
        </w:rPr>
      </w:pPr>
      <w:r w:rsidRPr="00A91A7C">
        <w:rPr>
          <w:lang w:val="fr-FR"/>
        </w:rPr>
        <w:t>1.3.1</w:t>
      </w:r>
      <w:r w:rsidRPr="00A91A7C">
        <w:rPr>
          <w:lang w:val="fr-FR"/>
        </w:rPr>
        <w:tab/>
        <w:t>Les saillies du réservoir au-delà des limites de la section transversale de base dudit réservoir doivent être réduites au minimum et des protections doivent être prévues dans toutes les directions du réservoir, sauf si cette protection est assurée par des éléments du véhicule comme des longerons de châssis, des éléments de la suspension, des essieux, etc. L’aire de la section transversale de chaque saillie ne doit pas dépasser 10 % de l’aire de la section transversale du réservoir en ce point, hors saillie. Si la saillie n’est pas protégée, l’épaisseur ne doit pas être inférieure à celle prescrite pour le réservoir à l’annexe 1. Si la saillie est protégée, l’épaisseur doit être identique à celle du réservoir.</w:t>
      </w:r>
    </w:p>
    <w:p w14:paraId="74BAF257" w14:textId="77777777" w:rsidR="00994816" w:rsidRPr="00A91A7C" w:rsidRDefault="00994816" w:rsidP="00994816">
      <w:pPr>
        <w:pStyle w:val="SingleTxtG"/>
        <w:rPr>
          <w:lang w:val="fr-FR"/>
        </w:rPr>
      </w:pPr>
      <w:r w:rsidRPr="00A91A7C">
        <w:rPr>
          <w:lang w:val="fr-FR"/>
        </w:rPr>
        <w:t>1.3.2</w:t>
      </w:r>
      <w:r w:rsidRPr="00A91A7C">
        <w:rPr>
          <w:lang w:val="fr-FR"/>
        </w:rPr>
        <w:tab/>
        <w:t>Les réservoirs et leurs compartiments peuvent être équipés de puisards et/ou de canalisations intérieures pour :</w:t>
      </w:r>
    </w:p>
    <w:p w14:paraId="42EFE19A" w14:textId="77777777" w:rsidR="00994816" w:rsidRPr="00A91A7C" w:rsidRDefault="00994816" w:rsidP="00994816">
      <w:pPr>
        <w:pStyle w:val="Bullet1G"/>
        <w:rPr>
          <w:lang w:val="fr-FR"/>
        </w:rPr>
      </w:pPr>
      <w:proofErr w:type="gramStart"/>
      <w:r w:rsidRPr="00A91A7C">
        <w:rPr>
          <w:lang w:val="fr-FR"/>
        </w:rPr>
        <w:t>faciliter</w:t>
      </w:r>
      <w:proofErr w:type="gramEnd"/>
      <w:r w:rsidRPr="00A91A7C">
        <w:rPr>
          <w:lang w:val="fr-FR"/>
        </w:rPr>
        <w:t xml:space="preserve"> la vidange complète de la matière transportée ;</w:t>
      </w:r>
    </w:p>
    <w:p w14:paraId="07AE9D4D" w14:textId="77777777" w:rsidR="00994816" w:rsidRPr="00A91A7C" w:rsidRDefault="00994816" w:rsidP="00994816">
      <w:pPr>
        <w:pStyle w:val="Bullet1G"/>
        <w:rPr>
          <w:lang w:val="fr-FR"/>
        </w:rPr>
      </w:pPr>
      <w:proofErr w:type="gramStart"/>
      <w:r w:rsidRPr="00A91A7C">
        <w:rPr>
          <w:lang w:val="fr-FR"/>
        </w:rPr>
        <w:t>faciliter</w:t>
      </w:r>
      <w:proofErr w:type="gramEnd"/>
      <w:r w:rsidRPr="00A91A7C">
        <w:rPr>
          <w:lang w:val="fr-FR"/>
        </w:rPr>
        <w:t xml:space="preserve"> l’écoulement de l’eau embarquée provenant de la matière transportée ; ou</w:t>
      </w:r>
    </w:p>
    <w:p w14:paraId="50D549F8" w14:textId="77777777" w:rsidR="00994816" w:rsidRPr="00A91A7C" w:rsidRDefault="00994816" w:rsidP="00994816">
      <w:pPr>
        <w:pStyle w:val="Bullet1G"/>
        <w:rPr>
          <w:lang w:val="fr-FR"/>
        </w:rPr>
      </w:pPr>
      <w:proofErr w:type="gramStart"/>
      <w:r w:rsidRPr="00A91A7C">
        <w:rPr>
          <w:lang w:val="fr-FR"/>
        </w:rPr>
        <w:t>placer</w:t>
      </w:r>
      <w:proofErr w:type="gramEnd"/>
      <w:r w:rsidRPr="00A91A7C">
        <w:rPr>
          <w:lang w:val="fr-FR"/>
        </w:rPr>
        <w:t xml:space="preserve"> un clapet de fond à distance d’une zone présentant un risque de dommage, par exemple à proximité de la zone d’attelage d’une semi-remorque.</w:t>
      </w:r>
    </w:p>
    <w:p w14:paraId="21839560" w14:textId="77777777" w:rsidR="00994816" w:rsidRPr="00A91A7C" w:rsidRDefault="00994816" w:rsidP="00994816">
      <w:pPr>
        <w:pStyle w:val="SingleTxtG"/>
        <w:rPr>
          <w:lang w:val="fr-FR"/>
        </w:rPr>
      </w:pPr>
      <w:r w:rsidRPr="00A91A7C">
        <w:rPr>
          <w:lang w:val="fr-FR"/>
        </w:rPr>
        <w:t>Les puisards ne doivent pas dépasser de plus de 150 mm du contour du réservoir.</w:t>
      </w:r>
    </w:p>
    <w:p w14:paraId="50063507" w14:textId="77777777" w:rsidR="00994816" w:rsidRPr="00A91A7C" w:rsidRDefault="00994816" w:rsidP="00994816">
      <w:pPr>
        <w:pStyle w:val="SingleTxtG"/>
        <w:rPr>
          <w:lang w:val="fr-FR"/>
        </w:rPr>
      </w:pPr>
      <w:r w:rsidRPr="00A91A7C">
        <w:rPr>
          <w:lang w:val="fr-FR"/>
        </w:rPr>
        <w:t>Les canalisations intérieures et les puisards doivent être fabriqués dans le même matériau que le réservoir auquel ils sont fixés. Des matériaux plats peuvent être utilisés. Leur épaisseur minimale doit être au moins égale à celle du réservoir.</w:t>
      </w:r>
    </w:p>
    <w:p w14:paraId="192D2D61" w14:textId="77777777" w:rsidR="00994816" w:rsidRPr="00A91A7C" w:rsidRDefault="00994816" w:rsidP="00994816">
      <w:pPr>
        <w:pStyle w:val="SingleTxtG"/>
        <w:rPr>
          <w:lang w:val="fr-FR"/>
        </w:rPr>
      </w:pPr>
      <w:r w:rsidRPr="00A91A7C">
        <w:rPr>
          <w:lang w:val="fr-FR"/>
        </w:rPr>
        <w:lastRenderedPageBreak/>
        <w:t>Un puisard peut consister en une section cylindrique verticale associée à des sections de canalisation intérieures ou extérieures afin de permettre la descente de la bride de fixation du clapet de fond.</w:t>
      </w:r>
    </w:p>
    <w:p w14:paraId="7532A1ED" w14:textId="77777777" w:rsidR="00994816" w:rsidRPr="00A91A7C" w:rsidRDefault="00994816" w:rsidP="00994816">
      <w:pPr>
        <w:pStyle w:val="H23G"/>
        <w:rPr>
          <w:lang w:val="fr-FR"/>
        </w:rPr>
      </w:pPr>
      <w:r w:rsidRPr="00A91A7C">
        <w:rPr>
          <w:lang w:val="fr-FR"/>
        </w:rPr>
        <w:tab/>
        <w:t>1.4</w:t>
      </w:r>
      <w:r w:rsidRPr="00A91A7C">
        <w:rPr>
          <w:lang w:val="fr-FR"/>
        </w:rPr>
        <w:tab/>
        <w:t>Sections évidées dans le contour d’un côté ou de la partie basse du réservoir</w:t>
      </w:r>
    </w:p>
    <w:p w14:paraId="327AEA13" w14:textId="77777777" w:rsidR="00994816" w:rsidRPr="00A91A7C" w:rsidRDefault="00994816" w:rsidP="00994816">
      <w:pPr>
        <w:pStyle w:val="H4G"/>
        <w:rPr>
          <w:lang w:val="fr-FR"/>
        </w:rPr>
      </w:pPr>
      <w:r w:rsidRPr="00A91A7C">
        <w:rPr>
          <w:lang w:val="fr-FR"/>
        </w:rPr>
        <w:tab/>
        <w:t>1.4.1</w:t>
      </w:r>
      <w:r w:rsidRPr="00A91A7C">
        <w:rPr>
          <w:lang w:val="fr-FR"/>
        </w:rPr>
        <w:tab/>
        <w:t>Évidements dans un côté pour recevoir des équipements de service</w:t>
      </w:r>
    </w:p>
    <w:p w14:paraId="3072A0D0" w14:textId="77777777" w:rsidR="00994816" w:rsidRPr="00A91A7C" w:rsidRDefault="00994816" w:rsidP="00994816">
      <w:pPr>
        <w:pStyle w:val="SingleTxtG"/>
        <w:rPr>
          <w:lang w:val="fr-FR"/>
        </w:rPr>
      </w:pPr>
      <w:r w:rsidRPr="00A91A7C">
        <w:rPr>
          <w:lang w:val="fr-FR"/>
        </w:rPr>
        <w:t>Les évidements dans un côté prévus pour recevoir des équipements de service, comme des débitmètres, doivent être conçus dans le respect des critères suivants :</w:t>
      </w:r>
    </w:p>
    <w:p w14:paraId="38901119" w14:textId="77777777" w:rsidR="00994816" w:rsidRPr="00A91A7C" w:rsidRDefault="00994816" w:rsidP="00994816">
      <w:pPr>
        <w:pStyle w:val="Bullet1G"/>
        <w:rPr>
          <w:lang w:val="fr-FR"/>
        </w:rPr>
      </w:pPr>
      <w:proofErr w:type="gramStart"/>
      <w:r w:rsidRPr="00A91A7C">
        <w:rPr>
          <w:lang w:val="fr-FR"/>
        </w:rPr>
        <w:t>l’aire</w:t>
      </w:r>
      <w:proofErr w:type="gramEnd"/>
      <w:r w:rsidRPr="00A91A7C">
        <w:rPr>
          <w:lang w:val="fr-FR"/>
        </w:rPr>
        <w:t xml:space="preserve"> transversale totale des évidements en tout point ne doit pas dépasser 20 % de l’aire transversale totale du réservoir sans évidement, à l’endroit où les évidements sont situés ;</w:t>
      </w:r>
    </w:p>
    <w:p w14:paraId="09ECB524" w14:textId="77777777" w:rsidR="00994816" w:rsidRPr="00A91A7C" w:rsidRDefault="00994816" w:rsidP="00994816">
      <w:pPr>
        <w:pStyle w:val="Bullet1G"/>
        <w:rPr>
          <w:lang w:val="fr-FR"/>
        </w:rPr>
      </w:pPr>
      <w:proofErr w:type="gramStart"/>
      <w:r w:rsidRPr="00A91A7C">
        <w:rPr>
          <w:lang w:val="fr-FR"/>
        </w:rPr>
        <w:t>la</w:t>
      </w:r>
      <w:proofErr w:type="gramEnd"/>
      <w:r w:rsidRPr="00A91A7C">
        <w:rPr>
          <w:lang w:val="fr-FR"/>
        </w:rPr>
        <w:t xml:space="preserve"> longueur de l’évidement ne doit pas dépasser 40 % de la longueur du réservoir ou 1 400 mm si cette longueur est inférieure ;</w:t>
      </w:r>
    </w:p>
    <w:p w14:paraId="58EDDD60" w14:textId="77777777" w:rsidR="00994816" w:rsidRPr="00A91A7C" w:rsidRDefault="00994816" w:rsidP="00994816">
      <w:pPr>
        <w:pStyle w:val="Bullet1G"/>
        <w:rPr>
          <w:lang w:val="fr-FR"/>
        </w:rPr>
      </w:pPr>
      <w:proofErr w:type="gramStart"/>
      <w:r w:rsidRPr="00A91A7C">
        <w:rPr>
          <w:lang w:val="fr-FR"/>
        </w:rPr>
        <w:t>la</w:t>
      </w:r>
      <w:proofErr w:type="gramEnd"/>
      <w:r w:rsidRPr="00A91A7C">
        <w:rPr>
          <w:lang w:val="fr-FR"/>
        </w:rPr>
        <w:t xml:space="preserve"> distance minimale entre les côtés de l’évidement et les fonds doit être au moins égale à 200 mm ;</w:t>
      </w:r>
    </w:p>
    <w:p w14:paraId="385287AA" w14:textId="77777777" w:rsidR="00994816" w:rsidRPr="00A91A7C" w:rsidRDefault="00994816" w:rsidP="00994816">
      <w:pPr>
        <w:pStyle w:val="Bullet1G"/>
        <w:rPr>
          <w:lang w:val="fr-FR"/>
        </w:rPr>
      </w:pPr>
      <w:proofErr w:type="gramStart"/>
      <w:r w:rsidRPr="00A91A7C">
        <w:rPr>
          <w:lang w:val="fr-FR"/>
        </w:rPr>
        <w:t>la</w:t>
      </w:r>
      <w:proofErr w:type="gramEnd"/>
      <w:r w:rsidRPr="00A91A7C">
        <w:rPr>
          <w:lang w:val="fr-FR"/>
        </w:rPr>
        <w:t xml:space="preserve"> hauteur et la profondeur de l’évidement ne doivent pas pouvoir se projeter à moins de 50 mm des axes centraux du réservoir ;</w:t>
      </w:r>
    </w:p>
    <w:p w14:paraId="512B4BCA" w14:textId="77777777" w:rsidR="00994816" w:rsidRPr="00A91A7C" w:rsidRDefault="00994816" w:rsidP="00994816">
      <w:pPr>
        <w:pStyle w:val="Bullet1G"/>
        <w:rPr>
          <w:lang w:val="fr-FR"/>
        </w:rPr>
      </w:pPr>
      <w:proofErr w:type="gramStart"/>
      <w:r w:rsidRPr="00A91A7C">
        <w:rPr>
          <w:lang w:val="fr-FR"/>
        </w:rPr>
        <w:t>l’épaisseur</w:t>
      </w:r>
      <w:proofErr w:type="gramEnd"/>
      <w:r w:rsidRPr="00A91A7C">
        <w:rPr>
          <w:lang w:val="fr-FR"/>
        </w:rPr>
        <w:t xml:space="preserve"> ne doit pas être inférieure à celle prescrite à l’annexe 1 ;</w:t>
      </w:r>
    </w:p>
    <w:p w14:paraId="050765B8" w14:textId="77777777" w:rsidR="00994816" w:rsidRPr="00A91A7C" w:rsidRDefault="00994816" w:rsidP="00994816">
      <w:pPr>
        <w:pStyle w:val="Bullet1G"/>
        <w:rPr>
          <w:lang w:val="fr-FR"/>
        </w:rPr>
      </w:pPr>
      <w:proofErr w:type="gramStart"/>
      <w:r w:rsidRPr="00A91A7C">
        <w:rPr>
          <w:lang w:val="fr-FR"/>
        </w:rPr>
        <w:t>les</w:t>
      </w:r>
      <w:proofErr w:type="gramEnd"/>
      <w:r w:rsidRPr="00A91A7C">
        <w:rPr>
          <w:lang w:val="fr-FR"/>
        </w:rPr>
        <w:t xml:space="preserve"> soudures doivent être pleinement pénétrées ou réalisées par assemblages à recouvrement ;</w:t>
      </w:r>
    </w:p>
    <w:p w14:paraId="07D5F573" w14:textId="77777777" w:rsidR="00994816" w:rsidRPr="00A91A7C" w:rsidRDefault="00994816" w:rsidP="00994816">
      <w:pPr>
        <w:pStyle w:val="Bullet1G"/>
        <w:rPr>
          <w:lang w:val="fr-FR"/>
        </w:rPr>
      </w:pPr>
      <w:proofErr w:type="gramStart"/>
      <w:r w:rsidRPr="00A91A7C">
        <w:rPr>
          <w:lang w:val="fr-FR"/>
        </w:rPr>
        <w:t>l’évidement</w:t>
      </w:r>
      <w:proofErr w:type="gramEnd"/>
      <w:r w:rsidRPr="00A91A7C">
        <w:rPr>
          <w:lang w:val="fr-FR"/>
        </w:rPr>
        <w:t xml:space="preserve"> ne doit pas se prolonger au‐delà d’un compartiment ou d’une section du réservoir.</w:t>
      </w:r>
    </w:p>
    <w:p w14:paraId="3635F9B2" w14:textId="77777777" w:rsidR="00994816" w:rsidRPr="00A91A7C" w:rsidRDefault="00994816" w:rsidP="00994816">
      <w:pPr>
        <w:pStyle w:val="SingleTxtG"/>
        <w:rPr>
          <w:lang w:val="fr-FR" w:eastAsia="de-DE"/>
        </w:rPr>
      </w:pPr>
      <w:r w:rsidRPr="00A91A7C">
        <w:rPr>
          <w:lang w:val="fr-FR" w:eastAsia="de-DE"/>
        </w:rPr>
        <w:t>Voir les figures en annexe 2 pour des exemples d’évidements dans un côté.</w:t>
      </w:r>
    </w:p>
    <w:p w14:paraId="4FB8EEFD" w14:textId="77777777" w:rsidR="00994816" w:rsidRPr="00A91A7C" w:rsidRDefault="00994816" w:rsidP="00994816">
      <w:pPr>
        <w:pStyle w:val="H4G"/>
        <w:rPr>
          <w:lang w:val="fr-FR"/>
        </w:rPr>
      </w:pPr>
      <w:r w:rsidRPr="00A91A7C">
        <w:rPr>
          <w:lang w:val="fr-FR"/>
        </w:rPr>
        <w:tab/>
        <w:t>1.4.2</w:t>
      </w:r>
      <w:r w:rsidRPr="00A91A7C">
        <w:rPr>
          <w:lang w:val="fr-FR"/>
        </w:rPr>
        <w:tab/>
        <w:t>Évidements destinés à recevoir des supports de citerne ou d’autres équipements de structure</w:t>
      </w:r>
    </w:p>
    <w:p w14:paraId="04B54B23" w14:textId="77777777" w:rsidR="00994816" w:rsidRPr="00A91A7C" w:rsidRDefault="00994816" w:rsidP="00994816">
      <w:pPr>
        <w:pStyle w:val="SingleTxtG"/>
        <w:rPr>
          <w:lang w:val="fr-FR"/>
        </w:rPr>
      </w:pPr>
      <w:r w:rsidRPr="00A91A7C">
        <w:rPr>
          <w:lang w:val="fr-FR"/>
        </w:rPr>
        <w:t>Les évidements destinés à recevoir des équipements de structure (attelages pour remorques ou semi‐remorques, par exemple) doivent être conçus dans le respect des critères suivants :</w:t>
      </w:r>
    </w:p>
    <w:p w14:paraId="3A102E6B" w14:textId="77777777" w:rsidR="00994816" w:rsidRPr="00A91A7C" w:rsidRDefault="00994816" w:rsidP="00994816">
      <w:pPr>
        <w:pStyle w:val="Bullet1G"/>
        <w:rPr>
          <w:lang w:val="fr-FR"/>
        </w:rPr>
      </w:pPr>
      <w:r w:rsidRPr="00A91A7C">
        <w:rPr>
          <w:lang w:val="fr-FR"/>
        </w:rPr>
        <w:t>L’aire transversale de l’évidement ne doit pas dépasser 30 % de l’aire transversale totale du réservoir sans évidement à l’endroit où il est situé ;</w:t>
      </w:r>
    </w:p>
    <w:p w14:paraId="19D19B43" w14:textId="77777777" w:rsidR="00994816" w:rsidRPr="00A91A7C" w:rsidRDefault="00994816" w:rsidP="00994816">
      <w:pPr>
        <w:pStyle w:val="Bullet1G"/>
        <w:rPr>
          <w:lang w:val="fr-FR"/>
        </w:rPr>
      </w:pPr>
      <w:r w:rsidRPr="00A91A7C">
        <w:rPr>
          <w:lang w:val="fr-FR"/>
        </w:rPr>
        <w:t>La longueur de l’évidement ne doit pas dépasser 35 % de la longueur de la citerne ;</w:t>
      </w:r>
    </w:p>
    <w:p w14:paraId="193E0B65" w14:textId="77777777" w:rsidR="00994816" w:rsidRPr="00A91A7C" w:rsidRDefault="00994816" w:rsidP="00994816">
      <w:pPr>
        <w:pStyle w:val="Bullet1G"/>
        <w:rPr>
          <w:lang w:val="fr-FR"/>
        </w:rPr>
      </w:pPr>
      <w:r w:rsidRPr="00A91A7C">
        <w:rPr>
          <w:lang w:val="fr-FR"/>
        </w:rPr>
        <w:t>L’équipement de service ne doit pas être directement soudé sur une surface concave de l’évidement ;</w:t>
      </w:r>
    </w:p>
    <w:p w14:paraId="7C47E20D" w14:textId="77777777" w:rsidR="00994816" w:rsidRPr="00A91A7C" w:rsidRDefault="00994816" w:rsidP="00994816">
      <w:pPr>
        <w:pStyle w:val="Bullet1G"/>
        <w:rPr>
          <w:lang w:val="fr-FR"/>
        </w:rPr>
      </w:pPr>
      <w:r w:rsidRPr="00A91A7C">
        <w:rPr>
          <w:lang w:val="fr-FR"/>
        </w:rPr>
        <w:t>La soudure doit être pleinement pénétrée ;</w:t>
      </w:r>
    </w:p>
    <w:p w14:paraId="6CB80E0C" w14:textId="77777777" w:rsidR="00994816" w:rsidRPr="00A91A7C" w:rsidRDefault="00994816" w:rsidP="00994816">
      <w:pPr>
        <w:pStyle w:val="Bullet1G"/>
        <w:rPr>
          <w:lang w:val="fr-FR"/>
        </w:rPr>
      </w:pPr>
      <w:r w:rsidRPr="00A91A7C">
        <w:rPr>
          <w:lang w:val="fr-FR"/>
        </w:rPr>
        <w:t>L’épaisseur minimale ne doit pas être inférieure à celle prescrite à l’annexe 1 ;</w:t>
      </w:r>
    </w:p>
    <w:p w14:paraId="6BFFCFFA" w14:textId="77777777" w:rsidR="00994816" w:rsidRPr="00A91A7C" w:rsidRDefault="00994816" w:rsidP="00994816">
      <w:pPr>
        <w:pStyle w:val="Bullet1G"/>
        <w:rPr>
          <w:lang w:val="fr-FR"/>
        </w:rPr>
      </w:pPr>
      <w:r w:rsidRPr="00A91A7C">
        <w:rPr>
          <w:lang w:val="fr-FR"/>
        </w:rPr>
        <w:t>Le joint à l’extrémité de la plaque structurelle du réservoir doit être relié à une cloison dont la conception satisfait aux mêmes critères que celle d’un fond ;</w:t>
      </w:r>
    </w:p>
    <w:p w14:paraId="4FDAA022" w14:textId="77777777" w:rsidR="00994816" w:rsidRPr="00A91A7C" w:rsidRDefault="00994816" w:rsidP="00994816">
      <w:pPr>
        <w:pStyle w:val="Bullet1G"/>
        <w:rPr>
          <w:lang w:val="fr-FR"/>
        </w:rPr>
      </w:pPr>
      <w:r w:rsidRPr="00A91A7C">
        <w:rPr>
          <w:lang w:val="fr-FR"/>
        </w:rPr>
        <w:t>La conception ne doit pas empêcher la vidange complète du produit à transporter. </w:t>
      </w:r>
    </w:p>
    <w:p w14:paraId="113E0B00" w14:textId="77777777" w:rsidR="00994816" w:rsidRPr="00A91A7C" w:rsidRDefault="00994816" w:rsidP="00994816">
      <w:pPr>
        <w:pStyle w:val="SingleTxtG"/>
        <w:rPr>
          <w:lang w:val="fr-FR" w:eastAsia="de-DE"/>
        </w:rPr>
      </w:pPr>
      <w:r w:rsidRPr="00A91A7C">
        <w:rPr>
          <w:lang w:val="fr-FR" w:eastAsia="de-DE"/>
        </w:rPr>
        <w:t>Voir les figures en annexe 3 pour des exemples d’évidements en partie basse.</w:t>
      </w:r>
    </w:p>
    <w:p w14:paraId="1438BFE4" w14:textId="77777777" w:rsidR="00994816" w:rsidRPr="00A91A7C" w:rsidRDefault="00994816" w:rsidP="00994816">
      <w:pPr>
        <w:rPr>
          <w:lang w:val="fr-FR"/>
        </w:rPr>
      </w:pPr>
      <w:r w:rsidRPr="00A91A7C">
        <w:rPr>
          <w:lang w:val="fr-FR"/>
        </w:rPr>
        <w:br w:type="page"/>
      </w:r>
    </w:p>
    <w:p w14:paraId="60264CD7" w14:textId="77777777" w:rsidR="00994816" w:rsidRPr="00A91A7C" w:rsidRDefault="00994816" w:rsidP="00994816">
      <w:pPr>
        <w:pStyle w:val="H1G"/>
        <w:rPr>
          <w:lang w:val="fr-FR"/>
        </w:rPr>
      </w:pPr>
      <w:r w:rsidRPr="00A91A7C">
        <w:rPr>
          <w:lang w:val="fr-FR"/>
        </w:rPr>
        <w:lastRenderedPageBreak/>
        <w:tab/>
      </w:r>
      <w:r w:rsidRPr="00A91A7C">
        <w:rPr>
          <w:lang w:val="fr-FR"/>
        </w:rPr>
        <w:tab/>
        <w:t>Annexe 1</w:t>
      </w:r>
    </w:p>
    <w:p w14:paraId="385ECB18" w14:textId="77777777" w:rsidR="00994816" w:rsidRPr="00A91A7C" w:rsidRDefault="00994816" w:rsidP="00994816">
      <w:pPr>
        <w:pStyle w:val="H1G"/>
        <w:rPr>
          <w:lang w:val="fr-FR"/>
        </w:rPr>
      </w:pPr>
      <w:r>
        <w:rPr>
          <w:lang w:val="fr-FR"/>
        </w:rPr>
        <w:tab/>
      </w:r>
      <w:r>
        <w:rPr>
          <w:lang w:val="fr-FR"/>
        </w:rPr>
        <w:tab/>
      </w:r>
      <w:r w:rsidRPr="00A91A7C">
        <w:rPr>
          <w:lang w:val="fr-FR"/>
        </w:rPr>
        <w:t xml:space="preserve">Article 6.8.1 de la future norme EN </w:t>
      </w:r>
      <w:proofErr w:type="gramStart"/>
      <w:r w:rsidRPr="00A91A7C">
        <w:rPr>
          <w:lang w:val="fr-FR"/>
        </w:rPr>
        <w:t>13094:</w:t>
      </w:r>
      <w:proofErr w:type="gramEnd"/>
      <w:r w:rsidRPr="00A91A7C">
        <w:rPr>
          <w:lang w:val="fr-FR"/>
        </w:rPr>
        <w:t>2020</w:t>
      </w:r>
    </w:p>
    <w:p w14:paraId="27A21C48" w14:textId="77777777" w:rsidR="00994816" w:rsidRPr="00A91A7C" w:rsidRDefault="00994816" w:rsidP="00994816">
      <w:pPr>
        <w:pStyle w:val="H23G"/>
        <w:rPr>
          <w:lang w:val="fr-FR"/>
        </w:rPr>
      </w:pPr>
      <w:bookmarkStart w:id="15" w:name="_Toc6925278"/>
      <w:r w:rsidRPr="00A91A7C">
        <w:rPr>
          <w:lang w:val="fr-FR"/>
        </w:rPr>
        <w:tab/>
      </w:r>
      <w:r w:rsidRPr="00A91A7C">
        <w:rPr>
          <w:lang w:val="fr-FR"/>
        </w:rPr>
        <w:tab/>
        <w:t>Épaisseur minimale du réservoir</w:t>
      </w:r>
      <w:bookmarkEnd w:id="15"/>
    </w:p>
    <w:p w14:paraId="1123B15A" w14:textId="77777777" w:rsidR="00994816" w:rsidRPr="00A91A7C" w:rsidRDefault="00994816" w:rsidP="00994816">
      <w:pPr>
        <w:pStyle w:val="SingleTxtG"/>
        <w:rPr>
          <w:lang w:val="fr-FR"/>
        </w:rPr>
      </w:pPr>
      <w:r w:rsidRPr="00A91A7C">
        <w:rPr>
          <w:lang w:val="fr-FR"/>
        </w:rPr>
        <w:t>L’épaisseur des réservoirs en acier doux (dont la résistance minimale garantie à la rupture par traction est comprise entre 360 N/mm2 et 490 N/mm2) ne doit pas être inférieure aux valeurs suivantes, à moins que les conditions spécifiées dans l’article de l’EN 13094 concernant la « réduction de l’épaisseur du réservoir » ne soient satisfaites :</w:t>
      </w:r>
    </w:p>
    <w:p w14:paraId="21579034" w14:textId="77777777" w:rsidR="00994816" w:rsidRPr="00A91A7C" w:rsidRDefault="00994816" w:rsidP="00994816">
      <w:pPr>
        <w:pStyle w:val="Bullet1G"/>
        <w:rPr>
          <w:lang w:val="fr-FR"/>
        </w:rPr>
      </w:pPr>
      <w:r w:rsidRPr="00A91A7C">
        <w:rPr>
          <w:lang w:val="fr-FR"/>
        </w:rPr>
        <w:t>5 mm si le diamètre du réservoir ne dépasse pas 1,8 m ;</w:t>
      </w:r>
    </w:p>
    <w:p w14:paraId="3743F1CF" w14:textId="77777777" w:rsidR="00994816" w:rsidRPr="00A91A7C" w:rsidRDefault="00994816" w:rsidP="00994816">
      <w:pPr>
        <w:pStyle w:val="Bullet1G"/>
        <w:rPr>
          <w:lang w:val="fr-FR"/>
        </w:rPr>
      </w:pPr>
      <w:r w:rsidRPr="00A91A7C">
        <w:rPr>
          <w:lang w:val="fr-FR"/>
        </w:rPr>
        <w:t>6 mm si le diamètre du réservoir dépasse 1,8 m (sauf dans le cas de réservoirs destinés au transport de matières pulvérulentes ou granulaires).</w:t>
      </w:r>
    </w:p>
    <w:p w14:paraId="44A060A6" w14:textId="77777777" w:rsidR="00994816" w:rsidRPr="00A91A7C" w:rsidRDefault="00994816" w:rsidP="00994816">
      <w:pPr>
        <w:pStyle w:val="SingleTxtG"/>
        <w:rPr>
          <w:lang w:val="fr-FR"/>
        </w:rPr>
      </w:pPr>
      <w:r w:rsidRPr="00A91A7C">
        <w:rPr>
          <w:lang w:val="fr-FR"/>
        </w:rPr>
        <w:t>Pour les réservoirs non circulaires, un diamètre équivalent doit être calculé sur la base de l’aire de la section transversale. Pour les réservoirs dont les sections comprennent des aires transversales différentes, des diamètres équivalents doivent être calculés pour chaque section.</w:t>
      </w:r>
    </w:p>
    <w:p w14:paraId="57A8A0F6" w14:textId="77777777" w:rsidR="00994816" w:rsidRPr="00A91A7C" w:rsidRDefault="00994816" w:rsidP="00994816">
      <w:pPr>
        <w:pStyle w:val="SingleTxtG"/>
        <w:rPr>
          <w:lang w:val="fr-FR"/>
        </w:rPr>
      </w:pPr>
      <w:r w:rsidRPr="00A91A7C">
        <w:rPr>
          <w:lang w:val="fr-FR"/>
        </w:rPr>
        <w:t>Pour les réservoirs coniques, le plus grand diamètre ou le plus grand diamètre équivalent de la section doit être utilisé dans le calcul de l’épaisseur minimale de la section du réservoir.</w:t>
      </w:r>
    </w:p>
    <w:p w14:paraId="7B33E357" w14:textId="77777777" w:rsidR="00994816" w:rsidRPr="00A91A7C" w:rsidRDefault="00994816" w:rsidP="00994816">
      <w:pPr>
        <w:pStyle w:val="SingleTxtG"/>
        <w:rPr>
          <w:lang w:val="fr-FR"/>
        </w:rPr>
      </w:pPr>
      <w:r w:rsidRPr="00A91A7C">
        <w:rPr>
          <w:lang w:val="fr-FR"/>
        </w:rPr>
        <w:t>Si le réservoir est fabriqué dans un autre matériau, l’épaisseur minimale équivalente doit être déterminée selon la Formule (3) :</w:t>
      </w:r>
    </w:p>
    <w:bookmarkStart w:id="16" w:name="_Hlk25330195"/>
    <w:p w14:paraId="10A588FA" w14:textId="77777777" w:rsidR="00994816" w:rsidRPr="00A91A7C" w:rsidRDefault="00994816" w:rsidP="00994816">
      <w:pPr>
        <w:pStyle w:val="SingleTxtG"/>
        <w:ind w:left="1985"/>
        <w:rPr>
          <w:lang w:val="fr-FR"/>
        </w:rPr>
      </w:pPr>
      <w:r w:rsidRPr="00A91A7C">
        <w:rPr>
          <w:position w:val="-42"/>
          <w:szCs w:val="24"/>
          <w:lang w:val="fr-FR"/>
        </w:rPr>
        <w:object w:dxaOrig="1520" w:dyaOrig="800" w14:anchorId="04FB0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55pt" o:ole="">
            <v:imagedata r:id="rId8" o:title=""/>
          </v:shape>
          <o:OLEObject Type="Embed" ProgID="Equation.DSMT4" ShapeID="_x0000_i1025" DrawAspect="Content" ObjectID="_1636280270" r:id="rId9"/>
        </w:object>
      </w:r>
    </w:p>
    <w:bookmarkEnd w:id="16"/>
    <w:p w14:paraId="3984A8C6" w14:textId="77777777" w:rsidR="00994816" w:rsidRPr="00A91A7C" w:rsidRDefault="00994816" w:rsidP="00994816">
      <w:pPr>
        <w:pStyle w:val="SingleTxtG"/>
        <w:rPr>
          <w:lang w:val="fr-FR"/>
        </w:rPr>
      </w:pPr>
      <w:r w:rsidRPr="00A91A7C">
        <w:rPr>
          <w:lang w:val="fr-FR"/>
        </w:rPr>
        <w:t>Lorsque l’épaisseur du réservoir est augmentée pour permettre le transport de matières corrosives, cette épaisseur supplémentaire ne doit pas être prise en considération dans le calcul de l’épaisseur minimale du réservoir.</w:t>
      </w:r>
    </w:p>
    <w:p w14:paraId="314B987C" w14:textId="77777777" w:rsidR="00994816" w:rsidRPr="00A91A7C" w:rsidRDefault="00994816" w:rsidP="00994816">
      <w:pPr>
        <w:pStyle w:val="SingleTxtG"/>
        <w:rPr>
          <w:lang w:val="fr-FR"/>
        </w:rPr>
      </w:pPr>
      <w:r w:rsidRPr="00A91A7C">
        <w:rPr>
          <w:lang w:val="fr-FR"/>
        </w:rPr>
        <w:t>L’épaisseur minimale réelle ne doit pas être inférieure à l’épaisseur minimale absolue présentée dans le tableau du 6.8.2.1.19 de l’ADR.</w:t>
      </w:r>
    </w:p>
    <w:p w14:paraId="3C259DBF" w14:textId="77777777" w:rsidR="00994816" w:rsidRPr="00A91A7C" w:rsidRDefault="00994816" w:rsidP="00994816">
      <w:pPr>
        <w:pStyle w:val="HChG"/>
        <w:rPr>
          <w:b w:val="0"/>
          <w:lang w:val="fr-FR"/>
        </w:rPr>
      </w:pPr>
      <w:r w:rsidRPr="00A91A7C">
        <w:rPr>
          <w:lang w:val="fr-FR"/>
        </w:rPr>
        <w:tab/>
      </w:r>
      <w:r w:rsidRPr="00A91A7C">
        <w:rPr>
          <w:lang w:val="fr-FR"/>
        </w:rPr>
        <w:tab/>
      </w:r>
      <w:r w:rsidRPr="00A91A7C">
        <w:rPr>
          <w:lang w:val="fr-FR"/>
        </w:rPr>
        <w:br w:type="page"/>
      </w:r>
    </w:p>
    <w:p w14:paraId="0A2173EB" w14:textId="77777777" w:rsidR="00994816" w:rsidRPr="00A91A7C" w:rsidRDefault="00994816" w:rsidP="00994816">
      <w:pPr>
        <w:pStyle w:val="H1G"/>
        <w:rPr>
          <w:lang w:val="fr-FR"/>
        </w:rPr>
      </w:pPr>
      <w:r w:rsidRPr="00A91A7C">
        <w:rPr>
          <w:lang w:val="fr-FR"/>
        </w:rPr>
        <w:lastRenderedPageBreak/>
        <w:tab/>
      </w:r>
      <w:r w:rsidRPr="00A91A7C">
        <w:rPr>
          <w:lang w:val="fr-FR"/>
        </w:rPr>
        <w:tab/>
      </w:r>
      <w:r w:rsidRPr="00A91A7C">
        <w:rPr>
          <w:lang w:val="fr-FR"/>
        </w:rPr>
        <w:tab/>
        <w:t>Annexe 2</w:t>
      </w:r>
    </w:p>
    <w:p w14:paraId="4068B572" w14:textId="77777777" w:rsidR="00994816" w:rsidRPr="00A91A7C" w:rsidRDefault="00994816" w:rsidP="00994816">
      <w:pPr>
        <w:pStyle w:val="H1G"/>
        <w:rPr>
          <w:lang w:val="fr-FR"/>
        </w:rPr>
      </w:pPr>
      <w:r>
        <w:rPr>
          <w:lang w:val="fr-FR"/>
        </w:rPr>
        <w:tab/>
      </w:r>
      <w:r>
        <w:rPr>
          <w:lang w:val="fr-FR"/>
        </w:rPr>
        <w:tab/>
      </w:r>
      <w:r w:rsidRPr="00A91A7C">
        <w:rPr>
          <w:lang w:val="fr-FR"/>
        </w:rPr>
        <w:t>Exemples d’évidement dans un côté</w:t>
      </w:r>
    </w:p>
    <w:p w14:paraId="0C059D4D" w14:textId="77777777" w:rsidR="00994816" w:rsidRPr="00A91A7C" w:rsidRDefault="00994816" w:rsidP="00994816">
      <w:pPr>
        <w:pStyle w:val="SingleTxtG"/>
        <w:spacing w:before="240" w:after="0"/>
        <w:jc w:val="left"/>
        <w:rPr>
          <w:b/>
          <w:sz w:val="28"/>
          <w:lang w:val="fr-FR"/>
        </w:rPr>
      </w:pPr>
    </w:p>
    <w:p w14:paraId="4E704001" w14:textId="77777777" w:rsidR="00994816" w:rsidRPr="00A91A7C" w:rsidRDefault="00994816" w:rsidP="00994816">
      <w:pPr>
        <w:rPr>
          <w:lang w:val="fr-FR"/>
        </w:rPr>
      </w:pPr>
    </w:p>
    <w:p w14:paraId="43544692" w14:textId="77777777" w:rsidR="00994816" w:rsidRPr="00A91A7C" w:rsidRDefault="00994816" w:rsidP="00994816">
      <w:pPr>
        <w:rPr>
          <w:sz w:val="24"/>
          <w:szCs w:val="24"/>
          <w:lang w:val="fr-FR"/>
        </w:rPr>
      </w:pPr>
      <w:r w:rsidRPr="00A91A7C">
        <w:rPr>
          <w:noProof/>
          <w:sz w:val="24"/>
          <w:szCs w:val="24"/>
          <w:lang w:val="fr-FR" w:eastAsia="fr-FR"/>
        </w:rPr>
        <mc:AlternateContent>
          <mc:Choice Requires="wpg">
            <w:drawing>
              <wp:inline distT="0" distB="0" distL="0" distR="0" wp14:anchorId="058A8CC0" wp14:editId="2F4663EA">
                <wp:extent cx="6410529" cy="2062480"/>
                <wp:effectExtent l="0" t="0" r="0" b="0"/>
                <wp:docPr id="53" name="Groupe 53"/>
                <wp:cNvGraphicFramePr/>
                <a:graphic xmlns:a="http://schemas.openxmlformats.org/drawingml/2006/main">
                  <a:graphicData uri="http://schemas.microsoft.com/office/word/2010/wordprocessingGroup">
                    <wpg:wgp>
                      <wpg:cNvGrpSpPr/>
                      <wpg:grpSpPr>
                        <a:xfrm>
                          <a:off x="0" y="0"/>
                          <a:ext cx="6410529" cy="2062480"/>
                          <a:chOff x="-101600" y="37536"/>
                          <a:chExt cx="6544418" cy="2062480"/>
                        </a:xfrm>
                      </wpg:grpSpPr>
                      <pic:pic xmlns:pic="http://schemas.openxmlformats.org/drawingml/2006/picture">
                        <pic:nvPicPr>
                          <pic:cNvPr id="24" name="Image 2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3418743" y="37536"/>
                            <a:ext cx="2037080" cy="2062480"/>
                          </a:xfrm>
                          <a:prstGeom prst="rect">
                            <a:avLst/>
                          </a:prstGeom>
                        </pic:spPr>
                      </pic:pic>
                      <pic:pic xmlns:pic="http://schemas.openxmlformats.org/drawingml/2006/picture">
                        <pic:nvPicPr>
                          <pic:cNvPr id="26" name="Image 2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349858" y="39757"/>
                            <a:ext cx="2122805" cy="2040890"/>
                          </a:xfrm>
                          <a:prstGeom prst="rect">
                            <a:avLst/>
                          </a:prstGeom>
                        </pic:spPr>
                      </pic:pic>
                      <wps:wsp>
                        <wps:cNvPr id="33" name="Zone de texte 33"/>
                        <wps:cNvSpPr txBox="1"/>
                        <wps:spPr>
                          <a:xfrm>
                            <a:off x="914233" y="39749"/>
                            <a:ext cx="2019467" cy="500380"/>
                          </a:xfrm>
                          <a:prstGeom prst="rect">
                            <a:avLst/>
                          </a:prstGeom>
                          <a:solidFill>
                            <a:schemeClr val="lt1"/>
                          </a:solidFill>
                          <a:ln w="6350">
                            <a:noFill/>
                          </a:ln>
                        </wps:spPr>
                        <wps:txbx>
                          <w:txbxContent>
                            <w:p w14:paraId="2C8F8FEE" w14:textId="77777777" w:rsidR="00B246F6" w:rsidRPr="000B7345" w:rsidRDefault="00B246F6" w:rsidP="00994816">
                              <w:pPr>
                                <w:rPr>
                                  <w:sz w:val="24"/>
                                  <w:szCs w:val="24"/>
                                </w:rPr>
                              </w:pPr>
                              <w:r w:rsidRPr="000B7345">
                                <w:rPr>
                                  <w:sz w:val="24"/>
                                  <w:szCs w:val="24"/>
                                </w:rPr>
                                <w:t>Paroi du réservoir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Connecteur droit avec flèche 34"/>
                        <wps:cNvCnPr/>
                        <wps:spPr>
                          <a:xfrm flipH="1">
                            <a:off x="674205" y="230588"/>
                            <a:ext cx="294005" cy="1428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5" name="Zone de texte 35"/>
                        <wps:cNvSpPr txBox="1"/>
                        <wps:spPr>
                          <a:xfrm>
                            <a:off x="4118889" y="50048"/>
                            <a:ext cx="1943097" cy="500380"/>
                          </a:xfrm>
                          <a:prstGeom prst="rect">
                            <a:avLst/>
                          </a:prstGeom>
                          <a:solidFill>
                            <a:schemeClr val="lt1"/>
                          </a:solidFill>
                          <a:ln w="6350">
                            <a:noFill/>
                          </a:ln>
                        </wps:spPr>
                        <wps:txbx>
                          <w:txbxContent>
                            <w:p w14:paraId="1A91628C" w14:textId="77777777" w:rsidR="00B246F6" w:rsidRPr="000B7345" w:rsidRDefault="00B246F6" w:rsidP="00994816">
                              <w:pPr>
                                <w:rPr>
                                  <w:sz w:val="24"/>
                                  <w:szCs w:val="24"/>
                                </w:rPr>
                              </w:pPr>
                              <w:r w:rsidRPr="000B7345">
                                <w:rPr>
                                  <w:sz w:val="24"/>
                                  <w:szCs w:val="24"/>
                                </w:rPr>
                                <w:t>Paroi du réservoir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Connecteur droit avec flèche 36"/>
                        <wps:cNvCnPr/>
                        <wps:spPr>
                          <a:xfrm flipH="1">
                            <a:off x="3885507" y="278648"/>
                            <a:ext cx="294005" cy="14287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7" name="Zone de texte 37"/>
                        <wps:cNvSpPr txBox="1"/>
                        <wps:spPr>
                          <a:xfrm>
                            <a:off x="1901847" y="1054005"/>
                            <a:ext cx="845294" cy="468000"/>
                          </a:xfrm>
                          <a:prstGeom prst="rect">
                            <a:avLst/>
                          </a:prstGeom>
                          <a:solidFill>
                            <a:schemeClr val="lt1"/>
                          </a:solidFill>
                          <a:ln w="6350">
                            <a:noFill/>
                          </a:ln>
                        </wps:spPr>
                        <wps:txbx>
                          <w:txbxContent>
                            <w:p w14:paraId="567E5A77" w14:textId="77777777" w:rsidR="00B246F6" w:rsidRDefault="00B246F6" w:rsidP="00994816">
                              <w:pPr>
                                <w:rPr>
                                  <w:sz w:val="24"/>
                                  <w:szCs w:val="24"/>
                                </w:rPr>
                              </w:pPr>
                              <w:r w:rsidRPr="000B7345">
                                <w:rPr>
                                  <w:sz w:val="24"/>
                                  <w:szCs w:val="24"/>
                                </w:rPr>
                                <w:t>P</w:t>
                              </w:r>
                              <w:r>
                                <w:rPr>
                                  <w:sz w:val="24"/>
                                  <w:szCs w:val="24"/>
                                </w:rPr>
                                <w:t>aroi du</w:t>
                              </w:r>
                            </w:p>
                            <w:p w14:paraId="48617D9E" w14:textId="77777777" w:rsidR="00B246F6" w:rsidRPr="000B7345" w:rsidRDefault="00B246F6" w:rsidP="00994816">
                              <w:pPr>
                                <w:rPr>
                                  <w:sz w:val="24"/>
                                  <w:szCs w:val="24"/>
                                </w:rPr>
                              </w:pPr>
                              <w:r w:rsidRPr="000B7345">
                                <w:rPr>
                                  <w:sz w:val="24"/>
                                  <w:szCs w:val="24"/>
                                </w:rPr>
                                <w:t>réservoir</w:t>
                              </w:r>
                            </w:p>
                            <w:p w14:paraId="5F1CEFF0" w14:textId="77777777" w:rsidR="00B246F6" w:rsidRPr="002E2713" w:rsidRDefault="00B246F6" w:rsidP="0099481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Connecteur droit avec flèche 38"/>
                        <wps:cNvCnPr/>
                        <wps:spPr>
                          <a:xfrm flipH="1">
                            <a:off x="1779436" y="1399430"/>
                            <a:ext cx="165127" cy="29419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9" name="Zone de texte 39"/>
                        <wps:cNvSpPr txBox="1"/>
                        <wps:spPr>
                          <a:xfrm>
                            <a:off x="4935991" y="1294836"/>
                            <a:ext cx="1506827" cy="349748"/>
                          </a:xfrm>
                          <a:prstGeom prst="rect">
                            <a:avLst/>
                          </a:prstGeom>
                          <a:solidFill>
                            <a:schemeClr val="lt1"/>
                          </a:solidFill>
                          <a:ln w="6350">
                            <a:noFill/>
                          </a:ln>
                        </wps:spPr>
                        <wps:txbx>
                          <w:txbxContent>
                            <w:p w14:paraId="742DA659" w14:textId="77777777" w:rsidR="00B246F6" w:rsidRPr="000B7345" w:rsidRDefault="00B246F6" w:rsidP="00994816">
                              <w:pPr>
                                <w:rPr>
                                  <w:sz w:val="24"/>
                                  <w:szCs w:val="24"/>
                                  <w:lang w:val="fr-FR"/>
                                </w:rPr>
                              </w:pPr>
                              <w:r w:rsidRPr="000B7345">
                                <w:rPr>
                                  <w:sz w:val="24"/>
                                  <w:szCs w:val="24"/>
                                  <w:lang w:val="fr-FR"/>
                                </w:rPr>
                                <w:t>P</w:t>
                              </w:r>
                              <w:r>
                                <w:rPr>
                                  <w:sz w:val="24"/>
                                  <w:szCs w:val="24"/>
                                  <w:lang w:val="fr-FR"/>
                                </w:rPr>
                                <w:t>aroi du</w:t>
                              </w:r>
                              <w:r w:rsidRPr="000B7345">
                                <w:rPr>
                                  <w:sz w:val="24"/>
                                  <w:szCs w:val="24"/>
                                  <w:lang w:val="fr-FR"/>
                                </w:rPr>
                                <w:t xml:space="preserve"> réservoir</w:t>
                              </w:r>
                            </w:p>
                            <w:p w14:paraId="16538E35" w14:textId="77777777" w:rsidR="00B246F6" w:rsidRPr="000B7345" w:rsidRDefault="00B246F6" w:rsidP="00994816">
                              <w:pPr>
                                <w:rPr>
                                  <w:sz w:val="32"/>
                                  <w:szCs w:val="32"/>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Connecteur droit avec flèche 40"/>
                        <wps:cNvCnPr/>
                        <wps:spPr>
                          <a:xfrm flipH="1">
                            <a:off x="5052416" y="1535948"/>
                            <a:ext cx="68028" cy="278296"/>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1" name="Zone de texte 41"/>
                        <wps:cNvSpPr txBox="1"/>
                        <wps:spPr>
                          <a:xfrm>
                            <a:off x="-101600" y="1255526"/>
                            <a:ext cx="1310198" cy="585584"/>
                          </a:xfrm>
                          <a:prstGeom prst="rect">
                            <a:avLst/>
                          </a:prstGeom>
                          <a:solidFill>
                            <a:schemeClr val="lt1"/>
                          </a:solidFill>
                          <a:ln w="6350">
                            <a:noFill/>
                          </a:ln>
                        </wps:spPr>
                        <wps:txbx>
                          <w:txbxContent>
                            <w:p w14:paraId="1E83540F" w14:textId="77777777" w:rsidR="00B246F6" w:rsidRPr="000B7345" w:rsidRDefault="00B246F6" w:rsidP="00994816">
                              <w:pPr>
                                <w:rPr>
                                  <w:sz w:val="24"/>
                                  <w:szCs w:val="24"/>
                                </w:rPr>
                              </w:pPr>
                              <w:r w:rsidRPr="000B7345">
                                <w:rPr>
                                  <w:sz w:val="24"/>
                                  <w:szCs w:val="24"/>
                                </w:rPr>
                                <w:t>E</w:t>
                              </w:r>
                              <w:r>
                                <w:rPr>
                                  <w:sz w:val="24"/>
                                  <w:szCs w:val="24"/>
                                </w:rPr>
                                <w:t>videment dans un cô</w:t>
                              </w:r>
                              <w:r w:rsidRPr="000B7345">
                                <w:rPr>
                                  <w:sz w:val="24"/>
                                  <w:szCs w:val="24"/>
                                </w:rPr>
                                <w:t>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Connecteur droit avec flèche 42"/>
                        <wps:cNvCnPr/>
                        <wps:spPr>
                          <a:xfrm flipV="1">
                            <a:off x="1113183" y="1039965"/>
                            <a:ext cx="432904" cy="391271"/>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43" name="Zone de texte 43"/>
                        <wps:cNvSpPr txBox="1"/>
                        <wps:spPr>
                          <a:xfrm>
                            <a:off x="3185354" y="1307348"/>
                            <a:ext cx="1318095" cy="632507"/>
                          </a:xfrm>
                          <a:prstGeom prst="rect">
                            <a:avLst/>
                          </a:prstGeom>
                          <a:solidFill>
                            <a:schemeClr val="lt1"/>
                          </a:solidFill>
                          <a:ln w="6350">
                            <a:noFill/>
                          </a:ln>
                        </wps:spPr>
                        <wps:txbx>
                          <w:txbxContent>
                            <w:p w14:paraId="2F3C7DE5" w14:textId="77777777" w:rsidR="00B246F6" w:rsidRPr="0038553A" w:rsidRDefault="00B246F6" w:rsidP="00994816">
                              <w:pPr>
                                <w:rPr>
                                  <w:sz w:val="24"/>
                                  <w:szCs w:val="24"/>
                                </w:rPr>
                              </w:pPr>
                              <w:r w:rsidRPr="0038553A">
                                <w:rPr>
                                  <w:sz w:val="24"/>
                                  <w:szCs w:val="24"/>
                                  <w:lang w:val="fr-FR"/>
                                </w:rPr>
                                <w:t>Evidement dans</w:t>
                              </w:r>
                            </w:p>
                            <w:p w14:paraId="3EB687BE" w14:textId="77777777" w:rsidR="00B246F6" w:rsidRPr="0038553A" w:rsidRDefault="00B246F6" w:rsidP="00994816">
                              <w:pPr>
                                <w:rPr>
                                  <w:sz w:val="24"/>
                                  <w:szCs w:val="24"/>
                                  <w:lang w:val="fr-FR"/>
                                </w:rPr>
                              </w:pPr>
                              <w:r w:rsidRPr="0038553A">
                                <w:rPr>
                                  <w:sz w:val="24"/>
                                  <w:szCs w:val="24"/>
                                  <w:lang w:val="fr-FR"/>
                                </w:rPr>
                                <w:t>un côté</w:t>
                              </w:r>
                            </w:p>
                            <w:p w14:paraId="7B825DC9" w14:textId="77777777" w:rsidR="00B246F6" w:rsidRPr="0038553A" w:rsidRDefault="00B246F6" w:rsidP="00994816">
                              <w:pPr>
                                <w:rPr>
                                  <w:sz w:val="24"/>
                                  <w:szCs w:val="24"/>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Connecteur droit avec flèche 44"/>
                        <wps:cNvCnPr/>
                        <wps:spPr>
                          <a:xfrm flipV="1">
                            <a:off x="4352271" y="1193048"/>
                            <a:ext cx="432435" cy="39116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g:wgp>
                  </a:graphicData>
                </a:graphic>
              </wp:inline>
            </w:drawing>
          </mc:Choice>
          <mc:Fallback>
            <w:pict>
              <v:group w14:anchorId="058A8CC0" id="Groupe 53" o:spid="_x0000_s1026" style="width:504.75pt;height:162.4pt;mso-position-horizontal-relative:char;mso-position-vertical-relative:line" coordorigin="-1016,375" coordsize="65444,20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">
                <v:shape id="Image 24" o:spid="_x0000_s1027" type="#_x0000_t75" style="position:absolute;left:34187;top:375;width:20371;height:20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">
                  <v:imagedata r:id="rId12" o:title=""/>
                </v:shape>
                <v:shape id="Image 26" o:spid="_x0000_s1028" type="#_x0000_t75" style="position:absolute;left:3498;top:397;width:21228;height:204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">
                  <v:imagedata r:id="rId13" o:title=""/>
                </v:shape>
                <v:shapetype id="_x0000_t202" coordsize="21600,21600" o:spt="202" path="m,l,21600r21600,l21600,xe">
                  <v:stroke joinstyle="miter"/>
                  <v:path gradientshapeok="t" o:connecttype="rect"/>
                </v:shapetype>
                <v:shape id="Zone de texte 33" o:spid="_x0000_s1029" type="#_x0000_t202" style="position:absolute;left:9142;top:397;width:20195;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" fillcolor="white [3201]" stroked="f" strokeweight=".5pt">
                  <v:textbox>
                    <w:txbxContent>
                      <w:p w14:paraId="2C8F8FEE" w14:textId="77777777" w:rsidR="00B246F6" w:rsidRPr="000B7345" w:rsidRDefault="00B246F6" w:rsidP="00994816">
                        <w:pPr>
                          <w:rPr>
                            <w:sz w:val="24"/>
                            <w:szCs w:val="24"/>
                          </w:rPr>
                        </w:pPr>
                        <w:r w:rsidRPr="000B7345">
                          <w:rPr>
                            <w:sz w:val="24"/>
                            <w:szCs w:val="24"/>
                          </w:rPr>
                          <w:t>Paroi du réservoir</w:t>
                        </w:r>
                      </w:p>
                    </w:txbxContent>
                  </v:textbox>
                </v:shape>
                <v:shapetype id="_x0000_t32" coordsize="21600,21600" o:spt="32" o:oned="t" path="m,l21600,21600e" filled="f">
                  <v:path arrowok="t" fillok="f" o:connecttype="none"/>
                  <o:lock v:ext="edit" shapetype="t"/>
                </v:shapetype>
                <v:shape id="Connecteur droit avec flèche 34" o:spid="_x0000_s1030" type="#_x0000_t32" style="position:absolute;left:6742;top:2305;width:2940;height:1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" strokecolor="black [3200]" strokeweight="2pt">
                  <v:stroke endarrow="block"/>
                  <v:shadow on="t" color="black" opacity="24903f" origin=",.5" offset="0,.55556mm"/>
                </v:shape>
                <v:shape id="Zone de texte 35" o:spid="_x0000_s1031" type="#_x0000_t202" style="position:absolute;left:41188;top:500;width:19431;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" fillcolor="white [3201]" stroked="f" strokeweight=".5pt">
                  <v:textbox>
                    <w:txbxContent>
                      <w:p w14:paraId="1A91628C" w14:textId="77777777" w:rsidR="00B246F6" w:rsidRPr="000B7345" w:rsidRDefault="00B246F6" w:rsidP="00994816">
                        <w:pPr>
                          <w:rPr>
                            <w:sz w:val="24"/>
                            <w:szCs w:val="24"/>
                          </w:rPr>
                        </w:pPr>
                        <w:r w:rsidRPr="000B7345">
                          <w:rPr>
                            <w:sz w:val="24"/>
                            <w:szCs w:val="24"/>
                          </w:rPr>
                          <w:t>Paroi du réservoir</w:t>
                        </w:r>
                      </w:p>
                    </w:txbxContent>
                  </v:textbox>
                </v:shape>
                <v:shape id="Connecteur droit avec flèche 36" o:spid="_x0000_s1032" type="#_x0000_t32" style="position:absolute;left:38855;top:2786;width:2940;height:14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" strokecolor="black [3200]" strokeweight="2pt">
                  <v:stroke endarrow="block"/>
                  <v:shadow on="t" color="black" opacity="24903f" origin=",.5" offset="0,.55556mm"/>
                </v:shape>
                <v:shape id="Zone de texte 37" o:spid="_x0000_s1033" type="#_x0000_t202" style="position:absolute;left:19018;top:10540;width:8453;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" fillcolor="white [3201]" stroked="f" strokeweight=".5pt">
                  <v:textbox>
                    <w:txbxContent>
                      <w:p w14:paraId="567E5A77" w14:textId="77777777" w:rsidR="00B246F6" w:rsidRDefault="00B246F6" w:rsidP="00994816">
                        <w:pPr>
                          <w:rPr>
                            <w:sz w:val="24"/>
                            <w:szCs w:val="24"/>
                          </w:rPr>
                        </w:pPr>
                        <w:r w:rsidRPr="000B7345">
                          <w:rPr>
                            <w:sz w:val="24"/>
                            <w:szCs w:val="24"/>
                          </w:rPr>
                          <w:t>P</w:t>
                        </w:r>
                        <w:r>
                          <w:rPr>
                            <w:sz w:val="24"/>
                            <w:szCs w:val="24"/>
                          </w:rPr>
                          <w:t>aroi du</w:t>
                        </w:r>
                      </w:p>
                      <w:p w14:paraId="48617D9E" w14:textId="77777777" w:rsidR="00B246F6" w:rsidRPr="000B7345" w:rsidRDefault="00B246F6" w:rsidP="00994816">
                        <w:pPr>
                          <w:rPr>
                            <w:sz w:val="24"/>
                            <w:szCs w:val="24"/>
                          </w:rPr>
                        </w:pPr>
                        <w:r w:rsidRPr="000B7345">
                          <w:rPr>
                            <w:sz w:val="24"/>
                            <w:szCs w:val="24"/>
                          </w:rPr>
                          <w:t>réservoir</w:t>
                        </w:r>
                      </w:p>
                      <w:p w14:paraId="5F1CEFF0" w14:textId="77777777" w:rsidR="00B246F6" w:rsidRPr="002E2713" w:rsidRDefault="00B246F6" w:rsidP="00994816">
                        <w:pPr>
                          <w:rPr>
                            <w:sz w:val="32"/>
                            <w:szCs w:val="32"/>
                          </w:rPr>
                        </w:pPr>
                      </w:p>
                    </w:txbxContent>
                  </v:textbox>
                </v:shape>
                <v:shape id="Connecteur droit avec flèche 38" o:spid="_x0000_s1034" type="#_x0000_t32" style="position:absolute;left:17794;top:13994;width:1651;height:29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" strokecolor="black [3200]" strokeweight="2pt">
                  <v:stroke endarrow="block"/>
                  <v:shadow on="t" color="black" opacity="24903f" origin=",.5" offset="0,.55556mm"/>
                </v:shape>
                <v:shape id="Zone de texte 39" o:spid="_x0000_s1035" type="#_x0000_t202" style="position:absolute;left:49359;top:12948;width:15069;height:3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" fillcolor="white [3201]" stroked="f" strokeweight=".5pt">
                  <v:textbox>
                    <w:txbxContent>
                      <w:p w14:paraId="742DA659" w14:textId="77777777" w:rsidR="00B246F6" w:rsidRPr="000B7345" w:rsidRDefault="00B246F6" w:rsidP="00994816">
                        <w:pPr>
                          <w:rPr>
                            <w:sz w:val="24"/>
                            <w:szCs w:val="24"/>
                            <w:lang w:val="fr-FR"/>
                          </w:rPr>
                        </w:pPr>
                        <w:r w:rsidRPr="000B7345">
                          <w:rPr>
                            <w:sz w:val="24"/>
                            <w:szCs w:val="24"/>
                            <w:lang w:val="fr-FR"/>
                          </w:rPr>
                          <w:t>P</w:t>
                        </w:r>
                        <w:r>
                          <w:rPr>
                            <w:sz w:val="24"/>
                            <w:szCs w:val="24"/>
                            <w:lang w:val="fr-FR"/>
                          </w:rPr>
                          <w:t>aroi du</w:t>
                        </w:r>
                        <w:r w:rsidRPr="000B7345">
                          <w:rPr>
                            <w:sz w:val="24"/>
                            <w:szCs w:val="24"/>
                            <w:lang w:val="fr-FR"/>
                          </w:rPr>
                          <w:t xml:space="preserve"> réservoir</w:t>
                        </w:r>
                      </w:p>
                      <w:p w14:paraId="16538E35" w14:textId="77777777" w:rsidR="00B246F6" w:rsidRPr="000B7345" w:rsidRDefault="00B246F6" w:rsidP="00994816">
                        <w:pPr>
                          <w:rPr>
                            <w:sz w:val="32"/>
                            <w:szCs w:val="32"/>
                            <w:lang w:val="fr-FR"/>
                          </w:rPr>
                        </w:pPr>
                      </w:p>
                    </w:txbxContent>
                  </v:textbox>
                </v:shape>
                <v:shape id="Connecteur droit avec flèche 40" o:spid="_x0000_s1036" type="#_x0000_t32" style="position:absolute;left:50524;top:15359;width:680;height:278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" strokecolor="black [3200]" strokeweight="2pt">
                  <v:stroke endarrow="block"/>
                  <v:shadow on="t" color="black" opacity="24903f" origin=",.5" offset="0,.55556mm"/>
                </v:shape>
                <v:shape id="Zone de texte 41" o:spid="_x0000_s1037" type="#_x0000_t202" style="position:absolute;left:-1016;top:12555;width:13101;height:5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1E83540F" w14:textId="77777777" w:rsidR="00B246F6" w:rsidRPr="000B7345" w:rsidRDefault="00B246F6" w:rsidP="00994816">
                        <w:pPr>
                          <w:rPr>
                            <w:sz w:val="24"/>
                            <w:szCs w:val="24"/>
                          </w:rPr>
                        </w:pPr>
                        <w:r w:rsidRPr="000B7345">
                          <w:rPr>
                            <w:sz w:val="24"/>
                            <w:szCs w:val="24"/>
                          </w:rPr>
                          <w:t>E</w:t>
                        </w:r>
                        <w:r>
                          <w:rPr>
                            <w:sz w:val="24"/>
                            <w:szCs w:val="24"/>
                          </w:rPr>
                          <w:t>videment dans un cô</w:t>
                        </w:r>
                        <w:r w:rsidRPr="000B7345">
                          <w:rPr>
                            <w:sz w:val="24"/>
                            <w:szCs w:val="24"/>
                          </w:rPr>
                          <w:t>té</w:t>
                        </w:r>
                      </w:p>
                    </w:txbxContent>
                  </v:textbox>
                </v:shape>
                <v:shape id="Connecteur droit avec flèche 42" o:spid="_x0000_s1038" type="#_x0000_t32" style="position:absolute;left:11131;top:10399;width:4329;height:391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" strokecolor="black [3200]" strokeweight="2pt">
                  <v:stroke endarrow="block"/>
                  <v:shadow on="t" color="black" opacity="24903f" origin=",.5" offset="0,.55556mm"/>
                </v:shape>
                <v:shape id="Zone de texte 43" o:spid="_x0000_s1039" type="#_x0000_t202" style="position:absolute;left:31853;top:13073;width:13181;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" fillcolor="white [3201]" stroked="f" strokeweight=".5pt">
                  <v:textbox>
                    <w:txbxContent>
                      <w:p w14:paraId="2F3C7DE5" w14:textId="77777777" w:rsidR="00B246F6" w:rsidRPr="0038553A" w:rsidRDefault="00B246F6" w:rsidP="00994816">
                        <w:pPr>
                          <w:rPr>
                            <w:sz w:val="24"/>
                            <w:szCs w:val="24"/>
                          </w:rPr>
                        </w:pPr>
                        <w:r w:rsidRPr="0038553A">
                          <w:rPr>
                            <w:sz w:val="24"/>
                            <w:szCs w:val="24"/>
                            <w:lang w:val="fr-FR"/>
                          </w:rPr>
                          <w:t>Evidement dans</w:t>
                        </w:r>
                      </w:p>
                      <w:p w14:paraId="3EB687BE" w14:textId="77777777" w:rsidR="00B246F6" w:rsidRPr="0038553A" w:rsidRDefault="00B246F6" w:rsidP="00994816">
                        <w:pPr>
                          <w:rPr>
                            <w:sz w:val="24"/>
                            <w:szCs w:val="24"/>
                            <w:lang w:val="fr-FR"/>
                          </w:rPr>
                        </w:pPr>
                        <w:r w:rsidRPr="0038553A">
                          <w:rPr>
                            <w:sz w:val="24"/>
                            <w:szCs w:val="24"/>
                            <w:lang w:val="fr-FR"/>
                          </w:rPr>
                          <w:t>un côté</w:t>
                        </w:r>
                      </w:p>
                      <w:p w14:paraId="7B825DC9" w14:textId="77777777" w:rsidR="00B246F6" w:rsidRPr="0038553A" w:rsidRDefault="00B246F6" w:rsidP="00994816">
                        <w:pPr>
                          <w:rPr>
                            <w:sz w:val="24"/>
                            <w:szCs w:val="24"/>
                            <w:lang w:val="fr-FR"/>
                          </w:rPr>
                        </w:pPr>
                      </w:p>
                    </w:txbxContent>
                  </v:textbox>
                </v:shape>
                <v:shape id="Connecteur droit avec flèche 44" o:spid="_x0000_s1040" type="#_x0000_t32" style="position:absolute;left:43522;top:11930;width:4325;height:391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" strokecolor="black [3200]" strokeweight="2pt">
                  <v:stroke endarrow="block"/>
                  <v:shadow on="t" color="black" opacity="24903f" origin=",.5" offset="0,.55556mm"/>
                </v:shape>
                <w10:anchorlock/>
              </v:group>
            </w:pict>
          </mc:Fallback>
        </mc:AlternateContent>
      </w:r>
    </w:p>
    <w:p w14:paraId="13243193" w14:textId="77777777" w:rsidR="00994816" w:rsidRPr="00A91A7C" w:rsidRDefault="00994816" w:rsidP="00994816">
      <w:pPr>
        <w:rPr>
          <w:b/>
          <w:sz w:val="24"/>
          <w:szCs w:val="24"/>
          <w:lang w:val="fr-FR"/>
        </w:rPr>
      </w:pPr>
    </w:p>
    <w:p w14:paraId="6E8E8268" w14:textId="77777777" w:rsidR="00994816" w:rsidRPr="00A91A7C" w:rsidRDefault="00994816" w:rsidP="00994816">
      <w:pPr>
        <w:rPr>
          <w:b/>
          <w:sz w:val="28"/>
          <w:lang w:val="fr-FR"/>
        </w:rPr>
      </w:pPr>
    </w:p>
    <w:p w14:paraId="6C2DBDD9" w14:textId="77777777" w:rsidR="00994816" w:rsidRPr="00A91A7C" w:rsidRDefault="00994816" w:rsidP="00994816">
      <w:pPr>
        <w:rPr>
          <w:b/>
          <w:sz w:val="28"/>
          <w:lang w:val="fr-FR"/>
        </w:rPr>
      </w:pPr>
      <w:r w:rsidRPr="00A91A7C">
        <w:rPr>
          <w:b/>
          <w:sz w:val="28"/>
          <w:lang w:val="fr-FR"/>
        </w:rPr>
        <w:br w:type="page"/>
      </w:r>
    </w:p>
    <w:p w14:paraId="31D92797" w14:textId="77777777" w:rsidR="00994816" w:rsidRPr="00A91A7C" w:rsidRDefault="00994816" w:rsidP="00994816">
      <w:pPr>
        <w:pStyle w:val="H1G"/>
        <w:rPr>
          <w:lang w:val="fr-FR"/>
        </w:rPr>
      </w:pPr>
      <w:r w:rsidRPr="00A91A7C">
        <w:rPr>
          <w:lang w:val="fr-FR"/>
        </w:rPr>
        <w:lastRenderedPageBreak/>
        <w:tab/>
      </w:r>
      <w:r w:rsidRPr="00A91A7C">
        <w:rPr>
          <w:lang w:val="fr-FR"/>
        </w:rPr>
        <w:tab/>
        <w:t>Annexe 3</w:t>
      </w:r>
    </w:p>
    <w:p w14:paraId="72D0AC23" w14:textId="77777777" w:rsidR="00994816" w:rsidRPr="00A91A7C" w:rsidRDefault="00994816" w:rsidP="00994816">
      <w:pPr>
        <w:pStyle w:val="H1G"/>
        <w:rPr>
          <w:lang w:val="fr-FR"/>
        </w:rPr>
      </w:pPr>
      <w:r>
        <w:rPr>
          <w:lang w:val="fr-FR"/>
        </w:rPr>
        <w:tab/>
      </w:r>
      <w:r>
        <w:rPr>
          <w:lang w:val="fr-FR"/>
        </w:rPr>
        <w:tab/>
      </w:r>
      <w:r w:rsidRPr="00A91A7C">
        <w:rPr>
          <w:lang w:val="fr-FR"/>
        </w:rPr>
        <w:t>Exemple d’évidement en partie basse</w:t>
      </w:r>
    </w:p>
    <w:p w14:paraId="4A68A437" w14:textId="77777777" w:rsidR="00994816" w:rsidRPr="00A91A7C" w:rsidRDefault="00994816" w:rsidP="00994816">
      <w:pPr>
        <w:pStyle w:val="SingleTxtG"/>
        <w:spacing w:after="0"/>
        <w:jc w:val="left"/>
        <w:rPr>
          <w:lang w:val="fr-FR"/>
        </w:rPr>
      </w:pPr>
    </w:p>
    <w:p w14:paraId="2B70A23B" w14:textId="77777777" w:rsidR="00994816" w:rsidRPr="00A91A7C" w:rsidRDefault="00994816" w:rsidP="00994816">
      <w:pPr>
        <w:jc w:val="center"/>
        <w:rPr>
          <w:lang w:val="fr-FR"/>
        </w:rPr>
      </w:pPr>
    </w:p>
    <w:p w14:paraId="1B0C7984" w14:textId="77777777" w:rsidR="00994816" w:rsidRPr="00A91A7C" w:rsidRDefault="00994816" w:rsidP="00994816">
      <w:pPr>
        <w:jc w:val="center"/>
        <w:rPr>
          <w:lang w:val="fr-FR"/>
        </w:rPr>
      </w:pPr>
      <w:r w:rsidRPr="00A91A7C">
        <w:rPr>
          <w:noProof/>
          <w:lang w:val="fr-FR" w:eastAsia="fr-FR"/>
        </w:rPr>
        <mc:AlternateContent>
          <mc:Choice Requires="wpg">
            <w:drawing>
              <wp:inline distT="0" distB="0" distL="0" distR="0" wp14:anchorId="3A73CA65" wp14:editId="07285BFD">
                <wp:extent cx="5057622" cy="2594681"/>
                <wp:effectExtent l="0" t="0" r="0" b="0"/>
                <wp:docPr id="56" name="Groupe 56"/>
                <wp:cNvGraphicFramePr/>
                <a:graphic xmlns:a="http://schemas.openxmlformats.org/drawingml/2006/main">
                  <a:graphicData uri="http://schemas.microsoft.com/office/word/2010/wordprocessingGroup">
                    <wpg:wgp>
                      <wpg:cNvGrpSpPr/>
                      <wpg:grpSpPr>
                        <a:xfrm>
                          <a:off x="0" y="0"/>
                          <a:ext cx="5057622" cy="2594681"/>
                          <a:chOff x="475649" y="-74939"/>
                          <a:chExt cx="5529807" cy="2594681"/>
                        </a:xfrm>
                      </wpg:grpSpPr>
                      <pic:pic xmlns:pic="http://schemas.openxmlformats.org/drawingml/2006/picture">
                        <pic:nvPicPr>
                          <pic:cNvPr id="27" name="Image 27"/>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475649" y="-74939"/>
                            <a:ext cx="3721735" cy="2163445"/>
                          </a:xfrm>
                          <a:prstGeom prst="rect">
                            <a:avLst/>
                          </a:prstGeom>
                        </pic:spPr>
                      </pic:pic>
                      <wps:wsp>
                        <wps:cNvPr id="12" name="Zone de texte 12"/>
                        <wps:cNvSpPr txBox="1"/>
                        <wps:spPr>
                          <a:xfrm>
                            <a:off x="4290610" y="372596"/>
                            <a:ext cx="1714846" cy="396054"/>
                          </a:xfrm>
                          <a:prstGeom prst="rect">
                            <a:avLst/>
                          </a:prstGeom>
                          <a:solidFill>
                            <a:schemeClr val="lt1"/>
                          </a:solidFill>
                          <a:ln w="6350">
                            <a:noFill/>
                          </a:ln>
                        </wps:spPr>
                        <wps:txbx>
                          <w:txbxContent>
                            <w:p w14:paraId="5354D916" w14:textId="77777777" w:rsidR="00B246F6" w:rsidRPr="00D01A4E" w:rsidRDefault="00B246F6" w:rsidP="00994816">
                              <w:pPr>
                                <w:rPr>
                                  <w:sz w:val="24"/>
                                  <w:szCs w:val="24"/>
                                </w:rPr>
                              </w:pPr>
                              <w:r w:rsidRPr="00D01A4E">
                                <w:rPr>
                                  <w:sz w:val="24"/>
                                  <w:szCs w:val="24"/>
                                </w:rPr>
                                <w:t>Paroi du réservoir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Zone de texte 28"/>
                        <wps:cNvSpPr txBox="1"/>
                        <wps:spPr>
                          <a:xfrm>
                            <a:off x="1626382" y="2176842"/>
                            <a:ext cx="2864803" cy="342900"/>
                          </a:xfrm>
                          <a:prstGeom prst="rect">
                            <a:avLst/>
                          </a:prstGeom>
                          <a:solidFill>
                            <a:schemeClr val="lt1"/>
                          </a:solidFill>
                          <a:ln w="6350">
                            <a:noFill/>
                          </a:ln>
                        </wps:spPr>
                        <wps:txbx>
                          <w:txbxContent>
                            <w:p w14:paraId="7918FE93" w14:textId="77777777" w:rsidR="00B246F6" w:rsidRPr="00296989" w:rsidRDefault="00B246F6" w:rsidP="00994816">
                              <w:pPr>
                                <w:rPr>
                                  <w:bCs/>
                                  <w:sz w:val="24"/>
                                  <w:szCs w:val="24"/>
                                  <w:lang w:val="fr-FR"/>
                                </w:rPr>
                              </w:pPr>
                              <w:r w:rsidRPr="00296989">
                                <w:rPr>
                                  <w:bCs/>
                                  <w:sz w:val="24"/>
                                  <w:szCs w:val="24"/>
                                  <w:lang w:val="fr-FR"/>
                                </w:rPr>
                                <w:t>Evidement en partie basse du réservoir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Connecteur droit avec flèche 29"/>
                        <wps:cNvCnPr/>
                        <wps:spPr>
                          <a:xfrm flipH="1">
                            <a:off x="4062006" y="601243"/>
                            <a:ext cx="294198" cy="14312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wps:wsp>
                        <wps:cNvPr id="31" name="Connecteur droit avec flèche 31"/>
                        <wps:cNvCnPr/>
                        <wps:spPr>
                          <a:xfrm>
                            <a:off x="2312340" y="1834325"/>
                            <a:ext cx="0" cy="357809"/>
                          </a:xfrm>
                          <a:prstGeom prst="straightConnector1">
                            <a:avLst/>
                          </a:prstGeom>
                          <a:ln>
                            <a:headEnd type="triangle" w="med" len="med"/>
                            <a:tailEnd type="none" w="med" len="med"/>
                          </a:ln>
                        </wps:spPr>
                        <wps:style>
                          <a:lnRef idx="2">
                            <a:schemeClr val="dk1"/>
                          </a:lnRef>
                          <a:fillRef idx="0">
                            <a:schemeClr val="dk1"/>
                          </a:fillRef>
                          <a:effectRef idx="1">
                            <a:schemeClr val="dk1"/>
                          </a:effectRef>
                          <a:fontRef idx="minor">
                            <a:schemeClr val="tx1"/>
                          </a:fontRef>
                        </wps:style>
                        <wps:bodyPr/>
                      </wps:wsp>
                    </wpg:wgp>
                  </a:graphicData>
                </a:graphic>
              </wp:inline>
            </w:drawing>
          </mc:Choice>
          <mc:Fallback>
            <w:pict>
              <v:group w14:anchorId="3A73CA65" id="Groupe 56" o:spid="_x0000_s1041" style="width:398.25pt;height:204.3pt;mso-position-horizontal-relative:char;mso-position-vertical-relative:line" coordorigin="4756,-749" coordsize="55298,259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">
                <v:shape id="Image 27" o:spid="_x0000_s1042" type="#_x0000_t75" style="position:absolute;left:4756;top:-749;width:37217;height:2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">
                  <v:imagedata r:id="rId15" o:title=""/>
                </v:shape>
                <v:shape id="Zone de texte 12" o:spid="_x0000_s1043" type="#_x0000_t202" style="position:absolute;left:42906;top:3725;width:17148;height:39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5354D916" w14:textId="77777777" w:rsidR="00B246F6" w:rsidRPr="00D01A4E" w:rsidRDefault="00B246F6" w:rsidP="00994816">
                        <w:pPr>
                          <w:rPr>
                            <w:sz w:val="24"/>
                            <w:szCs w:val="24"/>
                          </w:rPr>
                        </w:pPr>
                        <w:r w:rsidRPr="00D01A4E">
                          <w:rPr>
                            <w:sz w:val="24"/>
                            <w:szCs w:val="24"/>
                          </w:rPr>
                          <w:t>Paroi du réservoir</w:t>
                        </w:r>
                      </w:p>
                    </w:txbxContent>
                  </v:textbox>
                </v:shape>
                <v:shape id="Zone de texte 28" o:spid="_x0000_s1044" type="#_x0000_t202" style="position:absolute;left:16263;top:21768;width:286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14:paraId="7918FE93" w14:textId="77777777" w:rsidR="00B246F6" w:rsidRPr="00296989" w:rsidRDefault="00B246F6" w:rsidP="00994816">
                        <w:pPr>
                          <w:rPr>
                            <w:bCs/>
                            <w:sz w:val="24"/>
                            <w:szCs w:val="24"/>
                            <w:lang w:val="fr-FR"/>
                          </w:rPr>
                        </w:pPr>
                        <w:r w:rsidRPr="00296989">
                          <w:rPr>
                            <w:bCs/>
                            <w:sz w:val="24"/>
                            <w:szCs w:val="24"/>
                            <w:lang w:val="fr-FR"/>
                          </w:rPr>
                          <w:t>Evidement en partie basse du réservoir</w:t>
                        </w:r>
                      </w:p>
                    </w:txbxContent>
                  </v:textbox>
                </v:shape>
                <v:shape id="Connecteur droit avec flèche 29" o:spid="_x0000_s1045" type="#_x0000_t32" style="position:absolute;left:40620;top:6012;width:2942;height:143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" strokecolor="black [3200]" strokeweight="2pt">
                  <v:stroke endarrow="block"/>
                  <v:shadow on="t" color="black" opacity="24903f" origin=",.5" offset="0,.55556mm"/>
                </v:shape>
                <v:shape id="Connecteur droit avec flèche 31" o:spid="_x0000_s1046" type="#_x0000_t32" style="position:absolute;left:23123;top:18343;width:0;height:3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" strokecolor="black [3200]" strokeweight="2pt">
                  <v:stroke startarrow="block"/>
                  <v:shadow on="t" color="black" opacity="24903f" origin=",.5" offset="0,.55556mm"/>
                </v:shape>
                <w10:anchorlock/>
              </v:group>
            </w:pict>
          </mc:Fallback>
        </mc:AlternateContent>
      </w:r>
    </w:p>
    <w:p w14:paraId="489E8CC0" w14:textId="77777777" w:rsidR="00994816" w:rsidRPr="00A91A7C" w:rsidRDefault="00994816" w:rsidP="00994816">
      <w:pPr>
        <w:pStyle w:val="SingleTxtG"/>
        <w:rPr>
          <w:i/>
          <w:lang w:val="fr-FR"/>
        </w:rPr>
      </w:pPr>
      <w:r w:rsidRPr="00A91A7C">
        <w:rPr>
          <w:i/>
          <w:lang w:val="fr-FR"/>
        </w:rPr>
        <w:t>(Document de référence : document informel INF.8)</w:t>
      </w:r>
    </w:p>
    <w:p w14:paraId="03CBA035" w14:textId="2075D458" w:rsidR="00C1626B" w:rsidRPr="00A91A7C" w:rsidRDefault="00420702" w:rsidP="00420702">
      <w:pPr>
        <w:spacing w:before="240"/>
        <w:jc w:val="center"/>
        <w:rPr>
          <w:u w:val="single"/>
          <w:lang w:val="fr-FR"/>
        </w:rPr>
      </w:pPr>
      <w:r w:rsidRPr="00A91A7C">
        <w:rPr>
          <w:u w:val="single"/>
          <w:lang w:val="fr-FR"/>
        </w:rPr>
        <w:tab/>
      </w:r>
      <w:r w:rsidRPr="00A91A7C">
        <w:rPr>
          <w:u w:val="single"/>
          <w:lang w:val="fr-FR"/>
        </w:rPr>
        <w:tab/>
      </w:r>
      <w:r w:rsidRPr="00A91A7C">
        <w:rPr>
          <w:u w:val="single"/>
          <w:lang w:val="fr-FR"/>
        </w:rPr>
        <w:tab/>
      </w:r>
    </w:p>
    <w:sectPr w:rsidR="00C1626B" w:rsidRPr="00A91A7C" w:rsidSect="00991D87">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F5855" w14:textId="77777777" w:rsidR="00B246F6" w:rsidRDefault="00B246F6" w:rsidP="00F95C08">
      <w:pPr>
        <w:spacing w:line="240" w:lineRule="auto"/>
      </w:pPr>
    </w:p>
  </w:endnote>
  <w:endnote w:type="continuationSeparator" w:id="0">
    <w:p w14:paraId="44AB77FC" w14:textId="77777777" w:rsidR="00B246F6" w:rsidRPr="00AC3823" w:rsidRDefault="00B246F6" w:rsidP="00AC3823">
      <w:pPr>
        <w:pStyle w:val="Footer"/>
      </w:pPr>
    </w:p>
  </w:endnote>
  <w:endnote w:type="continuationNotice" w:id="1">
    <w:p w14:paraId="4C0B6B55" w14:textId="77777777" w:rsidR="00B246F6" w:rsidRDefault="00B246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DF65" w14:textId="77777777" w:rsidR="00B246F6" w:rsidRPr="00991D87" w:rsidRDefault="00B246F6" w:rsidP="00991D87">
    <w:pPr>
      <w:pStyle w:val="Footer"/>
      <w:tabs>
        <w:tab w:val="right" w:pos="9638"/>
      </w:tabs>
      <w:rPr>
        <w:sz w:val="18"/>
      </w:rPr>
    </w:pPr>
    <w:r w:rsidRPr="00991D87">
      <w:rPr>
        <w:b/>
        <w:sz w:val="18"/>
      </w:rPr>
      <w:fldChar w:fldCharType="begin"/>
    </w:r>
    <w:r w:rsidRPr="00991D87">
      <w:rPr>
        <w:b/>
        <w:sz w:val="18"/>
      </w:rPr>
      <w:instrText xml:space="preserve"> PAGE  \* MERGEFORMAT </w:instrText>
    </w:r>
    <w:r w:rsidRPr="00991D87">
      <w:rPr>
        <w:b/>
        <w:sz w:val="18"/>
      </w:rPr>
      <w:fldChar w:fldCharType="separate"/>
    </w:r>
    <w:r w:rsidRPr="00991D87">
      <w:rPr>
        <w:b/>
        <w:noProof/>
        <w:sz w:val="18"/>
      </w:rPr>
      <w:t>2</w:t>
    </w:r>
    <w:r w:rsidRPr="00991D8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D2DC" w14:textId="77777777" w:rsidR="00B246F6" w:rsidRPr="00991D87" w:rsidRDefault="00B246F6" w:rsidP="00991D87">
    <w:pPr>
      <w:pStyle w:val="Footer"/>
      <w:tabs>
        <w:tab w:val="right" w:pos="9638"/>
      </w:tabs>
      <w:rPr>
        <w:b/>
        <w:sz w:val="18"/>
      </w:rPr>
    </w:pPr>
    <w:r>
      <w:tab/>
    </w:r>
    <w:r w:rsidRPr="00991D87">
      <w:rPr>
        <w:b/>
        <w:sz w:val="18"/>
      </w:rPr>
      <w:fldChar w:fldCharType="begin"/>
    </w:r>
    <w:r w:rsidRPr="00991D87">
      <w:rPr>
        <w:b/>
        <w:sz w:val="18"/>
      </w:rPr>
      <w:instrText xml:space="preserve"> PAGE  \* MERGEFORMAT </w:instrText>
    </w:r>
    <w:r w:rsidRPr="00991D87">
      <w:rPr>
        <w:b/>
        <w:sz w:val="18"/>
      </w:rPr>
      <w:fldChar w:fldCharType="separate"/>
    </w:r>
    <w:r w:rsidRPr="00991D87">
      <w:rPr>
        <w:b/>
        <w:noProof/>
        <w:sz w:val="18"/>
      </w:rPr>
      <w:t>3</w:t>
    </w:r>
    <w:r w:rsidRPr="00991D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77EE9" w14:textId="77777777" w:rsidR="00B246F6" w:rsidRPr="00991D87" w:rsidRDefault="00B246F6"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63C0D" w14:textId="77777777" w:rsidR="00B246F6" w:rsidRPr="00AC3823" w:rsidRDefault="00B246F6" w:rsidP="00AC3823">
      <w:pPr>
        <w:pStyle w:val="Footer"/>
        <w:tabs>
          <w:tab w:val="right" w:pos="2155"/>
        </w:tabs>
        <w:spacing w:after="80" w:line="240" w:lineRule="atLeast"/>
        <w:ind w:left="680"/>
        <w:rPr>
          <w:u w:val="single"/>
        </w:rPr>
      </w:pPr>
      <w:r>
        <w:rPr>
          <w:u w:val="single"/>
        </w:rPr>
        <w:tab/>
      </w:r>
    </w:p>
  </w:footnote>
  <w:footnote w:type="continuationSeparator" w:id="0">
    <w:p w14:paraId="1A1407B0" w14:textId="77777777" w:rsidR="00B246F6" w:rsidRPr="00AC3823" w:rsidRDefault="00B246F6" w:rsidP="00AC3823">
      <w:pPr>
        <w:pStyle w:val="Footer"/>
        <w:tabs>
          <w:tab w:val="right" w:pos="2155"/>
        </w:tabs>
        <w:spacing w:after="80" w:line="240" w:lineRule="atLeast"/>
        <w:ind w:left="680"/>
        <w:rPr>
          <w:u w:val="single"/>
        </w:rPr>
      </w:pPr>
      <w:r>
        <w:rPr>
          <w:u w:val="single"/>
        </w:rPr>
        <w:tab/>
      </w:r>
    </w:p>
  </w:footnote>
  <w:footnote w:type="continuationNotice" w:id="1">
    <w:p w14:paraId="41473735" w14:textId="77777777" w:rsidR="00B246F6" w:rsidRPr="00AC3823" w:rsidRDefault="00B246F6">
      <w:pPr>
        <w:spacing w:line="240" w:lineRule="auto"/>
        <w:rPr>
          <w:sz w:val="2"/>
          <w:szCs w:val="2"/>
        </w:rPr>
      </w:pPr>
    </w:p>
  </w:footnote>
  <w:footnote w:id="2">
    <w:p w14:paraId="746DF287" w14:textId="2F4C14C8" w:rsidR="00B246F6" w:rsidRDefault="00B246F6" w:rsidP="006710AF">
      <w:pPr>
        <w:pStyle w:val="FootnoteText"/>
        <w:widowControl w:val="0"/>
        <w:tabs>
          <w:tab w:val="clear" w:pos="1021"/>
          <w:tab w:val="right" w:pos="1020"/>
        </w:tabs>
      </w:pPr>
      <w:r>
        <w:tab/>
      </w:r>
      <w:r>
        <w:rPr>
          <w:rStyle w:val="FootnoteReference"/>
        </w:rPr>
        <w:footnoteRef/>
      </w:r>
      <w:r>
        <w:tab/>
        <w:t xml:space="preserve">Voir notification dépositaire C.N.582.2019 du 18 novembre 2019 :  https://treaties.un.org/doc/Publication/CN/2019/CN.582.2019-Frn.pdf </w:t>
      </w:r>
    </w:p>
  </w:footnote>
  <w:footnote w:id="3">
    <w:p w14:paraId="05792BB0" w14:textId="77777777" w:rsidR="00B246F6" w:rsidRDefault="00B246F6" w:rsidP="00557AF5">
      <w:pPr>
        <w:pStyle w:val="FootnoteText"/>
        <w:widowControl w:val="0"/>
        <w:tabs>
          <w:tab w:val="clear" w:pos="1021"/>
          <w:tab w:val="right" w:pos="1020"/>
        </w:tabs>
      </w:pPr>
      <w:r>
        <w:tab/>
      </w:r>
      <w:r>
        <w:rPr>
          <w:rStyle w:val="FootnoteReference"/>
        </w:rPr>
        <w:footnoteRef/>
      </w:r>
      <w:r>
        <w:tab/>
        <w:t xml:space="preserve">Mr. Steve GILLINGHAM, steve.gillingham[AT]dft.gov.uk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308D5" w14:textId="7707AB11" w:rsidR="00B246F6" w:rsidRPr="00991D87" w:rsidRDefault="00DA1F2B">
    <w:pPr>
      <w:pStyle w:val="Header"/>
    </w:pPr>
    <w:fldSimple w:instr=" TITLE  \* MERGEFORMAT ">
      <w:r w:rsidR="008A7D88">
        <w:t>ECE/TRANS/WP.15/248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70DFA" w14:textId="71859D4A" w:rsidR="00B246F6" w:rsidRPr="00991D87" w:rsidRDefault="00DA1F2B" w:rsidP="00991D87">
    <w:pPr>
      <w:pStyle w:val="Header"/>
      <w:jc w:val="right"/>
    </w:pPr>
    <w:fldSimple w:instr=" TITLE  \* MERGEFORMAT ">
      <w:r w:rsidR="008A7D88">
        <w:t>ECE/TRANS/WP.15/248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3062C" w14:textId="77777777" w:rsidR="00B246F6" w:rsidRDefault="00B246F6" w:rsidP="00A963A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567"/>
  <w:hyphenationZone w:val="425"/>
  <w:evenAndOddHeaders/>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991D87"/>
    <w:rsid w:val="0001207F"/>
    <w:rsid w:val="00017F94"/>
    <w:rsid w:val="00023842"/>
    <w:rsid w:val="0003266E"/>
    <w:rsid w:val="000334F9"/>
    <w:rsid w:val="0004639C"/>
    <w:rsid w:val="0007796D"/>
    <w:rsid w:val="000942EE"/>
    <w:rsid w:val="000A52BF"/>
    <w:rsid w:val="000B33C2"/>
    <w:rsid w:val="000B7790"/>
    <w:rsid w:val="000D3EE9"/>
    <w:rsid w:val="000D62F3"/>
    <w:rsid w:val="00111F2F"/>
    <w:rsid w:val="00123E84"/>
    <w:rsid w:val="001273D3"/>
    <w:rsid w:val="001433FD"/>
    <w:rsid w:val="0014365E"/>
    <w:rsid w:val="00146B5F"/>
    <w:rsid w:val="001541D3"/>
    <w:rsid w:val="00156B77"/>
    <w:rsid w:val="00162AB6"/>
    <w:rsid w:val="00176178"/>
    <w:rsid w:val="00177140"/>
    <w:rsid w:val="001D400F"/>
    <w:rsid w:val="001F3B14"/>
    <w:rsid w:val="001F525A"/>
    <w:rsid w:val="002019A4"/>
    <w:rsid w:val="00222176"/>
    <w:rsid w:val="00223272"/>
    <w:rsid w:val="00225058"/>
    <w:rsid w:val="00240333"/>
    <w:rsid w:val="0024779E"/>
    <w:rsid w:val="002832AC"/>
    <w:rsid w:val="002D7220"/>
    <w:rsid w:val="002D7C93"/>
    <w:rsid w:val="002E566B"/>
    <w:rsid w:val="00321705"/>
    <w:rsid w:val="0037241C"/>
    <w:rsid w:val="003819FF"/>
    <w:rsid w:val="00387AEE"/>
    <w:rsid w:val="003B1B80"/>
    <w:rsid w:val="003C3FBE"/>
    <w:rsid w:val="00420702"/>
    <w:rsid w:val="00441C3B"/>
    <w:rsid w:val="00446B0A"/>
    <w:rsid w:val="00446FE5"/>
    <w:rsid w:val="00452396"/>
    <w:rsid w:val="00471288"/>
    <w:rsid w:val="0049687C"/>
    <w:rsid w:val="004E468C"/>
    <w:rsid w:val="005316B0"/>
    <w:rsid w:val="005365AA"/>
    <w:rsid w:val="005505B7"/>
    <w:rsid w:val="00557AF5"/>
    <w:rsid w:val="00573BE5"/>
    <w:rsid w:val="00574DE1"/>
    <w:rsid w:val="00586ED3"/>
    <w:rsid w:val="00596AA9"/>
    <w:rsid w:val="005B4D0F"/>
    <w:rsid w:val="005D7241"/>
    <w:rsid w:val="006710AF"/>
    <w:rsid w:val="00682729"/>
    <w:rsid w:val="00703D0F"/>
    <w:rsid w:val="00706363"/>
    <w:rsid w:val="00712126"/>
    <w:rsid w:val="007158BB"/>
    <w:rsid w:val="0071601D"/>
    <w:rsid w:val="0075410D"/>
    <w:rsid w:val="007A62E6"/>
    <w:rsid w:val="007E4B83"/>
    <w:rsid w:val="007F4934"/>
    <w:rsid w:val="0080684C"/>
    <w:rsid w:val="008204DA"/>
    <w:rsid w:val="008535AD"/>
    <w:rsid w:val="00870FE4"/>
    <w:rsid w:val="00871C75"/>
    <w:rsid w:val="008767E8"/>
    <w:rsid w:val="008776DC"/>
    <w:rsid w:val="00883605"/>
    <w:rsid w:val="008A6949"/>
    <w:rsid w:val="008A7D88"/>
    <w:rsid w:val="008B5CC3"/>
    <w:rsid w:val="008E6043"/>
    <w:rsid w:val="009134B7"/>
    <w:rsid w:val="0092692E"/>
    <w:rsid w:val="00961E7B"/>
    <w:rsid w:val="009705C8"/>
    <w:rsid w:val="00991D87"/>
    <w:rsid w:val="00994816"/>
    <w:rsid w:val="009C1CF4"/>
    <w:rsid w:val="009F02C9"/>
    <w:rsid w:val="00A30353"/>
    <w:rsid w:val="00A55B33"/>
    <w:rsid w:val="00A62D91"/>
    <w:rsid w:val="00A70E01"/>
    <w:rsid w:val="00A90D54"/>
    <w:rsid w:val="00A91A7C"/>
    <w:rsid w:val="00A963A0"/>
    <w:rsid w:val="00AA113A"/>
    <w:rsid w:val="00AC3823"/>
    <w:rsid w:val="00AD0B76"/>
    <w:rsid w:val="00AE323C"/>
    <w:rsid w:val="00AF3928"/>
    <w:rsid w:val="00AF774C"/>
    <w:rsid w:val="00B00181"/>
    <w:rsid w:val="00B00B0D"/>
    <w:rsid w:val="00B246F6"/>
    <w:rsid w:val="00B269F8"/>
    <w:rsid w:val="00B40927"/>
    <w:rsid w:val="00B50E25"/>
    <w:rsid w:val="00B64918"/>
    <w:rsid w:val="00B765F7"/>
    <w:rsid w:val="00BA0CA9"/>
    <w:rsid w:val="00C02897"/>
    <w:rsid w:val="00C1626B"/>
    <w:rsid w:val="00C3275C"/>
    <w:rsid w:val="00C5191F"/>
    <w:rsid w:val="00C66A47"/>
    <w:rsid w:val="00C67EB4"/>
    <w:rsid w:val="00C7616F"/>
    <w:rsid w:val="00CB16B5"/>
    <w:rsid w:val="00CC410A"/>
    <w:rsid w:val="00CC7D3B"/>
    <w:rsid w:val="00CE0608"/>
    <w:rsid w:val="00D3439C"/>
    <w:rsid w:val="00D41148"/>
    <w:rsid w:val="00D44CF3"/>
    <w:rsid w:val="00D46C8C"/>
    <w:rsid w:val="00D54A7B"/>
    <w:rsid w:val="00DA1F2B"/>
    <w:rsid w:val="00DB1831"/>
    <w:rsid w:val="00DD3BFD"/>
    <w:rsid w:val="00DE239D"/>
    <w:rsid w:val="00DF431C"/>
    <w:rsid w:val="00DF6678"/>
    <w:rsid w:val="00E428C8"/>
    <w:rsid w:val="00E71CFA"/>
    <w:rsid w:val="00EC18FF"/>
    <w:rsid w:val="00EE091E"/>
    <w:rsid w:val="00EF2E22"/>
    <w:rsid w:val="00F0592C"/>
    <w:rsid w:val="00F06ED4"/>
    <w:rsid w:val="00F43289"/>
    <w:rsid w:val="00F660DF"/>
    <w:rsid w:val="00F86413"/>
    <w:rsid w:val="00F95C08"/>
    <w:rsid w:val="00FB306E"/>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B37175"/>
  <w15:docId w15:val="{AB786F78-9E4F-45F5-82D5-4B65FAE9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qFormat/>
    <w:rsid w:val="0001207F"/>
    <w:rPr>
      <w:rFonts w:ascii="Times New Roman" w:hAnsi="Times New Roman" w:cs="Times New Roman"/>
      <w:sz w:val="20"/>
      <w:szCs w:val="20"/>
      <w:lang w:eastAsia="en-US"/>
    </w:rPr>
  </w:style>
  <w:style w:type="character" w:customStyle="1" w:styleId="HChGChar">
    <w:name w:val="_ H _Ch_G Char"/>
    <w:link w:val="HChG"/>
    <w:qFormat/>
    <w:rsid w:val="0001207F"/>
    <w:rPr>
      <w:rFonts w:ascii="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557AF5"/>
    <w:rPr>
      <w:sz w:val="16"/>
      <w:szCs w:val="16"/>
    </w:rPr>
  </w:style>
  <w:style w:type="paragraph" w:styleId="CommentText">
    <w:name w:val="annotation text"/>
    <w:basedOn w:val="Normal"/>
    <w:link w:val="CommentTextChar"/>
    <w:uiPriority w:val="99"/>
    <w:unhideWhenUsed/>
    <w:rsid w:val="00557AF5"/>
    <w:pPr>
      <w:spacing w:line="240" w:lineRule="auto"/>
    </w:pPr>
  </w:style>
  <w:style w:type="character" w:customStyle="1" w:styleId="CommentTextChar">
    <w:name w:val="Comment Text Char"/>
    <w:basedOn w:val="DefaultParagraphFont"/>
    <w:link w:val="CommentText"/>
    <w:uiPriority w:val="99"/>
    <w:rsid w:val="00557AF5"/>
  </w:style>
  <w:style w:type="paragraph" w:styleId="CommentSubject">
    <w:name w:val="annotation subject"/>
    <w:basedOn w:val="CommentText"/>
    <w:next w:val="CommentText"/>
    <w:link w:val="CommentSubjectChar"/>
    <w:uiPriority w:val="99"/>
    <w:semiHidden/>
    <w:unhideWhenUsed/>
    <w:rsid w:val="00557AF5"/>
    <w:rPr>
      <w:b/>
      <w:bCs/>
    </w:rPr>
  </w:style>
  <w:style w:type="character" w:customStyle="1" w:styleId="CommentSubjectChar">
    <w:name w:val="Comment Subject Char"/>
    <w:basedOn w:val="CommentTextChar"/>
    <w:link w:val="CommentSubject"/>
    <w:uiPriority w:val="99"/>
    <w:semiHidden/>
    <w:rsid w:val="00557AF5"/>
    <w:rPr>
      <w:b/>
      <w:bCs/>
    </w:rPr>
  </w:style>
  <w:style w:type="paragraph" w:styleId="Revision">
    <w:name w:val="Revision"/>
    <w:hidden/>
    <w:uiPriority w:val="99"/>
    <w:semiHidden/>
    <w:rsid w:val="00557AF5"/>
    <w:pPr>
      <w:spacing w:after="0" w:line="240" w:lineRule="auto"/>
    </w:pPr>
  </w:style>
  <w:style w:type="character" w:customStyle="1" w:styleId="H1GChar">
    <w:name w:val="_ H_1_G Char"/>
    <w:link w:val="H1G"/>
    <w:rsid w:val="00557AF5"/>
    <w:rPr>
      <w:b/>
      <w:sz w:val="24"/>
    </w:rPr>
  </w:style>
  <w:style w:type="character" w:customStyle="1" w:styleId="H23GChar">
    <w:name w:val="_ H_2/3_G Char"/>
    <w:link w:val="H23G"/>
    <w:rsid w:val="00557AF5"/>
    <w:rPr>
      <w:b/>
    </w:rPr>
  </w:style>
  <w:style w:type="character" w:customStyle="1" w:styleId="SingleTxtGCar">
    <w:name w:val="_ Single Txt_G Car"/>
    <w:rsid w:val="00870FE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031742">
      <w:bodyDiv w:val="1"/>
      <w:marLeft w:val="0"/>
      <w:marRight w:val="0"/>
      <w:marTop w:val="0"/>
      <w:marBottom w:val="0"/>
      <w:divBdr>
        <w:top w:val="none" w:sz="0" w:space="0" w:color="auto"/>
        <w:left w:val="none" w:sz="0" w:space="0" w:color="auto"/>
        <w:bottom w:val="none" w:sz="0" w:space="0" w:color="auto"/>
        <w:right w:val="none" w:sz="0" w:space="0" w:color="auto"/>
      </w:divBdr>
    </w:div>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578</TotalTime>
  <Pages>22</Pages>
  <Words>7560</Words>
  <Characters>43092</Characters>
  <Application>Microsoft Office Word</Application>
  <DocSecurity>0</DocSecurity>
  <Lines>359</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ECE/TRANS/WP.15/248</vt:lpstr>
      <vt:lpstr>ECE/EX/22</vt:lpstr>
    </vt:vector>
  </TitlesOfParts>
  <Company>DCM</Company>
  <LinksUpToDate>false</LinksUpToDate>
  <CharactersWithSpaces>50551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ECE/TRANS/WP.15/248</dc:title>
  <dc:subject>FINAL</dc:subject>
  <dc:creator>Christine Barrio-Champeau</dc:creator>
  <cp:keywords/>
  <dc:description/>
  <cp:lastModifiedBy>Christine Barrio-Champeau</cp:lastModifiedBy>
  <cp:revision>37</cp:revision>
  <cp:lastPrinted>2019-11-25T14:36:00Z</cp:lastPrinted>
  <dcterms:created xsi:type="dcterms:W3CDTF">2019-11-18T10:00:00Z</dcterms:created>
  <dcterms:modified xsi:type="dcterms:W3CDTF">2019-11-26T12:31:00Z</dcterms:modified>
</cp:coreProperties>
</file>